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87F2F">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5D487CBA">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599E9F9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1A527E69">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35C020A8">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1E11C95E">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5A6CEA4B">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1F46630D">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32043B7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5E9EEC19">
      <w:pPr>
        <w:tabs>
          <w:tab w:val="left" w:pos="315"/>
          <w:tab w:val="left" w:pos="8820"/>
        </w:tabs>
        <w:spacing w:before="0" w:after="0" w:line="600" w:lineRule="auto"/>
        <w:ind w:left="0" w:right="267" w:firstLine="0"/>
        <w:jc w:val="left"/>
        <w:rPr>
          <w:rFonts w:ascii="宋体" w:hAnsi="宋体" w:eastAsia="宋体" w:cs="宋体"/>
          <w:b/>
          <w:bCs w:val="0"/>
          <w:color w:val="auto"/>
          <w:spacing w:val="0"/>
          <w:position w:val="0"/>
          <w:sz w:val="32"/>
          <w:szCs w:val="32"/>
          <w:highlight w:val="none"/>
          <w:shd w:val="clear" w:fill="auto"/>
        </w:rPr>
      </w:pPr>
      <w:r>
        <w:rPr>
          <w:rFonts w:ascii="宋体" w:hAnsi="宋体" w:eastAsia="宋体" w:cs="宋体"/>
          <w:b/>
          <w:bCs w:val="0"/>
          <w:color w:val="auto"/>
          <w:spacing w:val="0"/>
          <w:position w:val="0"/>
          <w:sz w:val="32"/>
          <w:szCs w:val="32"/>
          <w:highlight w:val="none"/>
          <w:shd w:val="clear" w:fill="auto"/>
        </w:rPr>
        <w:t xml:space="preserve">项目名称: </w:t>
      </w:r>
      <w:r>
        <w:rPr>
          <w:rFonts w:hint="eastAsia" w:ascii="宋体" w:hAnsi="宋体" w:eastAsia="宋体" w:cs="宋体"/>
          <w:b/>
          <w:bCs w:val="0"/>
          <w:color w:val="auto"/>
          <w:spacing w:val="0"/>
          <w:position w:val="0"/>
          <w:sz w:val="32"/>
          <w:szCs w:val="32"/>
          <w:highlight w:val="none"/>
          <w:shd w:val="clear" w:fill="auto"/>
          <w:lang w:eastAsia="zh-CN"/>
        </w:rPr>
        <w:t>周口市生态环境局商水分局关于对我县生态环境保护综合执法装备标准化建设项目</w:t>
      </w:r>
    </w:p>
    <w:p w14:paraId="2EA01DD1">
      <w:pPr>
        <w:tabs>
          <w:tab w:val="left" w:pos="315"/>
          <w:tab w:val="left" w:pos="8820"/>
        </w:tabs>
        <w:spacing w:before="0" w:after="0" w:line="600" w:lineRule="auto"/>
        <w:ind w:left="0" w:right="267" w:firstLine="0"/>
        <w:jc w:val="left"/>
        <w:rPr>
          <w:rFonts w:hint="eastAsia" w:ascii="宋体" w:hAnsi="宋体" w:eastAsia="宋体" w:cs="宋体"/>
          <w:b/>
          <w:bCs w:val="0"/>
          <w:color w:val="auto"/>
          <w:spacing w:val="0"/>
          <w:position w:val="0"/>
          <w:sz w:val="32"/>
          <w:szCs w:val="32"/>
          <w:highlight w:val="none"/>
          <w:shd w:val="clear" w:fill="auto"/>
          <w:lang w:eastAsia="zh-CN"/>
        </w:rPr>
      </w:pPr>
      <w:r>
        <w:rPr>
          <w:rFonts w:ascii="宋体" w:hAnsi="宋体" w:eastAsia="宋体" w:cs="宋体"/>
          <w:b/>
          <w:bCs w:val="0"/>
          <w:color w:val="auto"/>
          <w:spacing w:val="0"/>
          <w:position w:val="0"/>
          <w:sz w:val="32"/>
          <w:szCs w:val="32"/>
          <w:highlight w:val="none"/>
          <w:shd w:val="clear" w:fill="auto"/>
        </w:rPr>
        <w:t>项目编号:</w:t>
      </w:r>
      <w:r>
        <w:rPr>
          <w:rFonts w:hint="eastAsia" w:ascii="宋体" w:hAnsi="宋体" w:eastAsia="宋体" w:cs="宋体"/>
          <w:b/>
          <w:bCs w:val="0"/>
          <w:color w:val="auto"/>
          <w:spacing w:val="0"/>
          <w:position w:val="0"/>
          <w:sz w:val="32"/>
          <w:szCs w:val="32"/>
          <w:highlight w:val="none"/>
          <w:shd w:val="clear" w:fill="auto"/>
          <w:lang w:eastAsia="zh-CN"/>
        </w:rPr>
        <w:t>周财磋商采购-2025-131</w:t>
      </w:r>
      <w:r>
        <w:rPr>
          <w:rFonts w:hint="eastAsia" w:ascii="宋体" w:hAnsi="宋体" w:eastAsia="宋体" w:cs="宋体"/>
          <w:b/>
          <w:bCs w:val="0"/>
          <w:color w:val="auto"/>
          <w:spacing w:val="0"/>
          <w:position w:val="0"/>
          <w:sz w:val="32"/>
          <w:szCs w:val="32"/>
          <w:highlight w:val="none"/>
          <w:shd w:val="clear" w:fill="auto"/>
          <w:lang w:val="en-US" w:eastAsia="zh-CN"/>
        </w:rPr>
        <w:t xml:space="preserve"> </w:t>
      </w:r>
    </w:p>
    <w:p w14:paraId="54FC09FB">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5A4BDC84">
      <w:pPr>
        <w:pStyle w:val="2"/>
        <w:rPr>
          <w:rFonts w:ascii="宋体" w:hAnsi="宋体" w:eastAsia="宋体" w:cs="宋体"/>
          <w:b/>
          <w:color w:val="auto"/>
          <w:spacing w:val="0"/>
          <w:position w:val="0"/>
          <w:sz w:val="32"/>
          <w:highlight w:val="none"/>
          <w:shd w:val="clear" w:fill="auto"/>
        </w:rPr>
      </w:pPr>
    </w:p>
    <w:p w14:paraId="2DD6C03D">
      <w:pPr>
        <w:pStyle w:val="2"/>
        <w:rPr>
          <w:rFonts w:ascii="宋体" w:hAnsi="宋体" w:eastAsia="宋体" w:cs="宋体"/>
          <w:b/>
          <w:color w:val="auto"/>
          <w:spacing w:val="0"/>
          <w:position w:val="0"/>
          <w:sz w:val="32"/>
          <w:highlight w:val="none"/>
          <w:shd w:val="clear" w:fill="auto"/>
        </w:rPr>
      </w:pPr>
    </w:p>
    <w:p w14:paraId="6355C982">
      <w:pPr>
        <w:spacing w:before="0" w:after="120" w:line="240" w:lineRule="auto"/>
        <w:ind w:left="0" w:right="0" w:firstLine="0"/>
        <w:jc w:val="center"/>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bCs/>
          <w:color w:val="auto"/>
          <w:spacing w:val="0"/>
          <w:position w:val="0"/>
          <w:sz w:val="32"/>
          <w:szCs w:val="32"/>
          <w:highlight w:val="none"/>
          <w:shd w:val="clear" w:fill="auto"/>
          <w:lang w:val="en-US" w:eastAsia="zh-CN"/>
        </w:rPr>
        <w:t>2025</w:t>
      </w:r>
      <w:r>
        <w:rPr>
          <w:rFonts w:ascii="宋体" w:hAnsi="宋体" w:eastAsia="宋体" w:cs="宋体"/>
          <w:b/>
          <w:bCs/>
          <w:color w:val="auto"/>
          <w:spacing w:val="0"/>
          <w:position w:val="0"/>
          <w:sz w:val="32"/>
          <w:szCs w:val="32"/>
          <w:highlight w:val="none"/>
          <w:shd w:val="clear" w:fill="auto"/>
        </w:rPr>
        <w:t>年</w:t>
      </w:r>
      <w:r>
        <w:rPr>
          <w:rFonts w:hint="eastAsia" w:ascii="宋体" w:hAnsi="宋体" w:eastAsia="宋体" w:cs="宋体"/>
          <w:b/>
          <w:bCs/>
          <w:color w:val="auto"/>
          <w:spacing w:val="0"/>
          <w:position w:val="0"/>
          <w:sz w:val="32"/>
          <w:szCs w:val="32"/>
          <w:highlight w:val="none"/>
          <w:shd w:val="clear" w:fill="auto"/>
          <w:lang w:val="en-US" w:eastAsia="zh-CN"/>
        </w:rPr>
        <w:t>11</w:t>
      </w:r>
      <w:r>
        <w:rPr>
          <w:rFonts w:ascii="宋体" w:hAnsi="宋体" w:eastAsia="宋体" w:cs="宋体"/>
          <w:b/>
          <w:bCs/>
          <w:color w:val="auto"/>
          <w:spacing w:val="0"/>
          <w:position w:val="0"/>
          <w:sz w:val="32"/>
          <w:szCs w:val="32"/>
          <w:highlight w:val="none"/>
          <w:shd w:val="clear" w:fill="auto"/>
        </w:rPr>
        <w:t>月</w:t>
      </w:r>
      <w:r>
        <w:rPr>
          <w:rFonts w:hint="eastAsia" w:ascii="宋体" w:hAnsi="宋体" w:eastAsia="宋体" w:cs="宋体"/>
          <w:b/>
          <w:bCs/>
          <w:color w:val="auto"/>
          <w:spacing w:val="0"/>
          <w:position w:val="0"/>
          <w:sz w:val="32"/>
          <w:szCs w:val="32"/>
          <w:highlight w:val="none"/>
          <w:shd w:val="clear" w:fill="auto"/>
          <w:lang w:val="en-US" w:eastAsia="zh-CN"/>
        </w:rPr>
        <w:t>25日</w:t>
      </w:r>
    </w:p>
    <w:p w14:paraId="38768F39">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5D6CAE7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1A8161E3">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12C64A6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35E3F6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1F696FA2">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9</w:t>
      </w:r>
    </w:p>
    <w:p w14:paraId="64CA78CA">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45</w:t>
      </w:r>
    </w:p>
    <w:p w14:paraId="45EE1007">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w:t>
      </w:r>
      <w:r>
        <w:rPr>
          <w:rFonts w:hint="eastAsia" w:ascii="宋体" w:hAnsi="宋体" w:eastAsia="宋体" w:cs="宋体"/>
          <w:b/>
          <w:color w:val="auto"/>
          <w:spacing w:val="0"/>
          <w:position w:val="0"/>
          <w:sz w:val="32"/>
          <w:highlight w:val="none"/>
          <w:shd w:val="clear" w:fill="auto"/>
          <w:lang w:val="en-US" w:eastAsia="zh-CN"/>
        </w:rPr>
        <w:t>60</w:t>
      </w:r>
    </w:p>
    <w:p w14:paraId="42CB65B6">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582319D3">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C3FD5DC">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738BB08">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48AC5649">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1F7F0847">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08EE8F7A">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7089340">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2E3C9FE7">
      <w:pPr>
        <w:pStyle w:val="5"/>
        <w:bidi w:val="0"/>
        <w:rPr>
          <w:highlight w:val="none"/>
        </w:rPr>
      </w:pPr>
      <w:r>
        <w:rPr>
          <w:highlight w:val="none"/>
        </w:rPr>
        <w:t>第一章    竞争性磋商邀请函</w:t>
      </w:r>
    </w:p>
    <w:p w14:paraId="1552016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17ADA8D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周口市生态环境局商水分局关于对我县生态环境保护综合执法装备标准化建设项目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12</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08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04450F8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37BA2FF8">
      <w:pPr>
        <w:spacing w:before="0" w:after="0" w:line="360" w:lineRule="auto"/>
        <w:ind w:left="0" w:right="0" w:firstLine="480"/>
        <w:jc w:val="both"/>
        <w:rPr>
          <w:rFonts w:hint="eastAsia"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eastAsia="zh-CN"/>
        </w:rPr>
        <w:t>周财磋商采购-2025-131</w:t>
      </w:r>
    </w:p>
    <w:p w14:paraId="1B88720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bookmarkStart w:id="0" w:name="OLE_LINK1"/>
      <w:r>
        <w:rPr>
          <w:rFonts w:hint="eastAsia" w:ascii="宋体" w:hAnsi="宋体" w:eastAsia="宋体" w:cs="宋体"/>
          <w:color w:val="auto"/>
          <w:spacing w:val="0"/>
          <w:position w:val="0"/>
          <w:sz w:val="24"/>
          <w:highlight w:val="none"/>
          <w:shd w:val="clear" w:fill="auto"/>
          <w:lang w:eastAsia="zh-CN"/>
        </w:rPr>
        <w:t>周口市生态环境局商水分局关于对我县生态环境保护综合执法装备标准化建设项目</w:t>
      </w:r>
      <w:bookmarkEnd w:id="0"/>
    </w:p>
    <w:p w14:paraId="7D9C3D52">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2A7B3AF0">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1642200.00</w:t>
      </w:r>
      <w:r>
        <w:rPr>
          <w:rFonts w:hint="eastAsia" w:ascii="宋体" w:hAnsi="宋体" w:eastAsia="宋体" w:cs="宋体"/>
          <w:color w:val="auto"/>
          <w:spacing w:val="0"/>
          <w:position w:val="0"/>
          <w:sz w:val="24"/>
          <w:highlight w:val="none"/>
          <w:shd w:val="clear" w:fill="auto"/>
          <w:lang w:eastAsia="zh-CN"/>
        </w:rPr>
        <w:t>元</w:t>
      </w:r>
    </w:p>
    <w:p w14:paraId="50E9B9A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1642200.00</w:t>
      </w:r>
      <w:r>
        <w:rPr>
          <w:rFonts w:hint="eastAsia" w:ascii="宋体" w:hAnsi="宋体" w:eastAsia="宋体" w:cs="宋体"/>
          <w:color w:val="auto"/>
          <w:spacing w:val="0"/>
          <w:position w:val="0"/>
          <w:sz w:val="24"/>
          <w:highlight w:val="none"/>
          <w:shd w:val="clear" w:fill="auto"/>
          <w:lang w:eastAsia="zh-CN"/>
        </w:rPr>
        <w:t>元</w:t>
      </w:r>
    </w:p>
    <w:p w14:paraId="6F6F7B8C">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3"/>
        <w:tblW w:w="0" w:type="auto"/>
        <w:tblInd w:w="0" w:type="dxa"/>
        <w:tblLayout w:type="autofit"/>
        <w:tblCellMar>
          <w:top w:w="0" w:type="dxa"/>
          <w:left w:w="10" w:type="dxa"/>
          <w:bottom w:w="0" w:type="dxa"/>
          <w:right w:w="10" w:type="dxa"/>
        </w:tblCellMar>
      </w:tblPr>
      <w:tblGrid>
        <w:gridCol w:w="1154"/>
        <w:gridCol w:w="4076"/>
        <w:gridCol w:w="2628"/>
      </w:tblGrid>
      <w:tr w14:paraId="1A6B6DC8">
        <w:tblPrEx>
          <w:tblCellMar>
            <w:top w:w="0" w:type="dxa"/>
            <w:left w:w="10" w:type="dxa"/>
            <w:bottom w:w="0" w:type="dxa"/>
            <w:right w:w="10" w:type="dxa"/>
          </w:tblCellMar>
        </w:tblPrEx>
        <w:trPr>
          <w:trHeight w:val="659"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F1712">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5A4E3">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9EE03">
            <w:pPr>
              <w:widowControl w:val="0"/>
              <w:spacing w:before="0" w:after="0" w:line="240" w:lineRule="auto"/>
              <w:ind w:left="0" w:right="0" w:firstLine="0"/>
              <w:jc w:val="center"/>
              <w:rPr>
                <w:rFonts w:hint="eastAsia" w:ascii="宋体" w:hAnsi="宋体" w:eastAsia="宋体" w:cs="宋体"/>
                <w:color w:val="auto"/>
                <w:spacing w:val="0"/>
                <w:position w:val="0"/>
                <w:highlight w:val="none"/>
                <w:lang w:val="en-US" w:eastAsia="zh-CN"/>
              </w:rPr>
            </w:pPr>
            <w:r>
              <w:rPr>
                <w:rFonts w:ascii="宋体" w:hAnsi="宋体" w:eastAsia="宋体" w:cs="宋体"/>
                <w:color w:val="auto"/>
                <w:spacing w:val="0"/>
                <w:position w:val="0"/>
                <w:sz w:val="24"/>
                <w:highlight w:val="none"/>
                <w:shd w:val="clear" w:fill="FFFFFF"/>
              </w:rPr>
              <w:t>包最高限价</w:t>
            </w:r>
            <w:r>
              <w:rPr>
                <w:rFonts w:hint="eastAsia" w:ascii="宋体" w:hAnsi="宋体" w:eastAsia="宋体" w:cs="宋体"/>
                <w:color w:val="auto"/>
                <w:spacing w:val="0"/>
                <w:position w:val="0"/>
                <w:sz w:val="24"/>
                <w:highlight w:val="none"/>
                <w:shd w:val="clear" w:fill="FFFFFF"/>
                <w:lang w:val="en-US" w:eastAsia="zh-CN"/>
              </w:rPr>
              <w:t>元</w:t>
            </w:r>
          </w:p>
        </w:tc>
      </w:tr>
      <w:tr w14:paraId="610FC1C5">
        <w:tblPrEx>
          <w:tblCellMar>
            <w:top w:w="0" w:type="dxa"/>
            <w:left w:w="10" w:type="dxa"/>
            <w:bottom w:w="0" w:type="dxa"/>
            <w:right w:w="10" w:type="dxa"/>
          </w:tblCellMar>
        </w:tblPrEx>
        <w:trPr>
          <w:trHeight w:val="725"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2D0BC">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A97CA">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周口市生态环境局商水分局关于对我县生态环境保护综合执法装备标准化建设项目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F540E">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szCs w:val="28"/>
                <w:highlight w:val="none"/>
                <w:shd w:val="clear" w:fill="auto"/>
                <w:lang w:val="en-US" w:eastAsia="zh-CN"/>
              </w:rPr>
              <w:t>1642200.00</w:t>
            </w:r>
          </w:p>
        </w:tc>
      </w:tr>
    </w:tbl>
    <w:p w14:paraId="5CDE12A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4D33A80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合同签订后30日历天内</w:t>
      </w:r>
    </w:p>
    <w:p w14:paraId="1D7525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07157B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500C4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09FC440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17FC9113">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747C1E0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6310B5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5626C1E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780A861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394C069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538E5BFB">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2E93613E">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09F111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325A7C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50CEE393">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11</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25</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至</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12</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02</w:t>
      </w:r>
      <w:r>
        <w:rPr>
          <w:rFonts w:hint="eastAsia"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546893C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4830479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6E4FEB85">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7A75F42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EB7D5D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12</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08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CB87CC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rFonts w:hint="eastAsia" w:asciiTheme="majorEastAsia" w:hAnsiTheme="majorEastAsia" w:eastAsiaTheme="majorEastAsia" w:cstheme="majorEastAsia"/>
          <w:highlight w:val="none"/>
        </w:rPr>
        <w:fldChar w:fldCharType="begin"/>
      </w:r>
      <w:r>
        <w:rPr>
          <w:rFonts w:hint="eastAsia" w:asciiTheme="majorEastAsia" w:hAnsiTheme="majorEastAsia" w:eastAsiaTheme="majorEastAsia" w:cstheme="majorEastAsia"/>
          <w:highlight w:val="none"/>
        </w:rPr>
        <w:instrText xml:space="preserve"> HYPERLINK "http://jyzx.zhoukou.gov.cn/" \h </w:instrText>
      </w:r>
      <w:r>
        <w:rPr>
          <w:rFonts w:hint="eastAsia" w:asciiTheme="majorEastAsia" w:hAnsiTheme="majorEastAsia" w:eastAsiaTheme="majorEastAsia" w:cstheme="majorEastAsia"/>
          <w:highlight w:val="none"/>
        </w:rPr>
        <w:fldChar w:fldCharType="separate"/>
      </w:r>
      <w:r>
        <w:rPr>
          <w:rFonts w:hint="eastAsia" w:asciiTheme="majorEastAsia" w:hAnsiTheme="majorEastAsia" w:eastAsiaTheme="majorEastAsia" w:cstheme="majorEastAsia"/>
          <w:color w:val="000000"/>
          <w:spacing w:val="0"/>
          <w:position w:val="0"/>
          <w:sz w:val="24"/>
          <w:highlight w:val="none"/>
          <w:u w:val="single"/>
          <w:shd w:val="clear" w:fill="auto"/>
        </w:rPr>
        <w:t>http://jyzx.zhoukou.gov.cn</w:t>
      </w:r>
      <w:r>
        <w:rPr>
          <w:rFonts w:hint="eastAsia" w:asciiTheme="majorEastAsia" w:hAnsiTheme="majorEastAsia" w:eastAsiaTheme="majorEastAsia" w:cstheme="majorEastAsia"/>
          <w:color w:val="000000"/>
          <w:spacing w:val="0"/>
          <w:position w:val="0"/>
          <w:sz w:val="24"/>
          <w:highlight w:val="none"/>
          <w:u w:val="single"/>
          <w:shd w:val="clear" w:fill="auto"/>
        </w:rPr>
        <w:fldChar w:fldCharType="end"/>
      </w:r>
      <w:r>
        <w:rPr>
          <w:rFonts w:hint="eastAsia" w:asciiTheme="majorEastAsia" w:hAnsiTheme="majorEastAsia" w:eastAsiaTheme="majorEastAsia" w:cstheme="majorEastAsia"/>
          <w:color w:val="auto"/>
          <w:spacing w:val="0"/>
          <w:position w:val="0"/>
          <w:sz w:val="24"/>
          <w:highlight w:val="none"/>
          <w:shd w:val="clear" w:fill="auto"/>
        </w:rPr>
        <w:t>）</w:t>
      </w:r>
      <w:r>
        <w:rPr>
          <w:rFonts w:ascii="宋体" w:hAnsi="宋体" w:eastAsia="宋体" w:cs="宋体"/>
          <w:color w:val="auto"/>
          <w:spacing w:val="0"/>
          <w:position w:val="0"/>
          <w:sz w:val="24"/>
          <w:highlight w:val="none"/>
          <w:shd w:val="clear" w:fill="auto"/>
        </w:rPr>
        <w:t>。</w:t>
      </w:r>
    </w:p>
    <w:p w14:paraId="524C94D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w:t>
      </w:r>
    </w:p>
    <w:p w14:paraId="1E198792">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12</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08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139E82D2">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6B42ECC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15A2A392">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65D423E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419A2A4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08F75CD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4E75A9B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周口市生态环境局商水分局</w:t>
      </w:r>
      <w:r>
        <w:rPr>
          <w:rFonts w:ascii="宋体" w:hAnsi="宋体" w:eastAsia="宋体" w:cs="宋体"/>
          <w:color w:val="auto"/>
          <w:spacing w:val="0"/>
          <w:position w:val="0"/>
          <w:sz w:val="24"/>
          <w:highlight w:val="none"/>
          <w:shd w:val="clear" w:fill="auto"/>
        </w:rPr>
        <w:t>　　　　　　　　　　　　</w:t>
      </w:r>
    </w:p>
    <w:p w14:paraId="3041ED3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商水县</w:t>
      </w:r>
      <w:r>
        <w:rPr>
          <w:rFonts w:ascii="宋体" w:hAnsi="宋体" w:eastAsia="宋体" w:cs="宋体"/>
          <w:color w:val="auto"/>
          <w:spacing w:val="0"/>
          <w:position w:val="0"/>
          <w:sz w:val="24"/>
          <w:highlight w:val="none"/>
          <w:shd w:val="clear" w:fill="auto"/>
        </w:rPr>
        <w:t>　　　　　　　　　　　　</w:t>
      </w:r>
    </w:p>
    <w:p w14:paraId="58AB6AC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黄春雷</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17629825336</w:t>
      </w:r>
      <w:r>
        <w:rPr>
          <w:rFonts w:ascii="宋体" w:hAnsi="宋体" w:eastAsia="宋体" w:cs="宋体"/>
          <w:color w:val="auto"/>
          <w:spacing w:val="0"/>
          <w:position w:val="0"/>
          <w:sz w:val="24"/>
          <w:highlight w:val="none"/>
          <w:shd w:val="clear" w:fill="auto"/>
        </w:rPr>
        <w:t xml:space="preserve">　　　　　　　　 </w:t>
      </w:r>
    </w:p>
    <w:p w14:paraId="70F14DF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17DEA53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20C5486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6DBF0B5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王硕</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0394-8106517、13525741688</w:t>
      </w:r>
      <w:r>
        <w:rPr>
          <w:rFonts w:ascii="宋体" w:hAnsi="宋体" w:eastAsia="宋体" w:cs="宋体"/>
          <w:color w:val="auto"/>
          <w:spacing w:val="0"/>
          <w:position w:val="0"/>
          <w:sz w:val="24"/>
          <w:highlight w:val="none"/>
          <w:shd w:val="clear" w:fill="auto"/>
        </w:rPr>
        <w:t>　　　　　　　　</w:t>
      </w:r>
    </w:p>
    <w:p w14:paraId="226B4AD3">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cs="宋体"/>
          <w:sz w:val="24"/>
          <w:szCs w:val="24"/>
        </w:rPr>
        <w:t>周口市财政局政府采购监督管理科</w:t>
      </w:r>
    </w:p>
    <w:p w14:paraId="3E0039E9">
      <w:pPr>
        <w:spacing w:before="0" w:after="0" w:line="24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cs="宋体"/>
          <w:sz w:val="24"/>
          <w:szCs w:val="24"/>
        </w:rPr>
        <w:t>0394-8319868</w:t>
      </w:r>
      <w:r>
        <w:rPr>
          <w:rFonts w:ascii="宋体" w:hAnsi="宋体" w:eastAsia="宋体" w:cs="宋体"/>
          <w:color w:val="auto"/>
          <w:spacing w:val="0"/>
          <w:position w:val="0"/>
          <w:sz w:val="24"/>
          <w:highlight w:val="none"/>
          <w:shd w:val="clear" w:fill="auto"/>
        </w:rPr>
        <w:t xml:space="preserve">  </w:t>
      </w:r>
    </w:p>
    <w:p w14:paraId="52C0D8FD">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51EEAC4">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161D46D9">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208DE975">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2B7A805A">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15C03A79">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013130BD">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6FBE6316">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4B9BD718">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578058A3">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3953673C">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32772E51">
      <w:pPr>
        <w:tabs>
          <w:tab w:val="left" w:pos="0"/>
          <w:tab w:val="left" w:pos="993"/>
          <w:tab w:val="left" w:pos="1134"/>
        </w:tabs>
        <w:spacing w:before="0" w:after="0" w:line="240" w:lineRule="auto"/>
        <w:ind w:left="0" w:right="0" w:firstLine="5068" w:firstLineChars="2112"/>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2025</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25</w:t>
      </w:r>
      <w:r>
        <w:rPr>
          <w:rFonts w:ascii="宋体" w:hAnsi="宋体" w:eastAsia="宋体" w:cs="宋体"/>
          <w:color w:val="auto"/>
          <w:spacing w:val="0"/>
          <w:position w:val="0"/>
          <w:sz w:val="24"/>
          <w:highlight w:val="none"/>
          <w:shd w:val="clear" w:fill="auto"/>
        </w:rPr>
        <w:t>日</w:t>
      </w:r>
    </w:p>
    <w:p w14:paraId="45794B31">
      <w:pPr>
        <w:pStyle w:val="2"/>
        <w:rPr>
          <w:rFonts w:ascii="宋体" w:hAnsi="宋体" w:eastAsia="宋体" w:cs="宋体"/>
          <w:color w:val="auto"/>
          <w:spacing w:val="0"/>
          <w:position w:val="0"/>
          <w:sz w:val="24"/>
          <w:highlight w:val="none"/>
          <w:shd w:val="clear" w:fill="auto"/>
        </w:rPr>
      </w:pPr>
    </w:p>
    <w:p w14:paraId="0A182E35">
      <w:pPr>
        <w:pStyle w:val="2"/>
        <w:rPr>
          <w:rFonts w:ascii="宋体" w:hAnsi="宋体" w:eastAsia="宋体" w:cs="宋体"/>
          <w:color w:val="auto"/>
          <w:spacing w:val="0"/>
          <w:position w:val="0"/>
          <w:sz w:val="24"/>
          <w:highlight w:val="none"/>
          <w:shd w:val="clear" w:fill="auto"/>
        </w:rPr>
      </w:pPr>
    </w:p>
    <w:p w14:paraId="5B5DD29D">
      <w:pPr>
        <w:pStyle w:val="2"/>
        <w:rPr>
          <w:rFonts w:ascii="宋体" w:hAnsi="宋体" w:eastAsia="宋体" w:cs="宋体"/>
          <w:color w:val="auto"/>
          <w:spacing w:val="0"/>
          <w:position w:val="0"/>
          <w:sz w:val="24"/>
          <w:highlight w:val="none"/>
          <w:shd w:val="clear" w:fill="auto"/>
        </w:rPr>
      </w:pPr>
    </w:p>
    <w:p w14:paraId="57628300">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77F6FD2A">
      <w:pPr>
        <w:pStyle w:val="5"/>
        <w:bidi w:val="0"/>
        <w:rPr>
          <w:highlight w:val="none"/>
        </w:rPr>
      </w:pPr>
      <w:r>
        <w:rPr>
          <w:highlight w:val="none"/>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3A30B6AA">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4F5A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117A45C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61E5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B6A3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AA233">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5DC1F55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05FE0">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12C86">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21882">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周口市生态环境局商水分局关于对我县生态环境保护综合执法装备标准化建设项目</w:t>
            </w:r>
          </w:p>
          <w:p w14:paraId="42A914D8">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采购需求</w:t>
            </w:r>
          </w:p>
          <w:p w14:paraId="0DC7E23B">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周口市生态环境局商水分局</w:t>
            </w:r>
          </w:p>
          <w:p w14:paraId="739C171A">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43B1FBD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12E6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3E1B7">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1FEF3">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1B4EFCC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9335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E008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2467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77A3124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968A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8FE0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BB8D7">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362C168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7565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291B4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A8A4D">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61A5BA7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96917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0F6E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BB834">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47065C7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6D637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176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B0B47">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3F6DB62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BA703">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12794">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0580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30B3F74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10D9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D34AC">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CE18E">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22EA201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FE35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E616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8550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1DB5AE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D334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5A62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F599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4BE371C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3563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D313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B0A4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tc>
      </w:tr>
      <w:tr w14:paraId="33CD620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1CC1F">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5265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F302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12</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08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 xml:space="preserve"> </w:t>
            </w:r>
          </w:p>
        </w:tc>
      </w:tr>
      <w:tr w14:paraId="0ABF942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9A24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1C22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FD2AF">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42B5D3B5">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50E64475">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1F2B495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1F1BC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07F0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1AA1D">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12</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08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p>
        </w:tc>
      </w:tr>
      <w:tr w14:paraId="603F96F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8EAA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F373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04DD3">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2541349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A061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7D6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840B2">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4F55467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38C2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D74F6">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2D97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753FE98A">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FC26E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D21BA">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9D714">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08E022A0">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60C5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214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71597">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合同签订后30日历天内</w:t>
            </w:r>
          </w:p>
        </w:tc>
      </w:tr>
      <w:tr w14:paraId="0F6B8F41">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55F4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21625">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7C19A">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签订合同后支付中标金额的40%，设备验收通过后支付中标金额的60%</w:t>
            </w:r>
            <w:r>
              <w:rPr>
                <w:rFonts w:hint="eastAsia" w:ascii="宋体" w:hAnsi="宋体" w:eastAsia="宋体" w:cs="宋体"/>
                <w:color w:val="auto"/>
                <w:spacing w:val="0"/>
                <w:position w:val="0"/>
                <w:sz w:val="24"/>
                <w:szCs w:val="28"/>
                <w:highlight w:val="none"/>
                <w:shd w:val="clear" w:fill="auto"/>
              </w:rPr>
              <w:t>。</w:t>
            </w:r>
          </w:p>
        </w:tc>
      </w:tr>
      <w:tr w14:paraId="34DB6518">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866A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C8BF1">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9AC9F">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55808A1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6C3F3">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138CA">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86E3B">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2A9ACE8D">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37819">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9F40A">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4E15F">
            <w:pPr>
              <w:jc w:val="both"/>
              <w:rPr>
                <w:rFonts w:hint="default"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3年</w:t>
            </w:r>
          </w:p>
        </w:tc>
      </w:tr>
      <w:tr w14:paraId="373C214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08A86">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8EE0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D3F7B">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bl>
    <w:p w14:paraId="30E1076A">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25DA295B">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509C891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4815EF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3FDAC8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A257515">
      <w:pPr>
        <w:spacing w:before="0" w:after="0" w:line="720" w:lineRule="auto"/>
        <w:ind w:left="0" w:right="0" w:firstLine="0"/>
        <w:jc w:val="both"/>
        <w:rPr>
          <w:rFonts w:ascii="宋体" w:hAnsi="宋体" w:eastAsia="宋体" w:cs="宋体"/>
          <w:b/>
          <w:color w:val="auto"/>
          <w:spacing w:val="0"/>
          <w:position w:val="0"/>
          <w:sz w:val="24"/>
          <w:highlight w:val="none"/>
          <w:shd w:val="clear" w:fill="auto"/>
        </w:rPr>
      </w:pPr>
    </w:p>
    <w:p w14:paraId="08220557">
      <w:pPr>
        <w:pStyle w:val="11"/>
        <w:rPr>
          <w:rFonts w:ascii="宋体" w:hAnsi="宋体" w:eastAsia="宋体" w:cs="宋体"/>
          <w:b/>
          <w:color w:val="auto"/>
          <w:spacing w:val="0"/>
          <w:position w:val="0"/>
          <w:sz w:val="24"/>
          <w:highlight w:val="none"/>
          <w:shd w:val="clear" w:fill="auto"/>
        </w:rPr>
      </w:pPr>
    </w:p>
    <w:p w14:paraId="364E498F">
      <w:pPr>
        <w:pStyle w:val="12"/>
        <w:rPr>
          <w:highlight w:val="none"/>
        </w:rPr>
      </w:pPr>
    </w:p>
    <w:p w14:paraId="72D73B92">
      <w:pPr>
        <w:pStyle w:val="12"/>
        <w:rPr>
          <w:highlight w:val="none"/>
        </w:rPr>
      </w:pPr>
    </w:p>
    <w:p w14:paraId="273FE7F3">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39F6F83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CC3FE4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bookmarkStart w:id="1" w:name="_GoBack"/>
      <w:bookmarkEnd w:id="1"/>
      <w:r>
        <w:rPr>
          <w:rFonts w:ascii="宋体" w:hAnsi="宋体" w:eastAsia="宋体" w:cs="宋体"/>
          <w:b/>
          <w:color w:val="auto"/>
          <w:spacing w:val="0"/>
          <w:position w:val="0"/>
          <w:sz w:val="24"/>
          <w:highlight w:val="none"/>
          <w:shd w:val="clear" w:fill="auto"/>
        </w:rPr>
        <w:t>一、总则</w:t>
      </w:r>
    </w:p>
    <w:p w14:paraId="079EA04B">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3D21BC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0165D840">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4BF29B1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1DD3D275">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周口市生态环境局商水分局</w:t>
      </w:r>
    </w:p>
    <w:p w14:paraId="671CA60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57CD60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714D3C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4E14D2A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1B42CB6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1BEC8A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344C008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57E837F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398A51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5DDF61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5206E88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047792A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2A11CB5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3C0E5DA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60136E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746117F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447CB418">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3E8DF98E">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64165735">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05405DB1">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08C115D1">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3BDF8DD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1985AE6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6173B6B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p>
    <w:p w14:paraId="72BAC7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1A7BBB9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08340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5F012D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56D9269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C085BD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3024704E">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414C44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59CB0E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35BB6E8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431741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485EC9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7D5C6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41033D6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3E7B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71A4B5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26F49AFC">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6DB402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90E4BD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78F3AD1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348BBF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6557C5A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455E6D99">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7AE1149F">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40DB51F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03E9CA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3436F4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610F3A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7A33A55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51C27CD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2EBE4C8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1A88788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不得缺少、留空或私自更改任何竞争性磋商文件要求填写的表格或提交的资料。竞争性磋商文件提供格式的按格式填列，未提供格式的可自行拟定。</w:t>
      </w:r>
    </w:p>
    <w:p w14:paraId="2FAE3E9D">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1D0E24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7CA3296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61872EB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3FF534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1D3F13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58F7453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5C2598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0AE816A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9C1238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10042B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lang w:val="zh-CN"/>
        </w:rPr>
        <w:t>法定代表人或其委托代理人</w:t>
      </w:r>
      <w:r>
        <w:rPr>
          <w:rFonts w:hint="eastAsia" w:ascii="宋体" w:hAnsi="宋体" w:cs="宋体"/>
          <w:sz w:val="24"/>
          <w:highlight w:val="none"/>
          <w:lang w:val="en-US" w:eastAsia="zh-CN"/>
        </w:rPr>
        <w:t>的身份证人像面及国徽面均须本人签字。</w:t>
      </w:r>
    </w:p>
    <w:p w14:paraId="3F32AF2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6BDE42F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5B97C762">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1C335078">
      <w:pPr>
        <w:pStyle w:val="2"/>
        <w:rPr>
          <w:highlight w:val="none"/>
        </w:rPr>
      </w:pPr>
    </w:p>
    <w:p w14:paraId="614FE682">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0BD06EA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5E2BD78E">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1C49814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035D1B5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038323C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43A69F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2DCB42C1">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162A19DE">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5E631C9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46EA6F3C">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620591B2">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8B757F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140A0DDA">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4411FAFC">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5F26762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61B4EFA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38C3ED8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6D63964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3A21E5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035FDA3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D8CE1B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368CD8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1C35A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7D0C82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6DBA67E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098A9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2CBB66C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0999BB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54F5C6E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353903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51B9B2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1D920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43D0282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4D2D29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4961CC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6949214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0684A5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22391F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FFA399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6481D5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57B13C9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7CE3AE39">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168DDC7D">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07F4FBB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1E3881B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7220A96D">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7BE15034">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0703A7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0329408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25E10A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41A541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49D737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7DA5AE02">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60BF8C9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3262E98">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7053C">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39B6C67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A0CF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F82759">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FB2D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4927C">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5522D4D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5B0B9">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54EB9C7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5D9040C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D2E2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E2A4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C87E5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343EC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5E0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6F265C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8BA7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3C7E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A793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447B4">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1179E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675460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BADC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187E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FC05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06F7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F29F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4A084F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893A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3FA9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6F48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488D5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23052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D69D8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A8AF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69A5A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843F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73FB1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0960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FC2F22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D84F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10B2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2C00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5467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0B69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ABDD35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F662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1615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5D96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115C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C1561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55AFB4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8E1B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09444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2CB7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3843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4018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62331A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CF07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88B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2651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EB33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F3C8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F3F8C2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AF0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DDEB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3982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0054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4EE3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C143D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97957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B2E6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C0BB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5740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4362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7268AD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C8C0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7C440">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46259">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284C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933F7">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23C096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C819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6BAAD">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221E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20CF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65D91">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54554C2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22F1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E374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C072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7585EFE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8D000E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B46EE3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5E57188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A2302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D43A9E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5EE2E45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275D33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1295DF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253277D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4042220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0348B3B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213B86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5A2C07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2DD139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6853AD3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78A77B4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39382C4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D1678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3E89EF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4F0A986F">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B7F3D3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30338C46">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3D462645">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44F7AAD3">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5EC90140">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05BB9CCB">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F3EDEDE">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35E4EA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38DFBD89">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5B234A5F">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2139FF7B">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2DF42906">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0D3598FB">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tbl>
      <w:tblPr>
        <w:tblStyle w:val="13"/>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19"/>
        <w:gridCol w:w="1333"/>
        <w:gridCol w:w="3881"/>
        <w:gridCol w:w="2086"/>
      </w:tblGrid>
      <w:tr w14:paraId="59EF85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567FD886">
            <w:pPr>
              <w:jc w:val="center"/>
              <w:rPr>
                <w:rFonts w:hint="eastAsia" w:ascii="宋体" w:hAnsi="宋体" w:eastAsia="宋体" w:cs="宋体"/>
                <w:bCs/>
                <w:color w:val="000000"/>
                <w:sz w:val="24"/>
                <w:szCs w:val="24"/>
                <w:highlight w:val="none"/>
              </w:rPr>
            </w:pPr>
            <w:r>
              <w:rPr>
                <w:rFonts w:ascii="宋体" w:hAnsi="宋体" w:eastAsia="宋体" w:cs="宋体"/>
                <w:b/>
                <w:color w:val="000000"/>
                <w:sz w:val="24"/>
                <w:highlight w:val="none"/>
              </w:rPr>
              <w:t>评分指标</w:t>
            </w:r>
          </w:p>
        </w:tc>
        <w:tc>
          <w:tcPr>
            <w:tcW w:w="782" w:type="pct"/>
            <w:vAlign w:val="center"/>
          </w:tcPr>
          <w:p w14:paraId="572635C8">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分值</w:t>
            </w:r>
          </w:p>
        </w:tc>
        <w:tc>
          <w:tcPr>
            <w:tcW w:w="2277" w:type="pct"/>
            <w:vAlign w:val="center"/>
          </w:tcPr>
          <w:p w14:paraId="67A1468E">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指标说明及评分标准</w:t>
            </w:r>
          </w:p>
        </w:tc>
        <w:tc>
          <w:tcPr>
            <w:tcW w:w="1224" w:type="pct"/>
            <w:vAlign w:val="center"/>
          </w:tcPr>
          <w:p w14:paraId="0CA93025">
            <w:pPr>
              <w:jc w:val="center"/>
              <w:rPr>
                <w:rFonts w:hint="eastAsia" w:ascii="宋体" w:hAnsi="宋体" w:eastAsia="宋体" w:cs="宋体"/>
                <w:b/>
                <w:color w:val="000000"/>
                <w:sz w:val="24"/>
                <w:highlight w:val="none"/>
              </w:rPr>
            </w:pPr>
            <w:r>
              <w:rPr>
                <w:rFonts w:ascii="宋体" w:hAnsi="宋体" w:eastAsia="宋体" w:cs="宋体"/>
                <w:b/>
                <w:color w:val="000000"/>
                <w:sz w:val="24"/>
                <w:highlight w:val="none"/>
              </w:rPr>
              <w:t>评分依据</w:t>
            </w:r>
          </w:p>
        </w:tc>
      </w:tr>
      <w:tr w14:paraId="294E2E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6F45D20A">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报价得分（30分）</w:t>
            </w:r>
          </w:p>
          <w:p w14:paraId="666A05BF">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p>
        </w:tc>
        <w:tc>
          <w:tcPr>
            <w:tcW w:w="782" w:type="pct"/>
            <w:vAlign w:val="center"/>
          </w:tcPr>
          <w:p w14:paraId="4316E017">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报价</w:t>
            </w:r>
          </w:p>
          <w:p w14:paraId="162FC5ED">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(30分）</w:t>
            </w:r>
          </w:p>
        </w:tc>
        <w:tc>
          <w:tcPr>
            <w:tcW w:w="3501" w:type="pct"/>
            <w:gridSpan w:val="2"/>
            <w:vAlign w:val="center"/>
          </w:tcPr>
          <w:p w14:paraId="2CC9E37C">
            <w:pPr>
              <w:spacing w:line="320" w:lineRule="auto"/>
              <w:rPr>
                <w:rFonts w:hint="eastAsia" w:ascii="宋体" w:hAnsi="宋体" w:eastAsia="宋体" w:cs="宋体"/>
                <w:sz w:val="24"/>
                <w:highlight w:val="none"/>
              </w:rPr>
            </w:pPr>
            <w:r>
              <w:rPr>
                <w:rFonts w:hint="eastAsia" w:ascii="宋体" w:hAnsi="宋体" w:eastAsia="宋体" w:cs="宋体"/>
                <w:sz w:val="24"/>
                <w:highlight w:val="none"/>
              </w:rPr>
              <w:t>满足磋商文件要求且最后报价最低的供应商的价格为磋商基准价，其价格分为满分。其他供应商的价格分统一按照下列公式计算：</w:t>
            </w:r>
          </w:p>
          <w:p w14:paraId="1611EAD7">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color w:val="auto"/>
                <w:spacing w:val="0"/>
                <w:position w:val="0"/>
                <w:sz w:val="24"/>
                <w:shd w:val="clear" w:fill="auto"/>
                <w:lang w:val="en-US" w:eastAsia="zh-CN"/>
              </w:rPr>
              <w:t>磋商报价得分=（磋商基准价/最后磋商报价）</w:t>
            </w:r>
            <w:r>
              <w:rPr>
                <w:rFonts w:hint="eastAsia" w:ascii="宋体" w:hAnsi="宋体" w:eastAsia="宋体" w:cs="宋体"/>
                <w:bCs/>
                <w:color w:val="000000"/>
                <w:kern w:val="2"/>
                <w:sz w:val="24"/>
                <w:szCs w:val="24"/>
                <w:highlight w:val="none"/>
              </w:rPr>
              <w:t>×30</w:t>
            </w:r>
          </w:p>
          <w:p w14:paraId="5393EBA9">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注：价格分计算保留小数点后二位。</w:t>
            </w:r>
          </w:p>
          <w:p w14:paraId="2C4D36BB">
            <w:pPr>
              <w:pStyle w:val="11"/>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根据财政部、工信部关于印发《政府采购促进中小企业发展管理办法》的通知（财库〔2022〕19号 ）文件规定：</w:t>
            </w:r>
          </w:p>
          <w:p w14:paraId="43B80204">
            <w:pPr>
              <w:pStyle w:val="11"/>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（1）对小微企业报价给予20%扣除，请按照《政府采购促进中小企业发展管理办法》要求提供中小企业声明函。</w:t>
            </w:r>
          </w:p>
          <w:p w14:paraId="632CC0A1">
            <w:pPr>
              <w:pStyle w:val="11"/>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（2）关于监狱企业：视同小微企业。须提供由省级以上监狱管理局、戒毒管理局（含新疆生产建设兵团）出具的属于监狱企业的证明文件，否则不考虑价格扣除。</w:t>
            </w:r>
          </w:p>
          <w:p w14:paraId="499C82A2">
            <w:pPr>
              <w:pStyle w:val="11"/>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9174DE6">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（4）没有提供有效证明材料的供应商将被视为不接受投标总价的扣除，用原投标总价参与评审。</w:t>
            </w:r>
          </w:p>
        </w:tc>
      </w:tr>
      <w:tr w14:paraId="411C70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tcBorders>
              <w:left w:val="single" w:color="auto" w:sz="4" w:space="0"/>
            </w:tcBorders>
            <w:vAlign w:val="center"/>
          </w:tcPr>
          <w:p w14:paraId="24E9A93D">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kern w:val="2"/>
                <w:sz w:val="24"/>
                <w:szCs w:val="24"/>
                <w:highlight w:val="none"/>
              </w:rPr>
              <w:t>技术部分(40分）</w:t>
            </w:r>
          </w:p>
        </w:tc>
        <w:tc>
          <w:tcPr>
            <w:tcW w:w="782" w:type="pct"/>
            <w:vAlign w:val="center"/>
          </w:tcPr>
          <w:p w14:paraId="0112F598">
            <w:pPr>
              <w:pStyle w:val="11"/>
              <w:snapToGrid w:val="0"/>
              <w:ind w:right="-21" w:firstLine="0" w:firstLineChars="0"/>
              <w:jc w:val="center"/>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技术参数</w:t>
            </w:r>
          </w:p>
          <w:p w14:paraId="75D392D5">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bCs/>
                <w:color w:val="000000"/>
                <w:kern w:val="2"/>
                <w:sz w:val="24"/>
                <w:szCs w:val="24"/>
                <w:highlight w:val="none"/>
              </w:rPr>
              <w:t>(40分）</w:t>
            </w:r>
          </w:p>
        </w:tc>
        <w:tc>
          <w:tcPr>
            <w:tcW w:w="3501" w:type="pct"/>
            <w:gridSpan w:val="2"/>
            <w:vAlign w:val="center"/>
          </w:tcPr>
          <w:p w14:paraId="40A0BF18">
            <w:pPr>
              <w:spacing w:line="360" w:lineRule="auto"/>
              <w:rPr>
                <w:rFonts w:hint="eastAsia" w:ascii="宋体" w:hAnsi="宋体" w:eastAsia="宋体" w:cs="宋体"/>
                <w:bCs/>
                <w:color w:val="000000"/>
                <w:kern w:val="2"/>
                <w:szCs w:val="24"/>
                <w:highlight w:val="none"/>
              </w:rPr>
            </w:pPr>
            <w:r>
              <w:rPr>
                <w:rFonts w:hint="eastAsia" w:ascii="宋体" w:hAnsi="宋体" w:eastAsia="宋体" w:cs="宋体"/>
                <w:color w:val="auto"/>
                <w:sz w:val="24"/>
                <w:szCs w:val="24"/>
                <w:lang w:val="en-US" w:eastAsia="zh-CN"/>
              </w:rPr>
              <w:t>技术参数完全满足采购方要求的得40分，参数不满足招标参数中加★号的技术参数，每出现一项不满足要求的扣3分；不加★号的技术参数，每出现一项不满足要求的扣1分，本项分扣完为止。</w:t>
            </w:r>
          </w:p>
        </w:tc>
      </w:tr>
      <w:tr w14:paraId="31CE09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5" w:type="pct"/>
            <w:tcBorders>
              <w:left w:val="single" w:color="auto" w:sz="4" w:space="0"/>
            </w:tcBorders>
            <w:vAlign w:val="center"/>
          </w:tcPr>
          <w:p w14:paraId="651EA94F">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商务部分（30分）</w:t>
            </w:r>
          </w:p>
        </w:tc>
        <w:tc>
          <w:tcPr>
            <w:tcW w:w="782" w:type="pct"/>
            <w:vAlign w:val="center"/>
          </w:tcPr>
          <w:p w14:paraId="1A03A289">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商务部分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w:t>
            </w:r>
          </w:p>
        </w:tc>
        <w:tc>
          <w:tcPr>
            <w:tcW w:w="3501" w:type="pct"/>
            <w:gridSpan w:val="2"/>
            <w:vAlign w:val="center"/>
          </w:tcPr>
          <w:p w14:paraId="30BDD247">
            <w:pPr>
              <w:spacing w:line="360" w:lineRule="auto"/>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1.投标人或所投“移动执法终端”“现场执法记录仪”生产商获得中国质量检验部门颁发的全国质量检验稳定合格产品证书的得4分（提供证明材料原件扫描件或复印件并加盖投标人公章，不提供不得分）；（4分）</w:t>
            </w:r>
          </w:p>
          <w:p w14:paraId="2BD6E536">
            <w:pPr>
              <w:spacing w:line="360" w:lineRule="auto"/>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2.投标人或所投“单人防护装备”提供有CEC有害物质限量认证证书的得4分（提供证明材料原件扫描件或复印件并加盖投标人公章，不提供不得分）；（4分）</w:t>
            </w:r>
          </w:p>
          <w:p w14:paraId="2B79EAB5">
            <w:pPr>
              <w:spacing w:line="360" w:lineRule="auto"/>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3.投标人或所投“手持式光离子化检测仪(PID)”生产商具有绿色企业认证证书的得4分（提供证明材料原件扫描件或复印件并加盖投标人公章，不提供不得分）；（4分）</w:t>
            </w:r>
          </w:p>
          <w:p w14:paraId="17963082">
            <w:pPr>
              <w:spacing w:line="360" w:lineRule="auto"/>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4.投标人所投“台式计算机”产品通过MTBF认证，按照MTBF认证时长打分，MTBF≥50万小时得2分，MTBF≥100万小时得4分（提供第三方机构出具的认证证书、在线查询方式并加盖投标人公章，否则不得分）；（4分）</w:t>
            </w:r>
          </w:p>
          <w:p w14:paraId="5875FD37">
            <w:pPr>
              <w:spacing w:line="360" w:lineRule="auto"/>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5.为保障产品的质量和交付服务标准，要求投标人或者所投“现场取证装备”制造商有符合相关标准的企业管理，具有标准化良好行为企业认证证书的得4分（提供证明材料原件扫描件或复印件加盖投标人公章，不提供不得分）（4分）</w:t>
            </w:r>
          </w:p>
          <w:p w14:paraId="13F9FAC4">
            <w:pPr>
              <w:spacing w:line="360" w:lineRule="auto"/>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6.项目实施方案：提供整体项目实施方案（包括但不限于以下内容：安装调试人员配备及安排、供货进度计划及质量保证措施、应急预案）的得3分，缺项或不提供不得分.（3分）</w:t>
            </w:r>
          </w:p>
          <w:p w14:paraId="09ED0D91">
            <w:pPr>
              <w:spacing w:line="360" w:lineRule="auto"/>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7.投标人或所投“便携式电脑”“台式计算机”原厂商可提供大客户服务热线、原厂商官网支持保修权益查询、原厂商官方网站支持鉴别服务门店真伪，全部满足得3分，否则不得分（需提供含原厂商官网链接、截图并加盖原厂商公章的说明函作为评价依据）（3分）</w:t>
            </w:r>
          </w:p>
          <w:p w14:paraId="1C833995">
            <w:pPr>
              <w:spacing w:line="360" w:lineRule="auto"/>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8.企业业绩：供应商须提供自 2021年 1月1日以来，承担过类似项目业绩，每提供一份有效业绩（以合同签订日期为准），每份有效业绩得 2分，最多得4分。注：每份有效业绩需同时提供与业绩相关的采购合同及中标通知书等相关证明材料（以响应文件中附相关证明扫描件或复印件为准）且不得遮挡涂黑, 否则不得分。（4分）</w:t>
            </w:r>
          </w:p>
        </w:tc>
      </w:tr>
    </w:tbl>
    <w:p w14:paraId="67FFE8F7">
      <w:pPr>
        <w:tabs>
          <w:tab w:val="left" w:pos="0"/>
          <w:tab w:val="left" w:pos="993"/>
          <w:tab w:val="left" w:pos="1134"/>
        </w:tabs>
        <w:spacing w:before="0" w:after="0" w:line="240" w:lineRule="auto"/>
        <w:ind w:right="0"/>
        <w:jc w:val="both"/>
        <w:rPr>
          <w:rFonts w:ascii="宋体" w:hAnsi="宋体" w:eastAsia="宋体" w:cs="宋体"/>
          <w:color w:val="auto"/>
          <w:spacing w:val="0"/>
          <w:position w:val="0"/>
          <w:sz w:val="24"/>
          <w:highlight w:val="none"/>
          <w:shd w:val="clear" w:fill="auto"/>
        </w:rPr>
      </w:pPr>
    </w:p>
    <w:p w14:paraId="52B0C032">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0225A6D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76CF4B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07EB616">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0E67A5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AD684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2572C2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2BC4003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266F4BA">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447BD81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2EA30CC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4DE2EC4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0723644E">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821BE6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1E1869B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72EF8675">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19BCDD01">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6E7FC24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221A0397">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7626F4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8D45C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756D41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4EB7C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66E6631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6042C93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81FD1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02D6C7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0E387FD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71D57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7D784F31">
      <w:pPr>
        <w:pStyle w:val="11"/>
        <w:rPr>
          <w:rFonts w:hint="eastAsia"/>
          <w:highlight w:val="none"/>
          <w:lang w:val="en-US" w:eastAsia="zh-CN"/>
        </w:rPr>
      </w:pPr>
    </w:p>
    <w:p w14:paraId="1D1F07E6">
      <w:pPr>
        <w:pStyle w:val="12"/>
        <w:rPr>
          <w:rFonts w:hint="eastAsia"/>
          <w:highlight w:val="none"/>
          <w:lang w:val="en-US" w:eastAsia="zh-CN"/>
        </w:rPr>
      </w:pPr>
    </w:p>
    <w:p w14:paraId="2CE56A52">
      <w:pPr>
        <w:rPr>
          <w:rFonts w:hint="eastAsia"/>
          <w:highlight w:val="none"/>
          <w:lang w:val="en-US" w:eastAsia="zh-CN"/>
        </w:rPr>
      </w:pPr>
    </w:p>
    <w:p w14:paraId="6A13FD09">
      <w:pPr>
        <w:pStyle w:val="11"/>
        <w:ind w:left="0" w:leftChars="0" w:firstLine="0" w:firstLineChars="0"/>
        <w:rPr>
          <w:rFonts w:hint="eastAsia" w:eastAsia="楷体"/>
          <w:highlight w:val="none"/>
          <w:lang w:val="en-US" w:eastAsia="zh-CN"/>
        </w:rPr>
      </w:pPr>
    </w:p>
    <w:p w14:paraId="5D7C5CFD">
      <w:pPr>
        <w:pStyle w:val="12"/>
        <w:rPr>
          <w:rFonts w:hint="eastAsia" w:eastAsia="楷体"/>
          <w:highlight w:val="none"/>
          <w:lang w:val="en-US" w:eastAsia="zh-CN"/>
        </w:rPr>
      </w:pPr>
    </w:p>
    <w:p w14:paraId="1ACE9F98">
      <w:pPr>
        <w:rPr>
          <w:rFonts w:hint="eastAsia" w:eastAsia="楷体"/>
          <w:highlight w:val="none"/>
          <w:lang w:val="en-US" w:eastAsia="zh-CN"/>
        </w:rPr>
      </w:pPr>
    </w:p>
    <w:p w14:paraId="5FE677B1">
      <w:pPr>
        <w:pStyle w:val="2"/>
        <w:rPr>
          <w:rFonts w:hint="eastAsia" w:eastAsia="楷体"/>
          <w:highlight w:val="none"/>
          <w:lang w:val="en-US" w:eastAsia="zh-CN"/>
        </w:rPr>
      </w:pPr>
    </w:p>
    <w:p w14:paraId="722F473A">
      <w:pPr>
        <w:pStyle w:val="2"/>
        <w:rPr>
          <w:rFonts w:hint="eastAsia" w:eastAsia="楷体"/>
          <w:highlight w:val="none"/>
          <w:lang w:val="en-US" w:eastAsia="zh-CN"/>
        </w:rPr>
      </w:pPr>
    </w:p>
    <w:p w14:paraId="7BD50BC6">
      <w:pPr>
        <w:pStyle w:val="2"/>
        <w:rPr>
          <w:rFonts w:hint="eastAsia" w:eastAsia="楷体"/>
          <w:highlight w:val="none"/>
          <w:lang w:val="en-US" w:eastAsia="zh-CN"/>
        </w:rPr>
      </w:pPr>
    </w:p>
    <w:p w14:paraId="064F3D52">
      <w:pPr>
        <w:pStyle w:val="2"/>
        <w:rPr>
          <w:rFonts w:hint="eastAsia" w:eastAsia="楷体"/>
          <w:highlight w:val="none"/>
          <w:lang w:val="en-US" w:eastAsia="zh-CN"/>
        </w:rPr>
      </w:pPr>
    </w:p>
    <w:p w14:paraId="31E90FD0">
      <w:pPr>
        <w:pStyle w:val="2"/>
        <w:rPr>
          <w:rFonts w:hint="eastAsia" w:eastAsia="楷体"/>
          <w:highlight w:val="none"/>
          <w:lang w:val="en-US" w:eastAsia="zh-CN"/>
        </w:rPr>
      </w:pPr>
    </w:p>
    <w:p w14:paraId="3C94EFAB">
      <w:pPr>
        <w:pStyle w:val="2"/>
        <w:rPr>
          <w:rFonts w:hint="eastAsia" w:eastAsia="楷体"/>
          <w:highlight w:val="none"/>
          <w:lang w:val="en-US" w:eastAsia="zh-CN"/>
        </w:rPr>
      </w:pPr>
    </w:p>
    <w:p w14:paraId="17FE3E91">
      <w:pPr>
        <w:pStyle w:val="2"/>
        <w:rPr>
          <w:rFonts w:hint="eastAsia" w:eastAsia="楷体"/>
          <w:highlight w:val="none"/>
          <w:lang w:val="en-US" w:eastAsia="zh-CN"/>
        </w:rPr>
      </w:pPr>
    </w:p>
    <w:p w14:paraId="503AE9BE">
      <w:pPr>
        <w:pStyle w:val="2"/>
        <w:rPr>
          <w:rFonts w:hint="eastAsia" w:eastAsia="楷体"/>
          <w:highlight w:val="none"/>
          <w:lang w:val="en-US" w:eastAsia="zh-CN"/>
        </w:rPr>
      </w:pPr>
    </w:p>
    <w:p w14:paraId="16BAC87E">
      <w:pPr>
        <w:pStyle w:val="2"/>
        <w:rPr>
          <w:rFonts w:hint="eastAsia" w:eastAsia="楷体"/>
          <w:highlight w:val="none"/>
          <w:lang w:val="en-US" w:eastAsia="zh-CN"/>
        </w:rPr>
      </w:pPr>
    </w:p>
    <w:p w14:paraId="43A99E6F">
      <w:pPr>
        <w:pStyle w:val="2"/>
        <w:rPr>
          <w:rFonts w:hint="eastAsia" w:eastAsia="楷体"/>
          <w:highlight w:val="none"/>
          <w:lang w:val="en-US" w:eastAsia="zh-CN"/>
        </w:rPr>
      </w:pPr>
    </w:p>
    <w:p w14:paraId="2635E6AD">
      <w:pPr>
        <w:pStyle w:val="2"/>
        <w:rPr>
          <w:rFonts w:hint="eastAsia" w:eastAsia="楷体"/>
          <w:highlight w:val="none"/>
          <w:lang w:val="en-US" w:eastAsia="zh-CN"/>
        </w:rPr>
      </w:pPr>
    </w:p>
    <w:p w14:paraId="5015D65C">
      <w:pPr>
        <w:pStyle w:val="2"/>
        <w:rPr>
          <w:rFonts w:hint="eastAsia" w:eastAsia="楷体"/>
          <w:highlight w:val="none"/>
          <w:lang w:val="en-US" w:eastAsia="zh-CN"/>
        </w:rPr>
      </w:pPr>
    </w:p>
    <w:p w14:paraId="484EB8D4">
      <w:pPr>
        <w:pStyle w:val="2"/>
        <w:rPr>
          <w:rFonts w:hint="eastAsia" w:eastAsia="楷体"/>
          <w:highlight w:val="none"/>
          <w:lang w:val="en-US" w:eastAsia="zh-CN"/>
        </w:rPr>
      </w:pPr>
    </w:p>
    <w:p w14:paraId="79772193">
      <w:pPr>
        <w:pStyle w:val="2"/>
        <w:rPr>
          <w:rFonts w:hint="eastAsia" w:eastAsia="楷体"/>
          <w:highlight w:val="none"/>
          <w:lang w:val="en-US" w:eastAsia="zh-CN"/>
        </w:rPr>
      </w:pPr>
    </w:p>
    <w:p w14:paraId="75FD360B">
      <w:pPr>
        <w:pStyle w:val="2"/>
        <w:rPr>
          <w:rFonts w:hint="eastAsia" w:eastAsia="楷体"/>
          <w:highlight w:val="none"/>
          <w:lang w:val="en-US" w:eastAsia="zh-CN"/>
        </w:rPr>
      </w:pPr>
    </w:p>
    <w:p w14:paraId="237D8943">
      <w:pPr>
        <w:pStyle w:val="2"/>
        <w:rPr>
          <w:rFonts w:hint="eastAsia" w:eastAsia="楷体"/>
          <w:highlight w:val="none"/>
          <w:lang w:val="en-US" w:eastAsia="zh-CN"/>
        </w:rPr>
      </w:pPr>
    </w:p>
    <w:p w14:paraId="268A8CA6">
      <w:pPr>
        <w:pStyle w:val="2"/>
        <w:rPr>
          <w:rFonts w:hint="eastAsia" w:eastAsia="楷体"/>
          <w:highlight w:val="none"/>
          <w:lang w:val="en-US" w:eastAsia="zh-CN"/>
        </w:rPr>
      </w:pPr>
    </w:p>
    <w:p w14:paraId="7A0C34F0">
      <w:pPr>
        <w:pStyle w:val="5"/>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5571A893">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tbl>
      <w:tblPr>
        <w:tblStyle w:val="13"/>
        <w:tblW w:w="58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618"/>
        <w:gridCol w:w="599"/>
        <w:gridCol w:w="820"/>
        <w:gridCol w:w="6569"/>
        <w:gridCol w:w="501"/>
        <w:gridCol w:w="623"/>
      </w:tblGrid>
      <w:tr w14:paraId="241B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1E4DE3D5">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307" w:type="pct"/>
            <w:shd w:val="clear" w:color="auto" w:fill="auto"/>
            <w:tcMar>
              <w:top w:w="10" w:type="dxa"/>
              <w:left w:w="10" w:type="dxa"/>
              <w:right w:w="10" w:type="dxa"/>
            </w:tcMar>
            <w:vAlign w:val="center"/>
          </w:tcPr>
          <w:p w14:paraId="2AAF966E">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类别</w:t>
            </w:r>
          </w:p>
        </w:tc>
        <w:tc>
          <w:tcPr>
            <w:tcW w:w="421" w:type="pct"/>
            <w:shd w:val="clear" w:color="auto" w:fill="auto"/>
            <w:tcMar>
              <w:top w:w="10" w:type="dxa"/>
              <w:left w:w="10" w:type="dxa"/>
              <w:right w:w="10" w:type="dxa"/>
            </w:tcMar>
            <w:vAlign w:val="center"/>
          </w:tcPr>
          <w:p w14:paraId="179BF8B8">
            <w:pPr>
              <w:keepNext w:val="0"/>
              <w:keepLines w:val="0"/>
              <w:widowControl/>
              <w:suppressLineNumbers w:val="0"/>
              <w:spacing w:line="360" w:lineRule="auto"/>
              <w:jc w:val="left"/>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名称</w:t>
            </w:r>
          </w:p>
        </w:tc>
        <w:tc>
          <w:tcPr>
            <w:tcW w:w="3375" w:type="pct"/>
            <w:shd w:val="clear" w:color="auto" w:fill="auto"/>
            <w:tcMar>
              <w:top w:w="10" w:type="dxa"/>
              <w:left w:w="10" w:type="dxa"/>
              <w:right w:w="10" w:type="dxa"/>
            </w:tcMar>
            <w:vAlign w:val="center"/>
          </w:tcPr>
          <w:p w14:paraId="4D03851F">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功能参数</w:t>
            </w:r>
          </w:p>
        </w:tc>
        <w:tc>
          <w:tcPr>
            <w:tcW w:w="257" w:type="pct"/>
            <w:shd w:val="clear" w:color="auto" w:fill="auto"/>
            <w:tcMar>
              <w:top w:w="10" w:type="dxa"/>
              <w:left w:w="10" w:type="dxa"/>
              <w:right w:w="10" w:type="dxa"/>
            </w:tcMar>
            <w:vAlign w:val="center"/>
          </w:tcPr>
          <w:p w14:paraId="08F9DAC5">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320" w:type="pct"/>
            <w:shd w:val="clear" w:color="auto" w:fill="auto"/>
            <w:tcMar>
              <w:top w:w="10" w:type="dxa"/>
              <w:left w:w="10" w:type="dxa"/>
              <w:right w:w="10" w:type="dxa"/>
            </w:tcMar>
            <w:vAlign w:val="center"/>
          </w:tcPr>
          <w:p w14:paraId="18B8A0B8">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r>
      <w:tr w14:paraId="79CB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326411F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 </w:t>
            </w:r>
          </w:p>
        </w:tc>
        <w:tc>
          <w:tcPr>
            <w:tcW w:w="307" w:type="pct"/>
            <w:vMerge w:val="restart"/>
            <w:shd w:val="clear" w:color="auto" w:fill="auto"/>
            <w:tcMar>
              <w:top w:w="10" w:type="dxa"/>
              <w:left w:w="10" w:type="dxa"/>
              <w:right w:w="10" w:type="dxa"/>
            </w:tcMar>
            <w:vAlign w:val="center"/>
          </w:tcPr>
          <w:p w14:paraId="77F64EE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单人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基本</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装备</w:t>
            </w:r>
          </w:p>
        </w:tc>
        <w:tc>
          <w:tcPr>
            <w:tcW w:w="421" w:type="pct"/>
            <w:shd w:val="clear" w:color="auto" w:fill="auto"/>
            <w:tcMar>
              <w:top w:w="10" w:type="dxa"/>
              <w:left w:w="10" w:type="dxa"/>
              <w:right w:w="10" w:type="dxa"/>
            </w:tcMar>
            <w:vAlign w:val="center"/>
          </w:tcPr>
          <w:p w14:paraId="27650B9E">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移动执法终端</w:t>
            </w:r>
          </w:p>
        </w:tc>
        <w:tc>
          <w:tcPr>
            <w:tcW w:w="3375" w:type="pct"/>
            <w:shd w:val="clear" w:color="auto" w:fill="FFFFFF"/>
            <w:tcMar>
              <w:top w:w="10" w:type="dxa"/>
              <w:left w:w="10" w:type="dxa"/>
              <w:right w:w="10" w:type="dxa"/>
            </w:tcMar>
            <w:vAlign w:val="center"/>
          </w:tcPr>
          <w:p w14:paraId="75C34959">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支持Android10系统，运行速度快，性能稳定，操作方便；可选4G全网通、WiFi、蓝牙等多种通讯方式，无线通讯功能强大；出色适应各种环境下的移动工作需求；IP65高防护等级，工业级三防品质，符合军标MIL-STD-810G防震耐冲击，可应用于各种复杂苛刻的工作环境；支持GPS，北斗定位系统，定位更准确；支持1300万像素自动对焦摄像头。轻松采集各位图像和视频信息；支持一维/二维、NFC等功能模块自由选配，定位环保行业的应用需求。 USB 3.0 Type-A x 1、USB Type-C x 1、SIM卡 x 1、TF卡 x 1 最大支持128G、HDMI 1.4a x 1、12pins Pogo Pin x 1、Φ3.5mm 标准耳机接口 x 1、Φ3.5mm DC电源接口 x 1内置，ISO/IEC 14443AMOTO SE655E100R，光学分辨率: 5mil，扫描速度: 50次/s可选，EM80，硬解码光学分辨率: 5mil，扫描速度: 50次/s高通八核，2.0GHzAndroid 1064GB 4GB。WiFi 5及802.11a/b/g/n，频率2.4G/5.8G蓝牙4.1CMCC 4M：LTE B1,B3,B5,B7,B8,B20,B38,B39,B40,B41WCDMA B1/B2/B5/B8GSM B2/B3/B5/B8。 10.1英寸IPS屏 16:10，分辨率800x1280，400nitsAC100V ~ 240V、50Hz/60Hz，输出DC 5V/3A10点G+G电容屏前置5.0MP+后置13.0MP。定制嵌入式环保执法软件及无线打印接口。（含系统接口协议部署调试服务）</w:t>
            </w:r>
          </w:p>
        </w:tc>
        <w:tc>
          <w:tcPr>
            <w:tcW w:w="257" w:type="pct"/>
            <w:shd w:val="clear" w:color="auto" w:fill="auto"/>
            <w:tcMar>
              <w:top w:w="10" w:type="dxa"/>
              <w:left w:w="10" w:type="dxa"/>
              <w:right w:w="10" w:type="dxa"/>
            </w:tcMar>
            <w:vAlign w:val="center"/>
          </w:tcPr>
          <w:p w14:paraId="56E4E6E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417B62A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w:t>
            </w:r>
          </w:p>
        </w:tc>
      </w:tr>
      <w:tr w14:paraId="6D56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5117C4A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2 </w:t>
            </w:r>
          </w:p>
        </w:tc>
        <w:tc>
          <w:tcPr>
            <w:tcW w:w="307" w:type="pct"/>
            <w:vMerge w:val="continue"/>
            <w:shd w:val="clear" w:color="auto" w:fill="auto"/>
            <w:tcMar>
              <w:top w:w="10" w:type="dxa"/>
              <w:left w:w="10" w:type="dxa"/>
              <w:right w:w="10" w:type="dxa"/>
            </w:tcMar>
            <w:vAlign w:val="center"/>
          </w:tcPr>
          <w:p w14:paraId="239A27FE">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036D99AE">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现场执法记录仪</w:t>
            </w:r>
          </w:p>
        </w:tc>
        <w:tc>
          <w:tcPr>
            <w:tcW w:w="3375" w:type="pct"/>
            <w:shd w:val="clear" w:color="auto" w:fill="FFFFFF"/>
            <w:tcMar>
              <w:top w:w="10" w:type="dxa"/>
              <w:left w:w="10" w:type="dxa"/>
              <w:right w:w="10" w:type="dxa"/>
            </w:tcMar>
            <w:vAlign w:val="center"/>
          </w:tcPr>
          <w:p w14:paraId="411FBE4A">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80mm*54mm*28mm重量125g屏幕尺寸：2.0寸IPS高清显示屏有效像素：6500万拍照像素镜头角度：广角173°存储容量：存储容量32G电池续航：连续续航13小时左右循环录影：支持防跌落高度：3m以上，防护等级IP68照明功能：内置LED白色补光照明灯红外夜视8颗红外夜视灯，15m-20m以上有效夜视距离视频格式：MP4格式车载模式：支持连拍：支持音频组件内置麦克风、喇叭水印叠加设备ID、警员ID、时间日期红外夜视支持手动、自动视频分段5分钟、10分钟、15分钟、30分钟可选爆闪功能支持红蓝警报爆闪灯辅助功能语音播报、密码保护、警员编号、移动侦测视频分辨率：4K(2160P)、2K(1440P)、1296P、1080P、720P、480P可选视频编码：H.265视频编码工作温度：-10℃~60℃数据接口：双数据接口:TYP-C、miniUSB配件充电器、数据线、背夹、说明书兼容。</w:t>
            </w:r>
          </w:p>
        </w:tc>
        <w:tc>
          <w:tcPr>
            <w:tcW w:w="257" w:type="pct"/>
            <w:shd w:val="clear" w:color="auto" w:fill="auto"/>
            <w:tcMar>
              <w:top w:w="10" w:type="dxa"/>
              <w:left w:w="10" w:type="dxa"/>
              <w:right w:w="10" w:type="dxa"/>
            </w:tcMar>
            <w:vAlign w:val="center"/>
          </w:tcPr>
          <w:p w14:paraId="4B991D9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320" w:type="pct"/>
            <w:shd w:val="clear" w:color="auto" w:fill="auto"/>
            <w:tcMar>
              <w:top w:w="10" w:type="dxa"/>
              <w:left w:w="10" w:type="dxa"/>
              <w:right w:w="10" w:type="dxa"/>
            </w:tcMar>
            <w:vAlign w:val="center"/>
          </w:tcPr>
          <w:p w14:paraId="7ECBA4C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w:t>
            </w:r>
          </w:p>
        </w:tc>
      </w:tr>
      <w:tr w14:paraId="2520C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2B43025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3 </w:t>
            </w:r>
          </w:p>
        </w:tc>
        <w:tc>
          <w:tcPr>
            <w:tcW w:w="307" w:type="pct"/>
            <w:vMerge w:val="continue"/>
            <w:shd w:val="clear" w:color="auto" w:fill="auto"/>
            <w:tcMar>
              <w:top w:w="10" w:type="dxa"/>
              <w:left w:w="10" w:type="dxa"/>
              <w:right w:w="10" w:type="dxa"/>
            </w:tcMar>
            <w:vAlign w:val="center"/>
          </w:tcPr>
          <w:p w14:paraId="63D22CE8">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5EAB604C">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个人剂量报警仪</w:t>
            </w:r>
          </w:p>
        </w:tc>
        <w:tc>
          <w:tcPr>
            <w:tcW w:w="3375" w:type="pct"/>
            <w:shd w:val="clear" w:color="auto" w:fill="FFFFFF"/>
            <w:tcMar>
              <w:top w:w="10" w:type="dxa"/>
              <w:left w:w="10" w:type="dxa"/>
              <w:right w:w="10" w:type="dxa"/>
            </w:tcMar>
            <w:vAlign w:val="center"/>
          </w:tcPr>
          <w:p w14:paraId="5973F4E4">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测量范围：剂量当量率0.01μSv/h～10mSv/h；累积剂量当量0.00μSv～999.9Sv。2、灵敏度：≥1.5CPS/uSv/h（相对于137Cs）。3、可切换中英文操作界面。4、能量响应:48keV～3.0MeV。5、相对误差:＜5%（在1mSv/h时）。6、探测器：采用能量补偿型GM管。7、仪器采用顶式屏设计，OLED显示屏，示数清晰。8、仪器配备背夹，便于佩戴与读值。9、双按键操作，简便易用。10、具备剂量率、累积剂量、阻塞故障等报警功能。11、具备声、光、振动报警方式任意组合功能。12、报警阈值在量程范围内可任意设置。★13、仪器需拥有产品计量器具型式批准证书。★14、仪器需符合《电磁兼容试验和测量技术静电放电抗扰度试验》标准，可通过静电放电抗扰度试验，提供省级或以上检验机构出具的检验报告。★15、仪器需符合《电磁兼容试验和测量技术射频电磁场辐射抗扰度试验》标准。</w:t>
            </w:r>
          </w:p>
        </w:tc>
        <w:tc>
          <w:tcPr>
            <w:tcW w:w="257" w:type="pct"/>
            <w:shd w:val="clear" w:color="auto" w:fill="auto"/>
            <w:tcMar>
              <w:top w:w="10" w:type="dxa"/>
              <w:left w:w="10" w:type="dxa"/>
              <w:right w:w="10" w:type="dxa"/>
            </w:tcMar>
            <w:vAlign w:val="center"/>
          </w:tcPr>
          <w:p w14:paraId="0E2456B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部</w:t>
            </w:r>
          </w:p>
        </w:tc>
        <w:tc>
          <w:tcPr>
            <w:tcW w:w="320" w:type="pct"/>
            <w:shd w:val="clear" w:color="auto" w:fill="auto"/>
            <w:tcMar>
              <w:top w:w="10" w:type="dxa"/>
              <w:left w:w="10" w:type="dxa"/>
              <w:right w:w="10" w:type="dxa"/>
            </w:tcMar>
            <w:vAlign w:val="center"/>
          </w:tcPr>
          <w:p w14:paraId="2EE3B21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7BEB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517B6F7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4 </w:t>
            </w:r>
          </w:p>
        </w:tc>
        <w:tc>
          <w:tcPr>
            <w:tcW w:w="307" w:type="pct"/>
            <w:vMerge w:val="continue"/>
            <w:shd w:val="clear" w:color="auto" w:fill="auto"/>
            <w:tcMar>
              <w:top w:w="10" w:type="dxa"/>
              <w:left w:w="10" w:type="dxa"/>
              <w:right w:w="10" w:type="dxa"/>
            </w:tcMar>
            <w:vAlign w:val="center"/>
          </w:tcPr>
          <w:p w14:paraId="3F63A29B">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3930B314">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单人防护装备</w:t>
            </w:r>
          </w:p>
        </w:tc>
        <w:tc>
          <w:tcPr>
            <w:tcW w:w="3375" w:type="pct"/>
            <w:shd w:val="clear" w:color="auto" w:fill="FFFFFF"/>
            <w:tcMar>
              <w:top w:w="10" w:type="dxa"/>
              <w:left w:w="10" w:type="dxa"/>
              <w:right w:w="10" w:type="dxa"/>
            </w:tcMar>
            <w:vAlign w:val="center"/>
          </w:tcPr>
          <w:p w14:paraId="5E6820FC">
            <w:pPr>
              <w:keepNext w:val="0"/>
              <w:keepLines w:val="0"/>
              <w:widowControl/>
              <w:suppressLineNumbers w:val="0"/>
              <w:spacing w:line="360" w:lineRule="auto"/>
              <w:jc w:val="left"/>
              <w:textAlignment w:val="center"/>
              <w:rPr>
                <w:rStyle w:val="19"/>
                <w:rFonts w:hint="eastAsia" w:ascii="宋体" w:hAnsi="宋体" w:eastAsia="宋体" w:cs="宋体"/>
                <w:sz w:val="24"/>
                <w:szCs w:val="24"/>
                <w:highlight w:val="none"/>
                <w:lang w:val="en-US" w:eastAsia="zh-CN" w:bidi="ar"/>
              </w:rPr>
            </w:pPr>
            <w:r>
              <w:rPr>
                <w:rStyle w:val="19"/>
                <w:rFonts w:hint="eastAsia" w:ascii="宋体" w:hAnsi="宋体" w:eastAsia="宋体" w:cs="宋体"/>
                <w:sz w:val="24"/>
                <w:szCs w:val="24"/>
                <w:highlight w:val="none"/>
                <w:lang w:val="en-US" w:eastAsia="zh-CN" w:bidi="ar"/>
              </w:rPr>
              <w:t>（含强光手电、安全帽、有毒有害物质防护服、辐射防护设备、护目镜、防护鞋、防毒面具等）1、强光手电1只:1.1亮度:≥800流明 1.2.射程:300米左右1.3.电池:2200mAh锂电池;1.4.调光:高亮、中亮、低亮1.5.灯芯寿命:≥100000小时1.6.电池寿命:循环充电1000次左右，外壳材料:高强度航空铝合金，外壳处理:阳极氧化处理；1.7.防爆等级：防爆等级：≥Ex d IIC T6Gb；1.8.防水等级:≥IP68；2、安全帽1顶:ABS 材质，防砸防刺穿、带帽衬、帽箍可调整、下颌带可调整，可根据客户需求印刷环保执法LOGO；3、防护服1套:3.1.高密度聚乙烯覆膜于聚丙烯所形成的聚合物，可提供对常见无机化学品和某些有机化学品有效防护；3.2.面料结实耐用，能有效防护多种化学物质及粉尘颗粒；3.3.面料颜色使用高能见度的黄色，使穿着者更安全；3.4.此款防护衣能有效对抗多种有害化学物质，如浓度98%硫酸、浓度10%甲醛水溶液和乙二醇等等；3.5.所有的车缝处增加了高效能的化学热熔胶条阻止化学液体的渗透和穿透。4、防化手套1副：配有耐酸性防化手套；5、护目镜1副:防尘、防雾、防化学品及有毒害液体喷溅；6、防护鞋1双:PVC材质，防穿刺、耐油、防滑、防水、防砸保护足趾；尺码：36-47码可选；7、辐射检测仪1台；7.1.测量范围:剂量当量率：0.01</w:t>
            </w:r>
            <w:r>
              <w:rPr>
                <w:rStyle w:val="20"/>
                <w:rFonts w:hint="eastAsia" w:ascii="宋体" w:hAnsi="宋体" w:eastAsia="宋体" w:cs="宋体"/>
                <w:sz w:val="24"/>
                <w:szCs w:val="24"/>
                <w:highlight w:val="none"/>
                <w:lang w:val="en-US" w:eastAsia="zh-CN" w:bidi="ar"/>
              </w:rPr>
              <w:t>μ</w:t>
            </w:r>
            <w:r>
              <w:rPr>
                <w:rStyle w:val="19"/>
                <w:rFonts w:hint="eastAsia" w:ascii="宋体" w:hAnsi="宋体" w:eastAsia="宋体" w:cs="宋体"/>
                <w:sz w:val="24"/>
                <w:szCs w:val="24"/>
                <w:highlight w:val="none"/>
                <w:lang w:val="en-US" w:eastAsia="zh-CN" w:bidi="ar"/>
              </w:rPr>
              <w:t>Sv/h～10mSv/h；累积剂量当量：0.00</w:t>
            </w:r>
            <w:r>
              <w:rPr>
                <w:rStyle w:val="20"/>
                <w:rFonts w:hint="eastAsia" w:ascii="宋体" w:hAnsi="宋体" w:eastAsia="宋体" w:cs="宋体"/>
                <w:sz w:val="24"/>
                <w:szCs w:val="24"/>
                <w:highlight w:val="none"/>
                <w:lang w:val="en-US" w:eastAsia="zh-CN" w:bidi="ar"/>
              </w:rPr>
              <w:t>μ</w:t>
            </w:r>
            <w:r>
              <w:rPr>
                <w:rStyle w:val="19"/>
                <w:rFonts w:hint="eastAsia" w:ascii="宋体" w:hAnsi="宋体" w:eastAsia="宋体" w:cs="宋体"/>
                <w:sz w:val="24"/>
                <w:szCs w:val="24"/>
                <w:highlight w:val="none"/>
                <w:lang w:val="en-US" w:eastAsia="zh-CN" w:bidi="ar"/>
              </w:rPr>
              <w:t>Sv～999.9Sv。7.2.灵敏度: ≥1.5CPS/uSv/h（相对于137Cs）。7.3.可切换中英文操作界面。7.4.能量响应:48keV～3.0MeV。7.5.相对误差:＜5%（在1mSv/h时）。7.6.探测器：采用能量补偿型GM管。7.7.仪器采用顶式屏设计，OLED显示屏，示数清晰。7.8.仪器配备背夹，便于佩戴与读值。7.9.双按键操作，简便易用。7.10.具备剂量率、累积剂量、阻塞故障等报警功能。7.11.具备声、光、振动报警方式任意组合功能。7.12.报警阈值在量程范围内可任意设置。</w:t>
            </w:r>
            <w:r>
              <w:rPr>
                <w:rFonts w:hint="eastAsia" w:ascii="宋体" w:hAnsi="宋体" w:eastAsia="宋体" w:cs="宋体"/>
                <w:i w:val="0"/>
                <w:color w:val="000000"/>
                <w:kern w:val="0"/>
                <w:sz w:val="24"/>
                <w:szCs w:val="24"/>
                <w:highlight w:val="none"/>
                <w:u w:val="none"/>
                <w:lang w:val="en-US" w:eastAsia="zh-CN" w:bidi="ar"/>
              </w:rPr>
              <w:t>★</w:t>
            </w:r>
            <w:r>
              <w:rPr>
                <w:rStyle w:val="19"/>
                <w:rFonts w:hint="eastAsia" w:ascii="宋体" w:hAnsi="宋体" w:eastAsia="宋体" w:cs="宋体"/>
                <w:sz w:val="24"/>
                <w:szCs w:val="24"/>
                <w:highlight w:val="none"/>
                <w:lang w:val="en-US" w:eastAsia="zh-CN" w:bidi="ar"/>
              </w:rPr>
              <w:t>7.13.仪器需拥有产品计量器具型式批准证书。</w:t>
            </w:r>
          </w:p>
          <w:p w14:paraId="4275DDA6">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w:t>
            </w:r>
            <w:r>
              <w:rPr>
                <w:rStyle w:val="19"/>
                <w:rFonts w:hint="eastAsia" w:ascii="宋体" w:hAnsi="宋体" w:eastAsia="宋体" w:cs="宋体"/>
                <w:sz w:val="24"/>
                <w:szCs w:val="24"/>
                <w:highlight w:val="none"/>
                <w:lang w:val="en-US" w:eastAsia="zh-CN" w:bidi="ar"/>
              </w:rPr>
              <w:t>7.14.仪器需符合《电磁兼容试验和测量技术静电放电抗扰度试验》标准，可通过静电放电抗扰度试验，提供省级或以上检验机构出具的检验报告；</w:t>
            </w:r>
            <w:r>
              <w:rPr>
                <w:rFonts w:hint="eastAsia" w:ascii="宋体" w:hAnsi="宋体" w:eastAsia="宋体" w:cs="宋体"/>
                <w:i w:val="0"/>
                <w:color w:val="000000"/>
                <w:kern w:val="0"/>
                <w:sz w:val="24"/>
                <w:szCs w:val="24"/>
                <w:highlight w:val="none"/>
                <w:u w:val="none"/>
                <w:lang w:val="en-US" w:eastAsia="zh-CN" w:bidi="ar"/>
              </w:rPr>
              <w:t>★</w:t>
            </w:r>
            <w:r>
              <w:rPr>
                <w:rStyle w:val="19"/>
                <w:rFonts w:hint="eastAsia" w:ascii="宋体" w:hAnsi="宋体" w:eastAsia="宋体" w:cs="宋体"/>
                <w:sz w:val="24"/>
                <w:szCs w:val="24"/>
                <w:highlight w:val="none"/>
                <w:lang w:val="en-US" w:eastAsia="zh-CN" w:bidi="ar"/>
              </w:rPr>
              <w:t>7.15.仪器需符合《电磁兼容试验和测量技术射频电磁场辐射抗扰度试验》标准，可通过射频电磁场辐射抗扰度试验，提供省级或以上检验机构出具的检验报告；8.配有呼吸设备1套：符合 GB 2890-2009及GB 2626-2006，通过 LA 标准认证，配备滤棉盖、滤棉、滤毒罐，具有防化、防毒功能9、配备双肩个人防护背包，双开口拉链，带充电插口，方便给执法设备充电；人性化结构设计，前面开口拉链，可便捷存放多种防护用品，可根据客户需求印刷环保执法LOGO。标准配置：强光手电、安全帽、有毒有害物质防护服，防化手套，辐射防护设备。</w:t>
            </w:r>
          </w:p>
        </w:tc>
        <w:tc>
          <w:tcPr>
            <w:tcW w:w="257" w:type="pct"/>
            <w:shd w:val="clear" w:color="auto" w:fill="auto"/>
            <w:tcMar>
              <w:top w:w="10" w:type="dxa"/>
              <w:left w:w="10" w:type="dxa"/>
              <w:right w:w="10" w:type="dxa"/>
            </w:tcMar>
            <w:vAlign w:val="center"/>
          </w:tcPr>
          <w:p w14:paraId="23712D3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320" w:type="pct"/>
            <w:shd w:val="clear" w:color="auto" w:fill="auto"/>
            <w:tcMar>
              <w:top w:w="10" w:type="dxa"/>
              <w:left w:w="10" w:type="dxa"/>
              <w:right w:w="10" w:type="dxa"/>
            </w:tcMar>
            <w:vAlign w:val="center"/>
          </w:tcPr>
          <w:p w14:paraId="33FA39F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21</w:t>
            </w:r>
          </w:p>
        </w:tc>
      </w:tr>
      <w:tr w14:paraId="5B56B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1BE886A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5 </w:t>
            </w:r>
          </w:p>
        </w:tc>
        <w:tc>
          <w:tcPr>
            <w:tcW w:w="307" w:type="pct"/>
            <w:vMerge w:val="restart"/>
            <w:shd w:val="clear" w:color="auto" w:fill="auto"/>
            <w:tcMar>
              <w:top w:w="10" w:type="dxa"/>
              <w:left w:w="10" w:type="dxa"/>
              <w:right w:w="10" w:type="dxa"/>
            </w:tcMar>
            <w:vAlign w:val="center"/>
          </w:tcPr>
          <w:p w14:paraId="71884EA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单组</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执法</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装备</w:t>
            </w:r>
          </w:p>
        </w:tc>
        <w:tc>
          <w:tcPr>
            <w:tcW w:w="421" w:type="pct"/>
            <w:shd w:val="clear" w:color="auto" w:fill="auto"/>
            <w:tcMar>
              <w:top w:w="10" w:type="dxa"/>
              <w:left w:w="10" w:type="dxa"/>
              <w:right w:w="10" w:type="dxa"/>
            </w:tcMar>
            <w:vAlign w:val="center"/>
          </w:tcPr>
          <w:p w14:paraId="4B187385">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水质快检试剂包</w:t>
            </w:r>
          </w:p>
        </w:tc>
        <w:tc>
          <w:tcPr>
            <w:tcW w:w="3375" w:type="pct"/>
            <w:shd w:val="clear" w:color="auto" w:fill="auto"/>
            <w:tcMar>
              <w:top w:w="10" w:type="dxa"/>
              <w:left w:w="10" w:type="dxa"/>
              <w:right w:w="10" w:type="dxa"/>
            </w:tcMar>
            <w:vAlign w:val="center"/>
          </w:tcPr>
          <w:p w14:paraId="6C794BFB">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用于废水水质快速检测，可选择试纸、比色管和试剂盒等类型，能快速定性检测pH、COD、氨氮、总磷、总氮及常用重金属等指标。</w:t>
            </w:r>
          </w:p>
        </w:tc>
        <w:tc>
          <w:tcPr>
            <w:tcW w:w="257" w:type="pct"/>
            <w:shd w:val="clear" w:color="auto" w:fill="auto"/>
            <w:tcMar>
              <w:top w:w="10" w:type="dxa"/>
              <w:left w:w="10" w:type="dxa"/>
              <w:right w:w="10" w:type="dxa"/>
            </w:tcMar>
            <w:vAlign w:val="center"/>
          </w:tcPr>
          <w:p w14:paraId="11A289D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320" w:type="pct"/>
            <w:shd w:val="clear" w:color="auto" w:fill="auto"/>
            <w:tcMar>
              <w:top w:w="10" w:type="dxa"/>
              <w:left w:w="10" w:type="dxa"/>
              <w:right w:w="10" w:type="dxa"/>
            </w:tcMar>
            <w:vAlign w:val="center"/>
          </w:tcPr>
          <w:p w14:paraId="0C60980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r>
      <w:tr w14:paraId="3FE1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23C59B1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6 </w:t>
            </w:r>
          </w:p>
        </w:tc>
        <w:tc>
          <w:tcPr>
            <w:tcW w:w="307" w:type="pct"/>
            <w:vMerge w:val="continue"/>
            <w:shd w:val="clear" w:color="auto" w:fill="auto"/>
            <w:tcMar>
              <w:top w:w="10" w:type="dxa"/>
              <w:left w:w="10" w:type="dxa"/>
              <w:right w:w="10" w:type="dxa"/>
            </w:tcMar>
            <w:vAlign w:val="center"/>
          </w:tcPr>
          <w:p w14:paraId="4DA61DA4">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50087034">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手持式光离子化检测仪(PID)</w:t>
            </w:r>
          </w:p>
        </w:tc>
        <w:tc>
          <w:tcPr>
            <w:tcW w:w="3375" w:type="pct"/>
            <w:shd w:val="clear" w:color="auto" w:fill="auto"/>
            <w:tcMar>
              <w:top w:w="10" w:type="dxa"/>
              <w:left w:w="10" w:type="dxa"/>
              <w:right w:w="10" w:type="dxa"/>
            </w:tcMar>
            <w:vAlign w:val="center"/>
          </w:tcPr>
          <w:p w14:paraId="7C6ACDA4">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通过光离子技术快速检测VOCs气体。具备防爆、便携性强、检测精度高、检测结果可直接读取等功能。</w:t>
            </w:r>
          </w:p>
        </w:tc>
        <w:tc>
          <w:tcPr>
            <w:tcW w:w="257" w:type="pct"/>
            <w:shd w:val="clear" w:color="auto" w:fill="auto"/>
            <w:tcMar>
              <w:top w:w="10" w:type="dxa"/>
              <w:left w:w="10" w:type="dxa"/>
              <w:right w:w="10" w:type="dxa"/>
            </w:tcMar>
            <w:vAlign w:val="center"/>
          </w:tcPr>
          <w:p w14:paraId="304E863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部</w:t>
            </w:r>
          </w:p>
        </w:tc>
        <w:tc>
          <w:tcPr>
            <w:tcW w:w="320" w:type="pct"/>
            <w:shd w:val="clear" w:color="auto" w:fill="auto"/>
            <w:tcMar>
              <w:top w:w="10" w:type="dxa"/>
              <w:left w:w="10" w:type="dxa"/>
              <w:right w:w="10" w:type="dxa"/>
            </w:tcMar>
            <w:vAlign w:val="center"/>
          </w:tcPr>
          <w:p w14:paraId="26A8174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r>
      <w:tr w14:paraId="2420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660DFAE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7 </w:t>
            </w:r>
          </w:p>
        </w:tc>
        <w:tc>
          <w:tcPr>
            <w:tcW w:w="307" w:type="pct"/>
            <w:vMerge w:val="continue"/>
            <w:shd w:val="clear" w:color="auto" w:fill="auto"/>
            <w:tcMar>
              <w:top w:w="10" w:type="dxa"/>
              <w:left w:w="10" w:type="dxa"/>
              <w:right w:w="10" w:type="dxa"/>
            </w:tcMar>
            <w:vAlign w:val="center"/>
          </w:tcPr>
          <w:p w14:paraId="352148E8">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6390BEDE">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手持热电风速仪</w:t>
            </w:r>
          </w:p>
        </w:tc>
        <w:tc>
          <w:tcPr>
            <w:tcW w:w="3375" w:type="pct"/>
            <w:shd w:val="clear" w:color="auto" w:fill="auto"/>
            <w:tcMar>
              <w:top w:w="10" w:type="dxa"/>
              <w:left w:w="10" w:type="dxa"/>
              <w:right w:w="10" w:type="dxa"/>
            </w:tcMar>
            <w:vAlign w:val="center"/>
          </w:tcPr>
          <w:p w14:paraId="69683F0D">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配备热敏式感应探头，无需风叶旋转即可测量风速，可直观读数。</w:t>
            </w:r>
          </w:p>
        </w:tc>
        <w:tc>
          <w:tcPr>
            <w:tcW w:w="257" w:type="pct"/>
            <w:shd w:val="clear" w:color="auto" w:fill="auto"/>
            <w:tcMar>
              <w:top w:w="10" w:type="dxa"/>
              <w:left w:w="10" w:type="dxa"/>
              <w:right w:w="10" w:type="dxa"/>
            </w:tcMar>
            <w:vAlign w:val="center"/>
          </w:tcPr>
          <w:p w14:paraId="1A1589AA">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部</w:t>
            </w:r>
          </w:p>
        </w:tc>
        <w:tc>
          <w:tcPr>
            <w:tcW w:w="320" w:type="pct"/>
            <w:shd w:val="clear" w:color="auto" w:fill="auto"/>
            <w:tcMar>
              <w:top w:w="10" w:type="dxa"/>
              <w:left w:w="10" w:type="dxa"/>
              <w:right w:w="10" w:type="dxa"/>
            </w:tcMar>
            <w:vAlign w:val="center"/>
          </w:tcPr>
          <w:p w14:paraId="68DD503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r>
      <w:tr w14:paraId="45D3E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2DABFBE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8 </w:t>
            </w:r>
          </w:p>
        </w:tc>
        <w:tc>
          <w:tcPr>
            <w:tcW w:w="307" w:type="pct"/>
            <w:vMerge w:val="continue"/>
            <w:shd w:val="clear" w:color="auto" w:fill="auto"/>
            <w:tcMar>
              <w:top w:w="10" w:type="dxa"/>
              <w:left w:w="10" w:type="dxa"/>
              <w:right w:w="10" w:type="dxa"/>
            </w:tcMar>
            <w:vAlign w:val="center"/>
          </w:tcPr>
          <w:p w14:paraId="2630E69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07F35AE8">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测距仪</w:t>
            </w:r>
          </w:p>
        </w:tc>
        <w:tc>
          <w:tcPr>
            <w:tcW w:w="3375" w:type="pct"/>
            <w:shd w:val="clear" w:color="auto" w:fill="FFFFFF"/>
            <w:tcMar>
              <w:top w:w="10" w:type="dxa"/>
              <w:left w:w="10" w:type="dxa"/>
              <w:right w:w="10" w:type="dxa"/>
            </w:tcMar>
            <w:vAlign w:val="center"/>
          </w:tcPr>
          <w:p w14:paraId="0D63769A">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（含常见土壤重金属快检）1、具有防爆标志：Ex ib IIC T4 Gb / Ex ib IIIC T130℃，Db的防爆认证；2、1/2.3英寸型CMOS影像传感器3、像素＞1800万4、具有连续拍摄功能，5倍光学变焦5、视频录制支持：4K 6、3.0英寸彩色液晶显示屏7、外壳防护等级：IP68，防爆证书上需体现8、一体式内置本安型 LED 闪光灯，黑暗环境下可拍出清晰照片9、配32G内存卡。</w:t>
            </w:r>
          </w:p>
        </w:tc>
        <w:tc>
          <w:tcPr>
            <w:tcW w:w="257" w:type="pct"/>
            <w:shd w:val="clear" w:color="auto" w:fill="auto"/>
            <w:tcMar>
              <w:top w:w="10" w:type="dxa"/>
              <w:left w:w="10" w:type="dxa"/>
              <w:right w:w="10" w:type="dxa"/>
            </w:tcMar>
            <w:vAlign w:val="center"/>
          </w:tcPr>
          <w:p w14:paraId="4A4D7A4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部</w:t>
            </w:r>
          </w:p>
        </w:tc>
        <w:tc>
          <w:tcPr>
            <w:tcW w:w="320" w:type="pct"/>
            <w:shd w:val="clear" w:color="auto" w:fill="auto"/>
            <w:tcMar>
              <w:top w:w="10" w:type="dxa"/>
              <w:left w:w="10" w:type="dxa"/>
              <w:right w:w="10" w:type="dxa"/>
            </w:tcMar>
            <w:vAlign w:val="center"/>
          </w:tcPr>
          <w:p w14:paraId="5CA4C8E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r>
      <w:tr w14:paraId="4A13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7BC921C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9 </w:t>
            </w:r>
          </w:p>
        </w:tc>
        <w:tc>
          <w:tcPr>
            <w:tcW w:w="307" w:type="pct"/>
            <w:vMerge w:val="continue"/>
            <w:shd w:val="clear" w:color="auto" w:fill="auto"/>
            <w:tcMar>
              <w:top w:w="10" w:type="dxa"/>
              <w:left w:w="10" w:type="dxa"/>
              <w:right w:w="10" w:type="dxa"/>
            </w:tcMar>
            <w:vAlign w:val="center"/>
          </w:tcPr>
          <w:p w14:paraId="1039CB9E">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6316995A">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水样采样设备</w:t>
            </w:r>
          </w:p>
        </w:tc>
        <w:tc>
          <w:tcPr>
            <w:tcW w:w="3375" w:type="pct"/>
            <w:shd w:val="clear" w:color="auto" w:fill="FFFFFF"/>
            <w:tcMar>
              <w:top w:w="10" w:type="dxa"/>
              <w:left w:w="10" w:type="dxa"/>
              <w:right w:w="10" w:type="dxa"/>
            </w:tcMar>
            <w:vAlign w:val="center"/>
          </w:tcPr>
          <w:p w14:paraId="3C09F866">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1.满足标准：GB12358-2006 《作业场所环境气体检测报警仪通用技术要求》、JJF 1172-2007《挥发性有机化合物光离子化检测仪校准规范》 2.性能参数指标2.1测量类型：VOC；2.2测量原理：PID；2.3传感器：进口紫外灯传感器，紫外灯能量≥10.6eV；2.4采样方式：泵吸式无刷气泵；2.5 测量范围：0-2000ppm（其他量程可选配）2.6 仪器传感器分辨率：≥0.1ppm；★2.7 响应时间：≤3S（提供省级计量院证书报告证明）；★2.8 整个量程段线性误差≤±1%FS（提供省级计量院证书报告证明） ；2.9 报警功能 ：蜂鸣器，指示灯，两级声光报警；2.10 测量单位可自由切换ppm、mg/m3; 2.11特定VOC气体检测范围0.1-2000ppm；2.12内设不少于100种VOC气体校正CF系数，可手动设置CF系数； 2.13后期可以同时（选配）配置包括PID在内的4种气体传感器；可同时显示多组分测量结果；2.14气体浓度数值和动态曲线显示，方便用户观测污染物变化；2.15内置大容量充电锂电池（≥6000mAH），连续工作时间长；2.16 USB数据线导出存储数据，并可以对仪器充电；2.17历史记录、报警记录、标定记录等信息可通过数据线直接USB导出到电脑2.18仪器防爆等级≥ExibIICT4，可用于防爆场合；2.19保存测量数据:≥100万组2.20后期可选配土壤开孔器用于土壤VOCs监测;2.21仪器外壳防护等级≥IP652.22 全彩色TFT显示屏≥3.5寸2.23仪器可以输入被测气体的CF系数，精确测量各种VOC气体浓度；2.24仪器可以输入被测气体的分子量，实现ppm和mg/m3单位的精确换算转换；2.25校准提示功能：离上一次校准日期超过180天，会提示需要校准；★2.26多点标定功能(含一个零点，三个目标点），（提供说明书或产品图片证明）；2.27选配蓝牙打印机无线打印检测数据。</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 </w:t>
            </w:r>
          </w:p>
        </w:tc>
        <w:tc>
          <w:tcPr>
            <w:tcW w:w="257" w:type="pct"/>
            <w:shd w:val="clear" w:color="auto" w:fill="auto"/>
            <w:tcMar>
              <w:top w:w="10" w:type="dxa"/>
              <w:left w:w="10" w:type="dxa"/>
              <w:right w:w="10" w:type="dxa"/>
            </w:tcMar>
            <w:vAlign w:val="center"/>
          </w:tcPr>
          <w:p w14:paraId="5D611B5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320" w:type="pct"/>
            <w:shd w:val="clear" w:color="auto" w:fill="auto"/>
            <w:tcMar>
              <w:top w:w="10" w:type="dxa"/>
              <w:left w:w="10" w:type="dxa"/>
              <w:right w:w="10" w:type="dxa"/>
            </w:tcMar>
            <w:vAlign w:val="center"/>
          </w:tcPr>
          <w:p w14:paraId="69923A4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r>
      <w:tr w14:paraId="76DF4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42A6D5B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10 </w:t>
            </w:r>
          </w:p>
        </w:tc>
        <w:tc>
          <w:tcPr>
            <w:tcW w:w="307" w:type="pct"/>
            <w:vMerge w:val="continue"/>
            <w:shd w:val="clear" w:color="auto" w:fill="auto"/>
            <w:tcMar>
              <w:top w:w="10" w:type="dxa"/>
              <w:left w:w="10" w:type="dxa"/>
              <w:right w:w="10" w:type="dxa"/>
            </w:tcMar>
            <w:vAlign w:val="center"/>
          </w:tcPr>
          <w:p w14:paraId="122FF3A3">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453B928C">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便携式噪声检测仪(声级计)</w:t>
            </w:r>
          </w:p>
        </w:tc>
        <w:tc>
          <w:tcPr>
            <w:tcW w:w="3375" w:type="pct"/>
            <w:shd w:val="clear" w:color="auto" w:fill="FFFFFF"/>
            <w:tcMar>
              <w:top w:w="10" w:type="dxa"/>
              <w:left w:w="10" w:type="dxa"/>
              <w:right w:w="10" w:type="dxa"/>
            </w:tcMar>
            <w:vAlign w:val="center"/>
          </w:tcPr>
          <w:p w14:paraId="4773426F">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Style w:val="19"/>
                <w:rFonts w:hint="eastAsia" w:ascii="宋体" w:hAnsi="宋体" w:eastAsia="宋体" w:cs="宋体"/>
                <w:sz w:val="24"/>
                <w:szCs w:val="24"/>
                <w:highlight w:val="none"/>
                <w:lang w:val="en-US" w:eastAsia="zh-CN" w:bidi="ar"/>
              </w:rPr>
              <w:t>主要性能指标1、传声器组合：Φ12.7mm（1/2″）预极化测试电容传声器2</w:t>
            </w:r>
            <w:r>
              <w:rPr>
                <w:rStyle w:val="21"/>
                <w:rFonts w:hint="eastAsia" w:ascii="宋体" w:hAnsi="宋体" w:eastAsia="宋体" w:cs="宋体"/>
                <w:sz w:val="24"/>
                <w:szCs w:val="24"/>
                <w:highlight w:val="none"/>
                <w:lang w:val="en-US" w:eastAsia="zh-CN" w:bidi="ar"/>
              </w:rPr>
              <w:t>、</w:t>
            </w:r>
            <w:r>
              <w:rPr>
                <w:rStyle w:val="19"/>
                <w:rFonts w:hint="eastAsia" w:ascii="宋体" w:hAnsi="宋体" w:eastAsia="宋体" w:cs="宋体"/>
                <w:sz w:val="24"/>
                <w:szCs w:val="24"/>
                <w:highlight w:val="none"/>
                <w:lang w:val="en-US" w:eastAsia="zh-CN" w:bidi="ar"/>
              </w:rPr>
              <w:t>线性测量范围：28dBA～133dBA；33dBC～133dBC；40dBZ～133dBZ；66dBLCPeak～136dBLCPeak 3、频率范围：20Hz～12.5kHz。4、A/D位数：24位5、采样频率：48 kHz 6、本机电噪声：小于A计权3 μV、C计权4 μV、Z计权5 μV 7、测量上限：由所配传声器灵敏度决定。8</w:t>
            </w:r>
            <w:r>
              <w:rPr>
                <w:rStyle w:val="21"/>
                <w:rFonts w:hint="eastAsia" w:ascii="宋体" w:hAnsi="宋体" w:eastAsia="宋体" w:cs="宋体"/>
                <w:sz w:val="24"/>
                <w:szCs w:val="24"/>
                <w:highlight w:val="none"/>
                <w:lang w:val="en-US" w:eastAsia="zh-CN" w:bidi="ar"/>
              </w:rPr>
              <w:t>、</w:t>
            </w:r>
            <w:r>
              <w:rPr>
                <w:rStyle w:val="19"/>
                <w:rFonts w:hint="eastAsia" w:ascii="宋体" w:hAnsi="宋体" w:eastAsia="宋体" w:cs="宋体"/>
                <w:sz w:val="24"/>
                <w:szCs w:val="24"/>
                <w:highlight w:val="none"/>
                <w:lang w:val="en-US" w:eastAsia="zh-CN" w:bidi="ar"/>
              </w:rPr>
              <w:t>级线性范围：105dB（A计权）9、时间计权：并行（同时）F﹑S﹑I 10、频率计权：并行（同时）A、C、Z 11、检波特性：真有效值数字检波12、声级计类型：2级声级计 13、执行标准：GB/T3785-2010 2型，IEC61672：2013 2级 14、显示器：2.6寸彩屏显示，分辨率240×320，显示内容丰富，背光亮度可自动调节或手动46级调节。15、主要显示内容：可实时测量及显示多个测量指标、统计分布图、24小时列表值等。16、主要测量功能：统计分析功能3  17、主要测量指标：Lxyi、Lxyp、Lxeq、Lxmax、Lxmin、LxN、SD、SEL等注：x为A，C，Z，y为F,S,I，N为1～99  18、数据存贮：3300组带分布图的单统计分析结果，2600组带分布图的双统计分析结果（标配32 Mb FLASH RAM）。19、输出接口：AC（交流）、DC（直流），RS-232C至计算机或微型打印机，USB接口。</w:t>
            </w:r>
          </w:p>
        </w:tc>
        <w:tc>
          <w:tcPr>
            <w:tcW w:w="257" w:type="pct"/>
            <w:shd w:val="clear" w:color="auto" w:fill="auto"/>
            <w:tcMar>
              <w:top w:w="10" w:type="dxa"/>
              <w:left w:w="10" w:type="dxa"/>
              <w:right w:w="10" w:type="dxa"/>
            </w:tcMar>
            <w:vAlign w:val="center"/>
          </w:tcPr>
          <w:p w14:paraId="091BF57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部</w:t>
            </w:r>
          </w:p>
        </w:tc>
        <w:tc>
          <w:tcPr>
            <w:tcW w:w="320" w:type="pct"/>
            <w:shd w:val="clear" w:color="auto" w:fill="auto"/>
            <w:tcMar>
              <w:top w:w="10" w:type="dxa"/>
              <w:left w:w="10" w:type="dxa"/>
              <w:right w:w="10" w:type="dxa"/>
            </w:tcMar>
            <w:vAlign w:val="center"/>
          </w:tcPr>
          <w:p w14:paraId="5F32EFF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r>
      <w:tr w14:paraId="294F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41ADB78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11 </w:t>
            </w:r>
          </w:p>
        </w:tc>
        <w:tc>
          <w:tcPr>
            <w:tcW w:w="307" w:type="pct"/>
            <w:vMerge w:val="restart"/>
            <w:shd w:val="clear" w:color="auto" w:fill="auto"/>
            <w:tcMar>
              <w:top w:w="10" w:type="dxa"/>
              <w:left w:w="10" w:type="dxa"/>
              <w:right w:w="10" w:type="dxa"/>
            </w:tcMar>
            <w:vAlign w:val="center"/>
          </w:tcPr>
          <w:p w14:paraId="42E2836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现场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取证</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装备</w:t>
            </w:r>
          </w:p>
        </w:tc>
        <w:tc>
          <w:tcPr>
            <w:tcW w:w="421" w:type="pct"/>
            <w:shd w:val="clear" w:color="auto" w:fill="auto"/>
            <w:tcMar>
              <w:top w:w="10" w:type="dxa"/>
              <w:left w:w="10" w:type="dxa"/>
              <w:right w:w="10" w:type="dxa"/>
            </w:tcMar>
            <w:vAlign w:val="center"/>
          </w:tcPr>
          <w:p w14:paraId="3DF145F9">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对讲机(可含防爆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功能)</w:t>
            </w:r>
          </w:p>
        </w:tc>
        <w:tc>
          <w:tcPr>
            <w:tcW w:w="3375" w:type="pct"/>
            <w:shd w:val="clear" w:color="auto" w:fill="FFFFFF"/>
            <w:tcMar>
              <w:top w:w="10" w:type="dxa"/>
              <w:left w:w="10" w:type="dxa"/>
              <w:right w:w="10" w:type="dxa"/>
            </w:tcMar>
            <w:vAlign w:val="center"/>
          </w:tcPr>
          <w:p w14:paraId="34AE2A8F">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1.网络制式：   LTE-FDD / LTE-TDD / WCDMA / TD-SCDMA / GSM / CDMA2000-EVDO  2.工作温度范围**：-20℃ ~ +60℃ 3.防护等级：IP67  防水防尘 ★4.EX 防爆认证  防爆标志：Ex ib ⅡC T4 Gb；Ex ib ⅢC T130℃ D  5.外壳材质为 ABS，屏材质为 PC。6.产品由天线、电池壳、主壳、显示屏等组成，内装电池、电路板等</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 含天线：111 × 62 × 36 mm  - 不含天线：102 × 62 × 36 mm 重量：236g  </w:t>
            </w:r>
          </w:p>
          <w:p w14:paraId="4CCF9B91">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频段支持（LTE-FDD） </w:t>
            </w:r>
          </w:p>
          <w:p w14:paraId="0E416F55">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频段 | 发送频率 (MHz) | 接收频率 (MHz) |</w:t>
            </w:r>
          </w:p>
          <w:p w14:paraId="5AE3961A">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 B1   | 1920-1980      | 2110-2170      | </w:t>
            </w:r>
          </w:p>
          <w:p w14:paraId="12D80066">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 B3   | 1710-1785      | 1805-1880      | </w:t>
            </w:r>
          </w:p>
          <w:p w14:paraId="436A4321">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 B5   | 824-849        | 869-894        |  </w:t>
            </w:r>
          </w:p>
          <w:p w14:paraId="3012E377">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 B8   | 880-915        | 925-960        |  </w:t>
            </w:r>
          </w:p>
          <w:p w14:paraId="2FB1A510">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 B34  | 2010-2025      | 2010-2025      | </w:t>
            </w:r>
          </w:p>
          <w:p w14:paraId="768CED12">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 B38  | 2570-2620      | 2570-2620      |  </w:t>
            </w:r>
          </w:p>
          <w:p w14:paraId="560E3B41">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 B39  | 1880-1920      | 1880-1920      |  </w:t>
            </w:r>
          </w:p>
          <w:p w14:paraId="4753A5C8">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 B40  | 2300-2400      | 2300-2400      |  </w:t>
            </w:r>
          </w:p>
          <w:p w14:paraId="6A95F3BB">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 B41  | 2535-2675      | 2535-2675      |  </w:t>
            </w:r>
          </w:p>
          <w:p w14:paraId="068E5031">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电气性能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电池：   - 类型：聚合物锂电池  - 电压：DC 3.6V–4.2V   - 容量：3200mAh  功耗：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 - 待机电流：10–20mA   - 平均工作电流：300–500mA  - 峰值电流：≤800mA 充电接口：Type-C 快充 通信性能  1.发射功率：23dBm ± 2.7dB  2.接收灵敏度：≥ -102dBm  3.音频输出：2W（失真度 &lt;3%）  扩展功能  1.GPS定位：支持（可选配）  2.录音功能：支持（可选配） 3.天线类型：FPC 柔性电路板天线  总结 1. 多网络兼容：支持 2G 至 4G 全球主流网络制式。2. 强环境适应性：-20℃ 低温至 60℃温稳定运行，IP67 防护3. 长效续航：3200mAh 电池 + 低待机电流设计。</w:t>
            </w:r>
          </w:p>
          <w:p w14:paraId="27EBD1B8">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★4. 工业级可靠性：通过防爆认证（EX），适合复杂场景    </w:t>
            </w:r>
          </w:p>
        </w:tc>
        <w:tc>
          <w:tcPr>
            <w:tcW w:w="257" w:type="pct"/>
            <w:shd w:val="clear" w:color="auto" w:fill="auto"/>
            <w:tcMar>
              <w:top w:w="10" w:type="dxa"/>
              <w:left w:w="10" w:type="dxa"/>
              <w:right w:w="10" w:type="dxa"/>
            </w:tcMar>
            <w:vAlign w:val="center"/>
          </w:tcPr>
          <w:p w14:paraId="6FF3FC8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部</w:t>
            </w:r>
          </w:p>
        </w:tc>
        <w:tc>
          <w:tcPr>
            <w:tcW w:w="320" w:type="pct"/>
            <w:shd w:val="clear" w:color="auto" w:fill="auto"/>
            <w:tcMar>
              <w:top w:w="10" w:type="dxa"/>
              <w:left w:w="10" w:type="dxa"/>
              <w:right w:w="10" w:type="dxa"/>
            </w:tcMar>
            <w:vAlign w:val="center"/>
          </w:tcPr>
          <w:p w14:paraId="2EDA6C4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r>
      <w:tr w14:paraId="3CF6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4460921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12 </w:t>
            </w:r>
          </w:p>
        </w:tc>
        <w:tc>
          <w:tcPr>
            <w:tcW w:w="307" w:type="pct"/>
            <w:vMerge w:val="continue"/>
            <w:shd w:val="clear" w:color="auto" w:fill="auto"/>
            <w:tcMar>
              <w:top w:w="10" w:type="dxa"/>
              <w:left w:w="10" w:type="dxa"/>
              <w:right w:w="10" w:type="dxa"/>
            </w:tcMar>
            <w:vAlign w:val="center"/>
          </w:tcPr>
          <w:p w14:paraId="7547463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p>
        </w:tc>
        <w:tc>
          <w:tcPr>
            <w:tcW w:w="421" w:type="pct"/>
            <w:shd w:val="clear" w:color="auto" w:fill="FFFFFF"/>
            <w:tcMar>
              <w:top w:w="10" w:type="dxa"/>
              <w:left w:w="10" w:type="dxa"/>
              <w:right w:w="10" w:type="dxa"/>
            </w:tcMar>
            <w:vAlign w:val="center"/>
          </w:tcPr>
          <w:p w14:paraId="76A385ED">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轻型或微型无人机</w:t>
            </w:r>
          </w:p>
        </w:tc>
        <w:tc>
          <w:tcPr>
            <w:tcW w:w="3375" w:type="pct"/>
            <w:shd w:val="clear" w:color="auto" w:fill="FFFFFF"/>
            <w:tcMar>
              <w:top w:w="10" w:type="dxa"/>
              <w:left w:w="10" w:type="dxa"/>
              <w:right w:w="10" w:type="dxa"/>
            </w:tcMar>
            <w:vAlign w:val="center"/>
          </w:tcPr>
          <w:p w14:paraId="4F238586">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无人机（含一年损坏保险，含售后培训费）</w:t>
            </w:r>
          </w:p>
        </w:tc>
        <w:tc>
          <w:tcPr>
            <w:tcW w:w="257" w:type="pct"/>
            <w:shd w:val="clear" w:color="auto" w:fill="FFFFFF"/>
            <w:tcMar>
              <w:top w:w="10" w:type="dxa"/>
              <w:left w:w="10" w:type="dxa"/>
              <w:right w:w="10" w:type="dxa"/>
            </w:tcMar>
            <w:vAlign w:val="center"/>
          </w:tcPr>
          <w:p w14:paraId="4BD70DD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架</w:t>
            </w:r>
          </w:p>
        </w:tc>
        <w:tc>
          <w:tcPr>
            <w:tcW w:w="320" w:type="pct"/>
            <w:shd w:val="clear" w:color="auto" w:fill="FFFFFF"/>
            <w:tcMar>
              <w:top w:w="10" w:type="dxa"/>
              <w:left w:w="10" w:type="dxa"/>
              <w:right w:w="10" w:type="dxa"/>
            </w:tcMar>
            <w:vAlign w:val="center"/>
          </w:tcPr>
          <w:p w14:paraId="10239AA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2D40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777EDA7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13 </w:t>
            </w:r>
          </w:p>
        </w:tc>
        <w:tc>
          <w:tcPr>
            <w:tcW w:w="307" w:type="pct"/>
            <w:vMerge w:val="continue"/>
            <w:shd w:val="clear" w:color="auto" w:fill="auto"/>
            <w:tcMar>
              <w:top w:w="10" w:type="dxa"/>
              <w:left w:w="10" w:type="dxa"/>
              <w:right w:w="10" w:type="dxa"/>
            </w:tcMar>
            <w:vAlign w:val="center"/>
          </w:tcPr>
          <w:p w14:paraId="42937A5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p>
        </w:tc>
        <w:tc>
          <w:tcPr>
            <w:tcW w:w="421" w:type="pct"/>
            <w:shd w:val="clear" w:color="auto" w:fill="FFFFFF"/>
            <w:tcMar>
              <w:top w:w="10" w:type="dxa"/>
              <w:left w:w="10" w:type="dxa"/>
              <w:right w:w="10" w:type="dxa"/>
            </w:tcMar>
            <w:vAlign w:val="center"/>
          </w:tcPr>
          <w:p w14:paraId="12DFDA6F">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便携式土壤重金属检测仪</w:t>
            </w:r>
          </w:p>
        </w:tc>
        <w:tc>
          <w:tcPr>
            <w:tcW w:w="3375" w:type="pct"/>
            <w:shd w:val="clear" w:color="auto" w:fill="FFFFFF"/>
            <w:tcMar>
              <w:top w:w="10" w:type="dxa"/>
              <w:left w:w="10" w:type="dxa"/>
              <w:right w:w="10" w:type="dxa"/>
            </w:tcMar>
            <w:vAlign w:val="center"/>
          </w:tcPr>
          <w:p w14:paraId="5E017398">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1.6Kg（配置电池）254 x 79 x 280 mm（L x W x H）50KV/200μA最大，管压管流可自由调节，Ag靶材（标准），Au、W、Rh靶（可选配）高灵敏度探测器镁（Mg）到铀（U）之间的所有元素工业级触摸屏，也可带手套操作专用操作系统及浪声分析软件操作语言包括中文、英语在内的多国语言自动根据外部环境亮度调节显示器亮度内置32G存储器USB, 蓝牙，WIFI，可将设备联入互联网，可远程对仪器进行设置及检修数据可采用EXCEL，PDF格式输出，用户可自定义创建专业报告：包括公司标志、公司地址、检测结果、光谱谱图及，仪器配有专用的T型槽式散热装置，提高仪器散热性能，无需频繁等待探测器冷却</w:t>
            </w:r>
          </w:p>
        </w:tc>
        <w:tc>
          <w:tcPr>
            <w:tcW w:w="257" w:type="pct"/>
            <w:shd w:val="clear" w:color="auto" w:fill="FFFFFF"/>
            <w:tcMar>
              <w:top w:w="10" w:type="dxa"/>
              <w:left w:w="10" w:type="dxa"/>
              <w:right w:w="10" w:type="dxa"/>
            </w:tcMar>
            <w:vAlign w:val="center"/>
          </w:tcPr>
          <w:p w14:paraId="65F707B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部</w:t>
            </w:r>
          </w:p>
        </w:tc>
        <w:tc>
          <w:tcPr>
            <w:tcW w:w="320" w:type="pct"/>
            <w:shd w:val="clear" w:color="auto" w:fill="FFFFFF"/>
            <w:tcMar>
              <w:top w:w="10" w:type="dxa"/>
              <w:left w:w="10" w:type="dxa"/>
              <w:right w:w="10" w:type="dxa"/>
            </w:tcMar>
            <w:vAlign w:val="center"/>
          </w:tcPr>
          <w:p w14:paraId="1A6CEC5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01200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1C7BA71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14 </w:t>
            </w:r>
          </w:p>
        </w:tc>
        <w:tc>
          <w:tcPr>
            <w:tcW w:w="307" w:type="pct"/>
            <w:vMerge w:val="restart"/>
            <w:shd w:val="clear" w:color="auto" w:fill="auto"/>
            <w:tcMar>
              <w:top w:w="10" w:type="dxa"/>
              <w:left w:w="10" w:type="dxa"/>
              <w:right w:w="10" w:type="dxa"/>
            </w:tcMar>
            <w:vAlign w:val="center"/>
          </w:tcPr>
          <w:p w14:paraId="06B7F88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现场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文书</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制作</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装备</w:t>
            </w:r>
          </w:p>
        </w:tc>
        <w:tc>
          <w:tcPr>
            <w:tcW w:w="421" w:type="pct"/>
            <w:shd w:val="clear" w:color="auto" w:fill="auto"/>
            <w:tcMar>
              <w:top w:w="10" w:type="dxa"/>
              <w:left w:w="10" w:type="dxa"/>
              <w:right w:w="10" w:type="dxa"/>
            </w:tcMar>
            <w:vAlign w:val="center"/>
          </w:tcPr>
          <w:p w14:paraId="19DC81D0">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便携式电脑</w:t>
            </w:r>
          </w:p>
        </w:tc>
        <w:tc>
          <w:tcPr>
            <w:tcW w:w="3375" w:type="pct"/>
            <w:shd w:val="clear" w:color="auto" w:fill="FFFFFF"/>
            <w:tcMar>
              <w:top w:w="10" w:type="dxa"/>
              <w:left w:w="10" w:type="dxa"/>
              <w:right w:w="10" w:type="dxa"/>
            </w:tcMar>
            <w:vAlign w:val="center"/>
          </w:tcPr>
          <w:p w14:paraId="0C47F3E7">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≥14英寸/3:2/2160*1440/≥/8GB/512GB/无背光键盘/操作系统（含国产化）</w:t>
            </w:r>
          </w:p>
          <w:p w14:paraId="3C1CDFC2">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★CPU热设计功耗≤20W（提供证明文件）</w:t>
            </w:r>
          </w:p>
          <w:p w14:paraId="6E91350F">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★摄像头720P前置隐藏按压式摄像头,保护个人隐私安全。</w:t>
            </w:r>
          </w:p>
          <w:p w14:paraId="68E54889">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★投标产品通过3C认证，节能认证，环保认证，平均无故障时间≥20万小时认证，</w:t>
            </w:r>
          </w:p>
        </w:tc>
        <w:tc>
          <w:tcPr>
            <w:tcW w:w="257" w:type="pct"/>
            <w:shd w:val="clear" w:color="auto" w:fill="auto"/>
            <w:tcMar>
              <w:top w:w="10" w:type="dxa"/>
              <w:left w:w="10" w:type="dxa"/>
              <w:right w:w="10" w:type="dxa"/>
            </w:tcMar>
            <w:vAlign w:val="center"/>
          </w:tcPr>
          <w:p w14:paraId="6CF8D8C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0A61491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r>
      <w:tr w14:paraId="282D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7EF376F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15 </w:t>
            </w:r>
          </w:p>
        </w:tc>
        <w:tc>
          <w:tcPr>
            <w:tcW w:w="307" w:type="pct"/>
            <w:vMerge w:val="continue"/>
            <w:shd w:val="clear" w:color="auto" w:fill="auto"/>
            <w:tcMar>
              <w:top w:w="10" w:type="dxa"/>
              <w:left w:w="10" w:type="dxa"/>
              <w:right w:w="10" w:type="dxa"/>
            </w:tcMar>
            <w:vAlign w:val="center"/>
          </w:tcPr>
          <w:p w14:paraId="580CDDEC">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1A7D1E38">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一体机（黑白）</w:t>
            </w:r>
          </w:p>
        </w:tc>
        <w:tc>
          <w:tcPr>
            <w:tcW w:w="3375" w:type="pct"/>
            <w:shd w:val="clear" w:color="auto" w:fill="FFFFFF"/>
            <w:tcMar>
              <w:top w:w="10" w:type="dxa"/>
              <w:left w:w="10" w:type="dxa"/>
              <w:right w:w="10" w:type="dxa"/>
            </w:tcMar>
            <w:vAlign w:val="center"/>
          </w:tcPr>
          <w:p w14:paraId="2E5F5C5A">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1、黑白激光多功能一体机处理器频率≥266MHZ2、接口类型：Hi-Speed 2.0;10/100Base-TX 以太网3、打印速度≥30页/分钟4、打印分辨率HQ1200，5、复印速度( A4) ≥30页/分钟6、首页复印输出时间&lt;10秒7、扫描分辨率：最大分辨率19200x19200 dpi8、标配自动双面打印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9、标准介质尺寸A4,Letter,B5(JIS),A5,A5(长边),A6,Executive,16K(195 x 270mm)16K(184x 260mm),16K(197 x273mm)10、标准纸盘纸张输入容量250页(纸盒)+1页(手动)11、纸张输出容量≥100页 国产品牌，支持国产操作系统</w:t>
            </w:r>
          </w:p>
        </w:tc>
        <w:tc>
          <w:tcPr>
            <w:tcW w:w="257" w:type="pct"/>
            <w:shd w:val="clear" w:color="auto" w:fill="auto"/>
            <w:tcMar>
              <w:top w:w="10" w:type="dxa"/>
              <w:left w:w="10" w:type="dxa"/>
              <w:right w:w="10" w:type="dxa"/>
            </w:tcMar>
            <w:vAlign w:val="center"/>
          </w:tcPr>
          <w:p w14:paraId="492495D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744B566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r>
      <w:tr w14:paraId="2DE7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6B5F33B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16 </w:t>
            </w:r>
          </w:p>
        </w:tc>
        <w:tc>
          <w:tcPr>
            <w:tcW w:w="307" w:type="pct"/>
            <w:vMerge w:val="restart"/>
            <w:shd w:val="clear" w:color="auto" w:fill="auto"/>
            <w:tcMar>
              <w:top w:w="10" w:type="dxa"/>
              <w:left w:w="10" w:type="dxa"/>
              <w:right w:w="10" w:type="dxa"/>
            </w:tcMar>
            <w:vAlign w:val="center"/>
          </w:tcPr>
          <w:p w14:paraId="61FC203A">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日 常</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办公</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装备</w:t>
            </w:r>
          </w:p>
        </w:tc>
        <w:tc>
          <w:tcPr>
            <w:tcW w:w="421" w:type="pct"/>
            <w:shd w:val="clear" w:color="auto" w:fill="auto"/>
            <w:tcMar>
              <w:top w:w="10" w:type="dxa"/>
              <w:left w:w="10" w:type="dxa"/>
              <w:right w:w="10" w:type="dxa"/>
            </w:tcMar>
            <w:vAlign w:val="center"/>
          </w:tcPr>
          <w:p w14:paraId="70B4B11A">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固定电话</w:t>
            </w:r>
          </w:p>
        </w:tc>
        <w:tc>
          <w:tcPr>
            <w:tcW w:w="3375" w:type="pct"/>
            <w:shd w:val="clear" w:color="auto" w:fill="FFFFFF"/>
            <w:tcMar>
              <w:top w:w="10" w:type="dxa"/>
              <w:left w:w="10" w:type="dxa"/>
              <w:right w:w="10" w:type="dxa"/>
            </w:tcMar>
            <w:vAlign w:val="center"/>
          </w:tcPr>
          <w:p w14:paraId="30095C93">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支持Opus编解码支持耳机系列固件合并。（含系统接口协议部署调试服务）</w:t>
            </w:r>
          </w:p>
        </w:tc>
        <w:tc>
          <w:tcPr>
            <w:tcW w:w="257" w:type="pct"/>
            <w:shd w:val="clear" w:color="auto" w:fill="auto"/>
            <w:tcMar>
              <w:top w:w="10" w:type="dxa"/>
              <w:left w:w="10" w:type="dxa"/>
              <w:right w:w="10" w:type="dxa"/>
            </w:tcMar>
            <w:vAlign w:val="center"/>
          </w:tcPr>
          <w:p w14:paraId="5E112E2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部</w:t>
            </w:r>
          </w:p>
        </w:tc>
        <w:tc>
          <w:tcPr>
            <w:tcW w:w="320" w:type="pct"/>
            <w:shd w:val="clear" w:color="auto" w:fill="auto"/>
            <w:tcMar>
              <w:top w:w="10" w:type="dxa"/>
              <w:left w:w="10" w:type="dxa"/>
              <w:right w:w="10" w:type="dxa"/>
            </w:tcMar>
            <w:vAlign w:val="center"/>
          </w:tcPr>
          <w:p w14:paraId="3170011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0437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4A9FAE1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17 </w:t>
            </w:r>
          </w:p>
        </w:tc>
        <w:tc>
          <w:tcPr>
            <w:tcW w:w="307" w:type="pct"/>
            <w:vMerge w:val="continue"/>
            <w:shd w:val="clear" w:color="auto" w:fill="auto"/>
            <w:tcMar>
              <w:top w:w="10" w:type="dxa"/>
              <w:left w:w="10" w:type="dxa"/>
              <w:right w:w="10" w:type="dxa"/>
            </w:tcMar>
            <w:vAlign w:val="center"/>
          </w:tcPr>
          <w:p w14:paraId="708EC735">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3C76A12E">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多功能复合机（彩色）</w:t>
            </w:r>
          </w:p>
        </w:tc>
        <w:tc>
          <w:tcPr>
            <w:tcW w:w="3375" w:type="pct"/>
            <w:shd w:val="clear" w:color="auto" w:fill="FFFFFF"/>
            <w:tcMar>
              <w:top w:w="10" w:type="dxa"/>
              <w:left w:w="10" w:type="dxa"/>
              <w:right w:w="10" w:type="dxa"/>
            </w:tcMar>
            <w:vAlign w:val="center"/>
          </w:tcPr>
          <w:p w14:paraId="72A04E64">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多功能复合机：彩色：复印/打印/扫描：A3：标配8GB：256GB：标配纸盒1150页，最大容量6650页：250页：纸盒52-256g/㎡，手送纸盘60-300g/㎡：10Base-T/100Base-TX/1000Base-T，USB1.1，USB2.0，USB Host，Wi-Fi 802.11b/g/n（可选）复印速度：36cpm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原稿类型：纸张，书本，三维物体复印尺寸：A3-A5预热时间：黑白≤12秒，彩色≤13秒</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首页复印时间：黑白≤4.6秒，彩色≤6.1秒连续复印页数：1-9999页</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缩放范围：25-400%复印倍率：固定倍率0.500/0.707/0.816/0.866/1.000/1.154/1.224/1.414/2.000无图像区域：顶部约4.2mm，底部约3.0mm，两侧约3.0mm灰度等级：256级</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打印控制器：标准配置打印速度：36ppm打印分辨率：1800（等效）×600dpi，1200×1200dpi打印语言：PCL6（XL3.0），PCL5c，PostScript3（CPSI3016），XPS扫描控制器：标准配置</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扫描速度：单面100ipm，双面200ipm扫描分辨率：推扫描200dpi，300dpi，400dpi，600dpi；拉扫描100dpi，200dpi，300dpi，400dpi，600dpi输出格式：TIFF，PDF，CompactPDF，JPEG，XPS，CompactXPS，pptx，docx，xlsx，SearchablePDF，PDF/A，LinearizedPDF，Page setting</w:t>
            </w:r>
          </w:p>
        </w:tc>
        <w:tc>
          <w:tcPr>
            <w:tcW w:w="257" w:type="pct"/>
            <w:shd w:val="clear" w:color="auto" w:fill="auto"/>
            <w:tcMar>
              <w:top w:w="10" w:type="dxa"/>
              <w:left w:w="10" w:type="dxa"/>
              <w:right w:w="10" w:type="dxa"/>
            </w:tcMar>
            <w:vAlign w:val="center"/>
          </w:tcPr>
          <w:p w14:paraId="58915FE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7B91BC2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056F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1A601EE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18 </w:t>
            </w:r>
          </w:p>
        </w:tc>
        <w:tc>
          <w:tcPr>
            <w:tcW w:w="307" w:type="pct"/>
            <w:vMerge w:val="continue"/>
            <w:shd w:val="clear" w:color="auto" w:fill="auto"/>
            <w:tcMar>
              <w:top w:w="10" w:type="dxa"/>
              <w:left w:w="10" w:type="dxa"/>
              <w:right w:w="10" w:type="dxa"/>
            </w:tcMar>
            <w:vAlign w:val="center"/>
          </w:tcPr>
          <w:p w14:paraId="33349A5B">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680503B2">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台式计算机</w:t>
            </w:r>
          </w:p>
        </w:tc>
        <w:tc>
          <w:tcPr>
            <w:tcW w:w="3375" w:type="pct"/>
            <w:shd w:val="clear" w:color="auto" w:fill="FFFFFF"/>
            <w:tcMar>
              <w:top w:w="10" w:type="dxa"/>
              <w:left w:w="10" w:type="dxa"/>
              <w:right w:w="10" w:type="dxa"/>
            </w:tcMar>
            <w:vAlign w:val="center"/>
          </w:tcPr>
          <w:p w14:paraId="475DA9FB">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≥23.8英寸显示器     </w:t>
            </w:r>
          </w:p>
          <w:p w14:paraId="5415B2E2">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★CPU：ARM架构处理器，核心数≥8，主频≥2.3GHz，CPU热设计功耗≤20W（提供证明文件）</w:t>
            </w:r>
          </w:p>
          <w:p w14:paraId="4C8ED262">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★内存容量:≥8G DDR4，≥3200MHz</w:t>
            </w:r>
          </w:p>
          <w:p w14:paraId="5BC33530">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★硬盘:≥512GB M.2 NVME SSD</w:t>
            </w:r>
          </w:p>
          <w:p w14:paraId="594C24D2">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显卡:集成显卡，接口支持HDMI+VGA</w:t>
            </w:r>
          </w:p>
          <w:p w14:paraId="3F30FA34">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集成10/100/1000M以太网卡</w:t>
            </w:r>
          </w:p>
          <w:p w14:paraId="2EB24EB0">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声卡:集成声卡</w:t>
            </w:r>
          </w:p>
          <w:p w14:paraId="13174D0B">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网卡:主板集成集成10/100/1000M以太网卡</w:t>
            </w:r>
          </w:p>
          <w:p w14:paraId="304848A3">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★键盘、鼠标:同品牌抗菌键盘、抗菌鼠标（提供第三方机构测试报告）</w:t>
            </w:r>
          </w:p>
          <w:p w14:paraId="4F026FDB">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★机箱防尘:整机具备防尘设计，防尘等级满足IP5X，提供工业和信息化部直属的权威机构认证证书</w:t>
            </w:r>
          </w:p>
          <w:p w14:paraId="6F4CA779">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USB接口:≥8个主板原生USB接口（含Type-C），其中原生USB 3.0接口≥6个</w:t>
            </w:r>
          </w:p>
          <w:p w14:paraId="6531D666">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★操作系统:麒麟或统信国产操作系统</w:t>
            </w:r>
          </w:p>
          <w:p w14:paraId="75CB67EA">
            <w:pPr>
              <w:keepNext w:val="0"/>
              <w:keepLines w:val="0"/>
              <w:widowControl/>
              <w:suppressLineNumbers w:val="0"/>
              <w:spacing w:line="360" w:lineRule="auto"/>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★安全特性:支持限制USB接口使用用途，可以设置USB接口为USB存储只读和USB存储拒绝（可识别鼠标和键盘），投标时提供BIOS设置界面截图</w:t>
            </w:r>
          </w:p>
          <w:p w14:paraId="1185BC76">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★服务:原厂3年维保，3年上门服务，服务权益原厂官网可查，投标时提供查询链接和查询方法并加盖投标人公章</w:t>
            </w:r>
          </w:p>
        </w:tc>
        <w:tc>
          <w:tcPr>
            <w:tcW w:w="257" w:type="pct"/>
            <w:shd w:val="clear" w:color="auto" w:fill="auto"/>
            <w:tcMar>
              <w:top w:w="10" w:type="dxa"/>
              <w:left w:w="10" w:type="dxa"/>
              <w:right w:w="10" w:type="dxa"/>
            </w:tcMar>
            <w:vAlign w:val="center"/>
          </w:tcPr>
          <w:p w14:paraId="103A8DE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101832D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w:t>
            </w:r>
          </w:p>
        </w:tc>
      </w:tr>
      <w:tr w14:paraId="1722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7DD8D14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19 </w:t>
            </w:r>
          </w:p>
        </w:tc>
        <w:tc>
          <w:tcPr>
            <w:tcW w:w="307" w:type="pct"/>
            <w:vMerge w:val="continue"/>
            <w:shd w:val="clear" w:color="auto" w:fill="auto"/>
            <w:tcMar>
              <w:top w:w="10" w:type="dxa"/>
              <w:left w:w="10" w:type="dxa"/>
              <w:right w:w="10" w:type="dxa"/>
            </w:tcMar>
            <w:vAlign w:val="center"/>
          </w:tcPr>
          <w:p w14:paraId="525392CA">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2C974D26">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碎纸机</w:t>
            </w:r>
          </w:p>
        </w:tc>
        <w:tc>
          <w:tcPr>
            <w:tcW w:w="3375" w:type="pct"/>
            <w:shd w:val="clear" w:color="auto" w:fill="FFFFFF"/>
            <w:tcMar>
              <w:top w:w="10" w:type="dxa"/>
              <w:left w:w="10" w:type="dxa"/>
              <w:right w:w="10" w:type="dxa"/>
            </w:tcMar>
            <w:vAlign w:val="center"/>
          </w:tcPr>
          <w:p w14:paraId="7D040CF2">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220V,50Hz,1.46A16张(70g/A4)/1CD18张(70g/A4)/1CD60min4×35mm3条≤58dB2.0m/min23L220/125mm255W12kg350×253×550mm13.5kg430×330×630mm</w:t>
            </w:r>
          </w:p>
        </w:tc>
        <w:tc>
          <w:tcPr>
            <w:tcW w:w="257" w:type="pct"/>
            <w:shd w:val="clear" w:color="auto" w:fill="auto"/>
            <w:tcMar>
              <w:top w:w="10" w:type="dxa"/>
              <w:left w:w="10" w:type="dxa"/>
              <w:right w:w="10" w:type="dxa"/>
            </w:tcMar>
            <w:vAlign w:val="center"/>
          </w:tcPr>
          <w:p w14:paraId="1FB96CB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2D242CAA">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33499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1F68795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20 </w:t>
            </w:r>
          </w:p>
        </w:tc>
        <w:tc>
          <w:tcPr>
            <w:tcW w:w="307" w:type="pct"/>
            <w:vMerge w:val="continue"/>
            <w:shd w:val="clear" w:color="auto" w:fill="auto"/>
            <w:tcMar>
              <w:top w:w="10" w:type="dxa"/>
              <w:left w:w="10" w:type="dxa"/>
              <w:right w:w="10" w:type="dxa"/>
            </w:tcMar>
            <w:vAlign w:val="center"/>
          </w:tcPr>
          <w:p w14:paraId="60EBF4B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426EA54A">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投影仪</w:t>
            </w:r>
          </w:p>
        </w:tc>
        <w:tc>
          <w:tcPr>
            <w:tcW w:w="3375" w:type="pct"/>
            <w:shd w:val="clear" w:color="auto" w:fill="FFFFFF"/>
            <w:tcMar>
              <w:top w:w="10" w:type="dxa"/>
              <w:left w:w="10" w:type="dxa"/>
              <w:right w:w="10" w:type="dxa"/>
            </w:tcMar>
            <w:vAlign w:val="center"/>
          </w:tcPr>
          <w:p w14:paraId="370BC123">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显示技术：3LCD、液晶板尺寸：0.63”  4、亮度：4600流明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分辨率：1024x768对比度：20000:1镜头：手工调焦，投射比：1.34~2.22:1灯泡寿命：节能模式20000小时，正常模式10000小时灯泡更换方式：顶部抽屉式更换梯形校正：自动梯形校正、具备四角校正灯泡功率：240W整机功率：340W输入接口： HDMI 2.0×2、USB-A 2.0*2，LAN*1（带原厂标配HDMI线）输出接口：S/PDIF*1、Audio out*1其它配置：主板搭载T972处理器，2GB内存+16GB存储，内置WiFi模块，蓝牙4.2 ，扬声器5W*1，具有安全杆和防盗杆、具备静电防尘网  功能要求：在HDMI连接情况下，实现画面位移和放大功能，自带安卓9.0系统，实现无线投屏（免费实现手机、电脑端等无线投屏），遥控器具备智能语音控制功能，具备图像模式有标准、柔和、电影、运动、游戏、用户，灯泡及滤网计时提醒；断电保护、画面自动翻转</w:t>
            </w:r>
          </w:p>
        </w:tc>
        <w:tc>
          <w:tcPr>
            <w:tcW w:w="257" w:type="pct"/>
            <w:shd w:val="clear" w:color="auto" w:fill="auto"/>
            <w:tcMar>
              <w:top w:w="10" w:type="dxa"/>
              <w:left w:w="10" w:type="dxa"/>
              <w:right w:w="10" w:type="dxa"/>
            </w:tcMar>
            <w:vAlign w:val="center"/>
          </w:tcPr>
          <w:p w14:paraId="2E15197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3143A50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1F5F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00A9459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21 </w:t>
            </w:r>
          </w:p>
        </w:tc>
        <w:tc>
          <w:tcPr>
            <w:tcW w:w="307" w:type="pct"/>
            <w:vMerge w:val="restart"/>
            <w:shd w:val="clear" w:color="auto" w:fill="auto"/>
            <w:tcMar>
              <w:top w:w="10" w:type="dxa"/>
              <w:left w:w="10" w:type="dxa"/>
              <w:right w:w="10" w:type="dxa"/>
            </w:tcMar>
            <w:vAlign w:val="center"/>
          </w:tcPr>
          <w:p w14:paraId="70FC447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车用监测装备）</w:t>
            </w:r>
          </w:p>
        </w:tc>
        <w:tc>
          <w:tcPr>
            <w:tcW w:w="421" w:type="pct"/>
            <w:shd w:val="clear" w:color="auto" w:fill="auto"/>
            <w:tcMar>
              <w:top w:w="10" w:type="dxa"/>
              <w:left w:w="10" w:type="dxa"/>
              <w:right w:w="10" w:type="dxa"/>
            </w:tcMar>
            <w:vAlign w:val="center"/>
          </w:tcPr>
          <w:p w14:paraId="6D3F3458">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车用尿素诊断</w:t>
            </w:r>
          </w:p>
        </w:tc>
        <w:tc>
          <w:tcPr>
            <w:tcW w:w="3375" w:type="pct"/>
            <w:shd w:val="clear" w:color="auto" w:fill="FFFFFF"/>
            <w:tcMar>
              <w:top w:w="10" w:type="dxa"/>
              <w:left w:w="10" w:type="dxa"/>
              <w:right w:w="10" w:type="dxa"/>
            </w:tcMar>
            <w:vAlign w:val="center"/>
          </w:tcPr>
          <w:p w14:paraId="59B98E38">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1、用于检测测量柴油机专用尿素液的浓度值及折射率，范围:0-40%，测量精度 ±0.3%；测量温度 10 ~ 50°C，分辨率 0.1%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2、柴油机专用尿素液在32.5%的浓度下才可以发挥其作用；尿素浓度计折射计保持合适的浓度，保证其尿素液的作用；</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3、检测数据可数字显示，方便读取</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4、内置可充电电池，仪器无操作自动关机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5、要求使用轻便，测量方法简便，可以测量大约1万次以上</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6、具有自动温度补偿功能和防水功能。</w:t>
            </w:r>
          </w:p>
        </w:tc>
        <w:tc>
          <w:tcPr>
            <w:tcW w:w="257" w:type="pct"/>
            <w:shd w:val="clear" w:color="auto" w:fill="auto"/>
            <w:tcMar>
              <w:top w:w="10" w:type="dxa"/>
              <w:left w:w="10" w:type="dxa"/>
              <w:right w:w="10" w:type="dxa"/>
            </w:tcMar>
            <w:vAlign w:val="center"/>
          </w:tcPr>
          <w:p w14:paraId="1389EAC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320" w:type="pct"/>
            <w:shd w:val="clear" w:color="auto" w:fill="auto"/>
            <w:tcMar>
              <w:top w:w="10" w:type="dxa"/>
              <w:left w:w="10" w:type="dxa"/>
              <w:right w:w="10" w:type="dxa"/>
            </w:tcMar>
            <w:vAlign w:val="center"/>
          </w:tcPr>
          <w:p w14:paraId="784D76B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2C02B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1750729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22 </w:t>
            </w:r>
          </w:p>
        </w:tc>
        <w:tc>
          <w:tcPr>
            <w:tcW w:w="307" w:type="pct"/>
            <w:vMerge w:val="continue"/>
            <w:shd w:val="clear" w:color="auto" w:fill="auto"/>
            <w:tcMar>
              <w:top w:w="10" w:type="dxa"/>
              <w:left w:w="10" w:type="dxa"/>
              <w:right w:w="10" w:type="dxa"/>
            </w:tcMar>
            <w:vAlign w:val="center"/>
          </w:tcPr>
          <w:p w14:paraId="4A7C6098">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27B13E92">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内窥镜</w:t>
            </w:r>
          </w:p>
        </w:tc>
        <w:tc>
          <w:tcPr>
            <w:tcW w:w="3375" w:type="pct"/>
            <w:shd w:val="clear" w:color="auto" w:fill="FFFFFF"/>
            <w:tcMar>
              <w:top w:w="10" w:type="dxa"/>
              <w:left w:w="10" w:type="dxa"/>
              <w:right w:w="10" w:type="dxa"/>
            </w:tcMar>
            <w:vAlign w:val="center"/>
          </w:tcPr>
          <w:p w14:paraId="2A2B849F">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1、摄像头直径 不小于8.5mm。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2、摄像头水平调节双向180℃。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3、摄像头光源6颗LED灯珠。</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4、弹性金属软管，长度不小于2M。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5、摄像头传感器：CMOS</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6、像素：不低于100万。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7、内置2000mAh锂电池</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8、屏幕尺寸：不低于4.3英寸LSCD屏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9、具备拍照、录像、回放、导出功能。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★10、要求环保尾气后处理装置检测专用360度转向，耐高温，防水，携带方便，配置专用防护箱提供提供具有资质机构出具带有CNAS或CMA标识的检验报告。</w:t>
            </w:r>
          </w:p>
        </w:tc>
        <w:tc>
          <w:tcPr>
            <w:tcW w:w="257" w:type="pct"/>
            <w:shd w:val="clear" w:color="auto" w:fill="auto"/>
            <w:tcMar>
              <w:top w:w="10" w:type="dxa"/>
              <w:left w:w="10" w:type="dxa"/>
              <w:right w:w="10" w:type="dxa"/>
            </w:tcMar>
            <w:vAlign w:val="center"/>
          </w:tcPr>
          <w:p w14:paraId="242DEA9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320" w:type="pct"/>
            <w:shd w:val="clear" w:color="auto" w:fill="auto"/>
            <w:tcMar>
              <w:top w:w="10" w:type="dxa"/>
              <w:left w:w="10" w:type="dxa"/>
              <w:right w:w="10" w:type="dxa"/>
            </w:tcMar>
            <w:vAlign w:val="center"/>
          </w:tcPr>
          <w:p w14:paraId="664F08C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6C35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1E9A40E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23 </w:t>
            </w:r>
          </w:p>
        </w:tc>
        <w:tc>
          <w:tcPr>
            <w:tcW w:w="307" w:type="pct"/>
            <w:vMerge w:val="continue"/>
            <w:shd w:val="clear" w:color="auto" w:fill="auto"/>
            <w:tcMar>
              <w:top w:w="10" w:type="dxa"/>
              <w:left w:w="10" w:type="dxa"/>
              <w:right w:w="10" w:type="dxa"/>
            </w:tcMar>
            <w:vAlign w:val="center"/>
          </w:tcPr>
          <w:p w14:paraId="20CD5D27">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3B104711">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车载诊断系统OBD环保检测仪</w:t>
            </w:r>
          </w:p>
        </w:tc>
        <w:tc>
          <w:tcPr>
            <w:tcW w:w="3375" w:type="pct"/>
            <w:shd w:val="clear" w:color="auto" w:fill="FFFFFF"/>
            <w:tcMar>
              <w:top w:w="10" w:type="dxa"/>
              <w:left w:w="10" w:type="dxa"/>
              <w:right w:w="10" w:type="dxa"/>
            </w:tcMar>
            <w:vAlign w:val="center"/>
          </w:tcPr>
          <w:p w14:paraId="5BCBA43A">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1、满足国家标准 GB3847-2018和GB18285-2018中关于OBD的检查方法和判定依据。要求、集汽柴一体的机动车环保 OBD 排放现场快速检测设备，可实现不同时期（国四至国六）、不同对象（汽、柴油车）、不同场景（新车下线、注册登记、新车一致性抽查及路检路查等）的车辆外观检验、OBD 功能检查和排放控制逻辑检查。</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通过手持操作终端，连接OBD诊断终端，实时读取车辆OBD排放相关信息，VIN码，ECU，IUPR、行驶里程、数据流，故障码，记录存储，特别是车辆OBD报警信息，监控重型柴油车NOx排放浓度和收集重型柴油车位置信息、运行信息，对重型柴油车排放进行数据读取。（提供软件操作截图及所投产品型号的具有CNAS或CMA标识第三方检测报告）</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针对柴油车排放数据屏蔽，设备可通过软件读取车辆ECU的内部数据，利用OBD数据检查仪对其与ECU2原厂数据进行对比和解，判断出数据屏蔽的参数，并作出对此车辆有没有屏蔽数据的判断。通过OBD数据检查仪读取ECU内部数据，判断哪些数据被屏蔽和修改，并作出车辆是否有破坏机动车车载排放诊断系统或未安装的污染控制装置或者污染控制装置不符合要求的情形。（提供软件操作截图）</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应具备柴油货车、重型燃气货车的故障码是否设置为屏蔽的读取功能，还应能读取车速限制设定值和扭矩限制设定值，以及读取排烟系数设定值、读取扭矩限制开关状态、读取尿素喷射温度的功能。具备读取柴油车辆、重型燃气货车ECU中的车辆跛行状态限制条件设定值的功能（车速限制设定值、扭矩限制设定值、转速限制设定值等），并判断是否进行了非法修改。（提供软件操作截图）</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OBD诊断手持终端配置基于安卓系统或更新的操作系统的OBD检测控制软件，用户通过控制软件界面进行系统硬件功能的操作，数据读取完成后会自动生成数据检测报告，根据从车辆读取的数据判断的检查结果，列出正常和异常数据。</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适用于满足GB18352.5、GB18352.6及GB17691-2005、GB17691-2018标准的车型，系统可靠，性能稳定，且不易损坏，确保获得正确的OBD系统信息，OBD检测流程符合《GB3847-2018》文件中的OBD检测要求，能读取车辆识别代号VIN、就绪状态代码、故障和故障代码、MIL灯点亮后的行驶里程、IUPR相关数据、实时数据，故障代码的解析符合ISO15031-6、ISO2754与SAEJ2012的规定。</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7、成功读取ECU内部数据并解析和判断的平均时间不长于10分钟。操作终端屏幕尺寸不小于10.6英寸，安卓系统，不小于RAM：6GB，ROM不小于128GB</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8、测量结束后，设备自动生成检测报告，判断是否合格，可选择实时打印或保存，具有检测报告查询、上传及导出功能。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9、可通过网络或者无线WIFI实现检测数据实时上传功能，并支持软件系统远程升级功能。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★10、OBD诊断终端 要求工作电压9-36V，工作电流小于或等于300MA，工作温度-20-75度，支持蓝牙，自带显示屏，屏幕可以直观看到车辆针脚电压，并支持多路CAN诊断。（提供实物照片）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11、接头采用金属材质，采用蓝牙连接或有线连接，连接稳定可靠，需单独配置延长线，与OBD诊断终端接头采取分离模式，便于维修和更换，跌落等级符合标准要求。（提供所投产品型号的具有检测资质第三方安全试验合格报告，符合标准要求，在3次以上无裂痕）。</w:t>
            </w:r>
          </w:p>
        </w:tc>
        <w:tc>
          <w:tcPr>
            <w:tcW w:w="257" w:type="pct"/>
            <w:shd w:val="clear" w:color="auto" w:fill="auto"/>
            <w:tcMar>
              <w:top w:w="10" w:type="dxa"/>
              <w:left w:w="10" w:type="dxa"/>
              <w:right w:w="10" w:type="dxa"/>
            </w:tcMar>
            <w:vAlign w:val="center"/>
          </w:tcPr>
          <w:p w14:paraId="16367E6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320" w:type="pct"/>
            <w:shd w:val="clear" w:color="auto" w:fill="auto"/>
            <w:tcMar>
              <w:top w:w="10" w:type="dxa"/>
              <w:left w:w="10" w:type="dxa"/>
              <w:right w:w="10" w:type="dxa"/>
            </w:tcMar>
            <w:vAlign w:val="center"/>
          </w:tcPr>
          <w:p w14:paraId="14792C6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70B3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6FBBBAE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24 </w:t>
            </w:r>
          </w:p>
        </w:tc>
        <w:tc>
          <w:tcPr>
            <w:tcW w:w="307" w:type="pct"/>
            <w:vMerge w:val="continue"/>
            <w:shd w:val="clear" w:color="auto" w:fill="auto"/>
            <w:tcMar>
              <w:top w:w="10" w:type="dxa"/>
              <w:left w:w="10" w:type="dxa"/>
              <w:right w:w="10" w:type="dxa"/>
            </w:tcMar>
            <w:vAlign w:val="center"/>
          </w:tcPr>
          <w:p w14:paraId="0F186F78">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2985C0A4">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油品硫含量检测仪</w:t>
            </w:r>
          </w:p>
        </w:tc>
        <w:tc>
          <w:tcPr>
            <w:tcW w:w="3375" w:type="pct"/>
            <w:shd w:val="clear" w:color="auto" w:fill="FFFFFF"/>
            <w:tcMar>
              <w:top w:w="10" w:type="dxa"/>
              <w:left w:w="10" w:type="dxa"/>
              <w:right w:w="10" w:type="dxa"/>
            </w:tcMar>
            <w:vAlign w:val="center"/>
          </w:tcPr>
          <w:p w14:paraId="6F7CC612">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符合标准GB/T 17040-2008（石油和石油产硫含量的测定 能量色散x射线荧光光谱法）</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GB/T 17606-2009（原油中硫含量的测定 能量色散x射线荧光光潜法）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SH/T 0742(汽油中硫含量测定  能量色散x射线荧光光谱法)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ASTM D4294-2016采用能量扩散X射线荧光光谱法测定石油和石油产品中硫含量的标准试验方法</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1.技术参数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分析量程：0.0007%-0.1%（7ppm-1000ppm）0.1%-50%（1000ppm-500000ppm）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具体参数如下：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样品浓度50ppm时，＜士10ppm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样品浓度100ppm时，＜士8ppm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样品浓度1000ppm时，＜士5%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样品浓度1％时，＜士0.5%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检出下限：20ppm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测量时问：100秒、300秒、自动、手动设定（5-10000S，每步1S自由选择）</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样品消耗量：2-4毫升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外部输出：USB2.0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使用条件：环境温度：5-40℃;相对湿度：≤85%(30℃）;供电电源：220v士20v , 50Hz。</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2、要求仪器运行于windows操作平台，人机对话，操作便捷。</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样品分析中不接触、不破坏、无需转化、无需高温操作，无需化学试剂，无需消耗隋性气体。高浓度样品无需稀释，仪器可直接检测，不会对仪器检测系统造成任何污染。</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3、使用于石油和各种石油产品中硫含量的测定。</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4、30-60秒即可准确测定硫含量。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5、采用一次性专用样品杯，避免样品交叉污染；样品制作快捷方便，不易泄漏；采用单面膜样品杯，可在样品杯背后记录样品浓度、编号、日期等。</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6、要求标准样品消耗量少</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7、要求仪器校正简便：放入校正专用标准样品，可对仪器进行快速校正。</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8、当X光管长期使用，能量下降时，仪器会自动调整相应算法保障测量精度，这实际也延长了x光管寿命。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9、仪器可存贮任意多条标准曲线，用户可选择最适合的曲线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10、污染保护：仪器样品检测舱增设了防溢出保护装置，防止检测过程中样品的泄漏。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11、要求仪器设有严密的防X射线泄漏措施，配置防尘、防腐装置。</w:t>
            </w:r>
          </w:p>
        </w:tc>
        <w:tc>
          <w:tcPr>
            <w:tcW w:w="257" w:type="pct"/>
            <w:shd w:val="clear" w:color="auto" w:fill="auto"/>
            <w:tcMar>
              <w:top w:w="10" w:type="dxa"/>
              <w:left w:w="10" w:type="dxa"/>
              <w:right w:w="10" w:type="dxa"/>
            </w:tcMar>
            <w:vAlign w:val="center"/>
          </w:tcPr>
          <w:p w14:paraId="16691ED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320" w:type="pct"/>
            <w:shd w:val="clear" w:color="auto" w:fill="auto"/>
            <w:tcMar>
              <w:top w:w="10" w:type="dxa"/>
              <w:left w:w="10" w:type="dxa"/>
              <w:right w:w="10" w:type="dxa"/>
            </w:tcMar>
            <w:vAlign w:val="center"/>
          </w:tcPr>
          <w:p w14:paraId="5C2F1B2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16A8B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5D5B82F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25 </w:t>
            </w:r>
          </w:p>
        </w:tc>
        <w:tc>
          <w:tcPr>
            <w:tcW w:w="307" w:type="pct"/>
            <w:shd w:val="clear" w:color="auto" w:fill="auto"/>
            <w:tcMar>
              <w:top w:w="10" w:type="dxa"/>
              <w:left w:w="10" w:type="dxa"/>
              <w:right w:w="10" w:type="dxa"/>
            </w:tcMar>
            <w:vAlign w:val="center"/>
          </w:tcPr>
          <w:p w14:paraId="07EAF6B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铅字法透明度计</w:t>
            </w:r>
          </w:p>
        </w:tc>
        <w:tc>
          <w:tcPr>
            <w:tcW w:w="421" w:type="pct"/>
            <w:shd w:val="clear" w:color="auto" w:fill="auto"/>
            <w:tcMar>
              <w:top w:w="10" w:type="dxa"/>
              <w:left w:w="10" w:type="dxa"/>
              <w:right w:w="10" w:type="dxa"/>
            </w:tcMar>
            <w:vAlign w:val="center"/>
          </w:tcPr>
          <w:p w14:paraId="1E14C6EB">
            <w:pPr>
              <w:keepNext w:val="0"/>
              <w:keepLines w:val="0"/>
              <w:widowControl/>
              <w:suppressLineNumbers w:val="0"/>
              <w:spacing w:line="360" w:lineRule="auto"/>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铅字法透明度计</w:t>
            </w:r>
          </w:p>
        </w:tc>
        <w:tc>
          <w:tcPr>
            <w:tcW w:w="3375" w:type="pct"/>
            <w:shd w:val="clear" w:color="auto" w:fill="auto"/>
            <w:tcMar>
              <w:top w:w="10" w:type="dxa"/>
              <w:left w:w="10" w:type="dxa"/>
              <w:right w:w="10" w:type="dxa"/>
            </w:tcMar>
            <w:vAlign w:val="center"/>
          </w:tcPr>
          <w:p w14:paraId="5D1FB888">
            <w:pPr>
              <w:keepNext w:val="0"/>
              <w:keepLines w:val="0"/>
              <w:widowControl/>
              <w:suppressLineNumbers w:val="0"/>
              <w:spacing w:line="360" w:lineRule="auto"/>
              <w:jc w:val="left"/>
              <w:textAlignment w:val="center"/>
              <w:rPr>
                <w:rFonts w:hint="eastAsia" w:ascii="宋体" w:hAnsi="宋体" w:eastAsia="宋体" w:cs="宋体"/>
                <w:i w:val="0"/>
                <w:color w:val="333333"/>
                <w:sz w:val="24"/>
                <w:szCs w:val="24"/>
                <w:highlight w:val="none"/>
                <w:u w:val="none"/>
              </w:rPr>
            </w:pPr>
            <w:r>
              <w:rPr>
                <w:rFonts w:hint="eastAsia" w:ascii="宋体" w:hAnsi="宋体" w:eastAsia="宋体" w:cs="宋体"/>
                <w:i w:val="0"/>
                <w:color w:val="333333"/>
                <w:kern w:val="0"/>
                <w:sz w:val="24"/>
                <w:szCs w:val="24"/>
                <w:highlight w:val="none"/>
                <w:u w:val="none"/>
                <w:lang w:val="en-US" w:eastAsia="zh-CN" w:bidi="ar"/>
              </w:rPr>
              <w:t>外形尺寸：500×74×388（mm）。 重量：1.3（Kg）。</w:t>
            </w:r>
            <w:r>
              <w:rPr>
                <w:rFonts w:hint="eastAsia" w:ascii="宋体" w:hAnsi="宋体" w:eastAsia="宋体" w:cs="宋体"/>
                <w:i w:val="0"/>
                <w:color w:val="333333"/>
                <w:kern w:val="0"/>
                <w:sz w:val="24"/>
                <w:szCs w:val="24"/>
                <w:highlight w:val="none"/>
                <w:u w:val="none"/>
                <w:lang w:val="en-US" w:eastAsia="zh-CN" w:bidi="ar"/>
              </w:rPr>
              <w:br w:type="textWrapping"/>
            </w:r>
            <w:r>
              <w:rPr>
                <w:rFonts w:hint="eastAsia" w:ascii="宋体" w:hAnsi="宋体" w:eastAsia="宋体" w:cs="宋体"/>
                <w:i w:val="0"/>
                <w:color w:val="333333"/>
                <w:kern w:val="0"/>
                <w:sz w:val="24"/>
                <w:szCs w:val="24"/>
                <w:highlight w:val="none"/>
                <w:u w:val="none"/>
                <w:lang w:val="en-US" w:eastAsia="zh-CN" w:bidi="ar"/>
              </w:rPr>
              <w:t xml:space="preserve"> 透明度计筒长：330mm。 内径：25mm。 刻度：刻有10mm分度</w:t>
            </w:r>
          </w:p>
        </w:tc>
        <w:tc>
          <w:tcPr>
            <w:tcW w:w="257" w:type="pct"/>
            <w:shd w:val="clear" w:color="auto" w:fill="auto"/>
            <w:tcMar>
              <w:top w:w="10" w:type="dxa"/>
              <w:left w:w="10" w:type="dxa"/>
              <w:right w:w="10" w:type="dxa"/>
            </w:tcMar>
            <w:vAlign w:val="center"/>
          </w:tcPr>
          <w:p w14:paraId="6F934DC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054C9EF3">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29363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4A56C73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26 </w:t>
            </w:r>
          </w:p>
        </w:tc>
        <w:tc>
          <w:tcPr>
            <w:tcW w:w="307" w:type="pct"/>
            <w:shd w:val="clear" w:color="auto" w:fill="auto"/>
            <w:noWrap/>
            <w:tcMar>
              <w:top w:w="10" w:type="dxa"/>
              <w:left w:w="10" w:type="dxa"/>
              <w:right w:w="10" w:type="dxa"/>
            </w:tcMar>
            <w:vAlign w:val="center"/>
          </w:tcPr>
          <w:p w14:paraId="5D3661AB">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便携式PH快速检测仪</w:t>
            </w:r>
          </w:p>
        </w:tc>
        <w:tc>
          <w:tcPr>
            <w:tcW w:w="421" w:type="pct"/>
            <w:shd w:val="clear" w:color="auto" w:fill="auto"/>
            <w:tcMar>
              <w:top w:w="10" w:type="dxa"/>
              <w:left w:w="10" w:type="dxa"/>
              <w:right w:w="10" w:type="dxa"/>
            </w:tcMar>
            <w:vAlign w:val="center"/>
          </w:tcPr>
          <w:p w14:paraId="7F999A53">
            <w:pPr>
              <w:keepNext w:val="0"/>
              <w:keepLines w:val="0"/>
              <w:widowControl/>
              <w:suppressLineNumbers w:val="0"/>
              <w:spacing w:line="360" w:lineRule="auto"/>
              <w:jc w:val="both"/>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便携式PH快速检测仪</w:t>
            </w:r>
          </w:p>
        </w:tc>
        <w:tc>
          <w:tcPr>
            <w:tcW w:w="3375" w:type="pct"/>
            <w:shd w:val="clear" w:color="auto" w:fill="auto"/>
            <w:tcMar>
              <w:top w:w="10" w:type="dxa"/>
              <w:left w:w="10" w:type="dxa"/>
              <w:right w:w="10" w:type="dxa"/>
            </w:tcMar>
            <w:vAlign w:val="center"/>
          </w:tcPr>
          <w:p w14:paraId="7B6E09B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仪器级别0.1级mV(-1400~1400)mV1mV±0.2%FS，pH(0.00~14.00)pH0.01pH±0.03pH: 电源DC5V)尺寸 (mm) 重量 (kg)80×225×35, 0.4</w:t>
            </w:r>
          </w:p>
        </w:tc>
        <w:tc>
          <w:tcPr>
            <w:tcW w:w="257" w:type="pct"/>
            <w:shd w:val="clear" w:color="auto" w:fill="auto"/>
            <w:tcMar>
              <w:top w:w="10" w:type="dxa"/>
              <w:left w:w="10" w:type="dxa"/>
              <w:right w:w="10" w:type="dxa"/>
            </w:tcMar>
            <w:vAlign w:val="center"/>
          </w:tcPr>
          <w:p w14:paraId="2C40879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69E869E7">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78B99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0082A3F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27 </w:t>
            </w:r>
          </w:p>
        </w:tc>
        <w:tc>
          <w:tcPr>
            <w:tcW w:w="307" w:type="pct"/>
            <w:shd w:val="clear" w:color="auto" w:fill="auto"/>
            <w:noWrap/>
            <w:tcMar>
              <w:top w:w="10" w:type="dxa"/>
              <w:left w:w="10" w:type="dxa"/>
              <w:right w:w="10" w:type="dxa"/>
            </w:tcMar>
            <w:vAlign w:val="center"/>
          </w:tcPr>
          <w:p w14:paraId="18CBA89C">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便携式溶解氧仪</w:t>
            </w:r>
          </w:p>
        </w:tc>
        <w:tc>
          <w:tcPr>
            <w:tcW w:w="421" w:type="pct"/>
            <w:shd w:val="clear" w:color="auto" w:fill="auto"/>
            <w:tcMar>
              <w:top w:w="10" w:type="dxa"/>
              <w:left w:w="10" w:type="dxa"/>
              <w:right w:w="10" w:type="dxa"/>
            </w:tcMar>
            <w:vAlign w:val="center"/>
          </w:tcPr>
          <w:p w14:paraId="184E9564">
            <w:pPr>
              <w:keepNext w:val="0"/>
              <w:keepLines w:val="0"/>
              <w:widowControl/>
              <w:suppressLineNumbers w:val="0"/>
              <w:spacing w:line="360" w:lineRule="auto"/>
              <w:jc w:val="both"/>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便携式溶解氧仪</w:t>
            </w:r>
          </w:p>
        </w:tc>
        <w:tc>
          <w:tcPr>
            <w:tcW w:w="3375" w:type="pct"/>
            <w:shd w:val="clear" w:color="auto" w:fill="auto"/>
            <w:tcMar>
              <w:top w:w="10" w:type="dxa"/>
              <w:left w:w="10" w:type="dxa"/>
              <w:right w:w="10" w:type="dxa"/>
            </w:tcMar>
            <w:vAlign w:val="center"/>
          </w:tcPr>
          <w:p w14:paraId="147C6B7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溶解氧(0.00~20.00) mg/L0.01mg/L±0.10mg/L±0.30mg/L≤45s (20.0℃时90%响应)溶解氧饱和度±2%(0.0~200.0)%0.1%±2.0%±10.0%温度(-5.0~ 110.0)℃0.1℃±0.2℃±0.4℃ (0.0℃~60.0℃)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 (其他范围)可充锂电池, 电源适配器 (输入: AC100~240V, 输出: DC5V)</w:t>
            </w:r>
          </w:p>
        </w:tc>
        <w:tc>
          <w:tcPr>
            <w:tcW w:w="257" w:type="pct"/>
            <w:shd w:val="clear" w:color="auto" w:fill="auto"/>
            <w:tcMar>
              <w:top w:w="10" w:type="dxa"/>
              <w:left w:w="10" w:type="dxa"/>
              <w:right w:w="10" w:type="dxa"/>
            </w:tcMar>
            <w:vAlign w:val="center"/>
          </w:tcPr>
          <w:p w14:paraId="752F3F1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7B73CBB9">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r w14:paraId="24E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restart"/>
            <w:shd w:val="clear" w:color="auto" w:fill="auto"/>
            <w:tcMar>
              <w:top w:w="10" w:type="dxa"/>
              <w:left w:w="10" w:type="dxa"/>
              <w:right w:w="10" w:type="dxa"/>
            </w:tcMar>
            <w:vAlign w:val="center"/>
          </w:tcPr>
          <w:p w14:paraId="437CC1F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w:t>
            </w:r>
          </w:p>
        </w:tc>
        <w:tc>
          <w:tcPr>
            <w:tcW w:w="307" w:type="pct"/>
            <w:vMerge w:val="restart"/>
            <w:shd w:val="clear" w:color="auto" w:fill="auto"/>
            <w:tcMar>
              <w:top w:w="10" w:type="dxa"/>
              <w:left w:w="10" w:type="dxa"/>
              <w:right w:w="10" w:type="dxa"/>
            </w:tcMar>
            <w:vAlign w:val="center"/>
          </w:tcPr>
          <w:p w14:paraId="7813426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具塞比色管</w:t>
            </w:r>
          </w:p>
        </w:tc>
        <w:tc>
          <w:tcPr>
            <w:tcW w:w="421" w:type="pct"/>
            <w:shd w:val="clear" w:color="auto" w:fill="auto"/>
            <w:tcMar>
              <w:top w:w="10" w:type="dxa"/>
              <w:left w:w="10" w:type="dxa"/>
              <w:right w:w="10" w:type="dxa"/>
            </w:tcMar>
            <w:vAlign w:val="center"/>
          </w:tcPr>
          <w:p w14:paraId="2F8672AA">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比色管</w:t>
            </w:r>
          </w:p>
        </w:tc>
        <w:tc>
          <w:tcPr>
            <w:tcW w:w="3375" w:type="pct"/>
            <w:shd w:val="clear" w:color="auto" w:fill="auto"/>
            <w:tcMar>
              <w:top w:w="10" w:type="dxa"/>
              <w:left w:w="10" w:type="dxa"/>
              <w:right w:w="10" w:type="dxa"/>
            </w:tcMar>
            <w:vAlign w:val="center"/>
          </w:tcPr>
          <w:p w14:paraId="48CC7EA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50ml</w:t>
            </w:r>
          </w:p>
        </w:tc>
        <w:tc>
          <w:tcPr>
            <w:tcW w:w="257" w:type="pct"/>
            <w:shd w:val="clear" w:color="auto" w:fill="auto"/>
            <w:tcMar>
              <w:top w:w="10" w:type="dxa"/>
              <w:left w:w="10" w:type="dxa"/>
              <w:right w:w="10" w:type="dxa"/>
            </w:tcMar>
            <w:vAlign w:val="center"/>
          </w:tcPr>
          <w:p w14:paraId="3B61EC21">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支</w:t>
            </w:r>
          </w:p>
        </w:tc>
        <w:tc>
          <w:tcPr>
            <w:tcW w:w="320" w:type="pct"/>
            <w:shd w:val="clear" w:color="auto" w:fill="auto"/>
            <w:tcMar>
              <w:top w:w="10" w:type="dxa"/>
              <w:left w:w="10" w:type="dxa"/>
              <w:right w:w="10" w:type="dxa"/>
            </w:tcMar>
            <w:vAlign w:val="center"/>
          </w:tcPr>
          <w:p w14:paraId="542B953D">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50</w:t>
            </w:r>
          </w:p>
        </w:tc>
      </w:tr>
      <w:tr w14:paraId="70D95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continue"/>
            <w:shd w:val="clear" w:color="auto" w:fill="auto"/>
            <w:tcMar>
              <w:top w:w="10" w:type="dxa"/>
              <w:left w:w="10" w:type="dxa"/>
              <w:right w:w="10" w:type="dxa"/>
            </w:tcMar>
            <w:vAlign w:val="center"/>
          </w:tcPr>
          <w:p w14:paraId="6475A7B5">
            <w:pPr>
              <w:spacing w:line="360" w:lineRule="auto"/>
              <w:jc w:val="center"/>
              <w:rPr>
                <w:rFonts w:hint="eastAsia" w:ascii="宋体" w:hAnsi="宋体" w:eastAsia="宋体" w:cs="宋体"/>
                <w:i w:val="0"/>
                <w:color w:val="000000"/>
                <w:sz w:val="24"/>
                <w:szCs w:val="24"/>
                <w:highlight w:val="none"/>
                <w:u w:val="none"/>
              </w:rPr>
            </w:pPr>
          </w:p>
        </w:tc>
        <w:tc>
          <w:tcPr>
            <w:tcW w:w="307" w:type="pct"/>
            <w:vMerge w:val="continue"/>
            <w:shd w:val="clear" w:color="auto" w:fill="auto"/>
            <w:tcMar>
              <w:top w:w="10" w:type="dxa"/>
              <w:left w:w="10" w:type="dxa"/>
              <w:right w:w="10" w:type="dxa"/>
            </w:tcMar>
            <w:vAlign w:val="center"/>
          </w:tcPr>
          <w:p w14:paraId="53E35A02">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36389142">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比色管</w:t>
            </w:r>
          </w:p>
        </w:tc>
        <w:tc>
          <w:tcPr>
            <w:tcW w:w="3375" w:type="pct"/>
            <w:shd w:val="clear" w:color="auto" w:fill="auto"/>
            <w:tcMar>
              <w:top w:w="10" w:type="dxa"/>
              <w:left w:w="10" w:type="dxa"/>
              <w:right w:w="10" w:type="dxa"/>
            </w:tcMar>
            <w:vAlign w:val="center"/>
          </w:tcPr>
          <w:p w14:paraId="12D59E7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100ml</w:t>
            </w:r>
          </w:p>
        </w:tc>
        <w:tc>
          <w:tcPr>
            <w:tcW w:w="257" w:type="pct"/>
            <w:shd w:val="clear" w:color="auto" w:fill="auto"/>
            <w:tcMar>
              <w:top w:w="10" w:type="dxa"/>
              <w:left w:w="10" w:type="dxa"/>
              <w:right w:w="10" w:type="dxa"/>
            </w:tcMar>
            <w:vAlign w:val="center"/>
          </w:tcPr>
          <w:p w14:paraId="06D58BBC">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支</w:t>
            </w:r>
          </w:p>
        </w:tc>
        <w:tc>
          <w:tcPr>
            <w:tcW w:w="320" w:type="pct"/>
            <w:shd w:val="clear" w:color="auto" w:fill="auto"/>
            <w:tcMar>
              <w:top w:w="10" w:type="dxa"/>
              <w:left w:w="10" w:type="dxa"/>
              <w:right w:w="10" w:type="dxa"/>
            </w:tcMar>
            <w:vAlign w:val="center"/>
          </w:tcPr>
          <w:p w14:paraId="14FFC799">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50</w:t>
            </w:r>
          </w:p>
        </w:tc>
      </w:tr>
      <w:tr w14:paraId="32D16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continue"/>
            <w:shd w:val="clear" w:color="auto" w:fill="auto"/>
            <w:tcMar>
              <w:top w:w="10" w:type="dxa"/>
              <w:left w:w="10" w:type="dxa"/>
              <w:right w:w="10" w:type="dxa"/>
            </w:tcMar>
            <w:vAlign w:val="center"/>
          </w:tcPr>
          <w:p w14:paraId="53A508BA">
            <w:pPr>
              <w:spacing w:line="360" w:lineRule="auto"/>
              <w:jc w:val="center"/>
              <w:rPr>
                <w:rFonts w:hint="eastAsia" w:ascii="宋体" w:hAnsi="宋体" w:eastAsia="宋体" w:cs="宋体"/>
                <w:i w:val="0"/>
                <w:color w:val="000000"/>
                <w:sz w:val="24"/>
                <w:szCs w:val="24"/>
                <w:highlight w:val="none"/>
                <w:u w:val="none"/>
              </w:rPr>
            </w:pPr>
          </w:p>
        </w:tc>
        <w:tc>
          <w:tcPr>
            <w:tcW w:w="307" w:type="pct"/>
            <w:vMerge w:val="continue"/>
            <w:shd w:val="clear" w:color="auto" w:fill="auto"/>
            <w:tcMar>
              <w:top w:w="10" w:type="dxa"/>
              <w:left w:w="10" w:type="dxa"/>
              <w:right w:w="10" w:type="dxa"/>
            </w:tcMar>
            <w:vAlign w:val="center"/>
          </w:tcPr>
          <w:p w14:paraId="1F7A01B1">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0465E1CF">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比色管架</w:t>
            </w:r>
          </w:p>
        </w:tc>
        <w:tc>
          <w:tcPr>
            <w:tcW w:w="3375" w:type="pct"/>
            <w:shd w:val="clear" w:color="auto" w:fill="auto"/>
            <w:tcMar>
              <w:top w:w="10" w:type="dxa"/>
              <w:left w:w="10" w:type="dxa"/>
              <w:right w:w="10" w:type="dxa"/>
            </w:tcMar>
            <w:vAlign w:val="center"/>
          </w:tcPr>
          <w:p w14:paraId="61585A3A">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比色管架</w:t>
            </w:r>
          </w:p>
        </w:tc>
        <w:tc>
          <w:tcPr>
            <w:tcW w:w="257" w:type="pct"/>
            <w:shd w:val="clear" w:color="auto" w:fill="auto"/>
            <w:tcMar>
              <w:top w:w="10" w:type="dxa"/>
              <w:left w:w="10" w:type="dxa"/>
              <w:right w:w="10" w:type="dxa"/>
            </w:tcMar>
            <w:vAlign w:val="center"/>
          </w:tcPr>
          <w:p w14:paraId="33D7F747">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6E79E417">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5A4E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68088820">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29</w:t>
            </w:r>
          </w:p>
        </w:tc>
        <w:tc>
          <w:tcPr>
            <w:tcW w:w="307" w:type="pct"/>
            <w:shd w:val="clear" w:color="auto" w:fill="auto"/>
            <w:tcMar>
              <w:top w:w="10" w:type="dxa"/>
              <w:left w:w="10" w:type="dxa"/>
              <w:right w:w="10" w:type="dxa"/>
            </w:tcMar>
            <w:vAlign w:val="center"/>
          </w:tcPr>
          <w:p w14:paraId="34CDFAF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容量瓶</w:t>
            </w:r>
          </w:p>
        </w:tc>
        <w:tc>
          <w:tcPr>
            <w:tcW w:w="421" w:type="pct"/>
            <w:shd w:val="clear" w:color="auto" w:fill="auto"/>
            <w:tcMar>
              <w:top w:w="10" w:type="dxa"/>
              <w:left w:w="10" w:type="dxa"/>
              <w:right w:w="10" w:type="dxa"/>
            </w:tcMar>
            <w:vAlign w:val="center"/>
          </w:tcPr>
          <w:p w14:paraId="077C2E93">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容量瓶</w:t>
            </w:r>
          </w:p>
        </w:tc>
        <w:tc>
          <w:tcPr>
            <w:tcW w:w="3375" w:type="pct"/>
            <w:shd w:val="clear" w:color="auto" w:fill="auto"/>
            <w:tcMar>
              <w:top w:w="10" w:type="dxa"/>
              <w:left w:w="10" w:type="dxa"/>
              <w:right w:w="10" w:type="dxa"/>
            </w:tcMar>
            <w:vAlign w:val="center"/>
          </w:tcPr>
          <w:p w14:paraId="7F6F99C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100ml</w:t>
            </w:r>
          </w:p>
        </w:tc>
        <w:tc>
          <w:tcPr>
            <w:tcW w:w="257" w:type="pct"/>
            <w:shd w:val="clear" w:color="auto" w:fill="auto"/>
            <w:tcMar>
              <w:top w:w="10" w:type="dxa"/>
              <w:left w:w="10" w:type="dxa"/>
              <w:right w:w="10" w:type="dxa"/>
            </w:tcMar>
            <w:vAlign w:val="center"/>
          </w:tcPr>
          <w:p w14:paraId="16059AD2">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358D8364">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765FC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restart"/>
            <w:shd w:val="clear" w:color="auto" w:fill="auto"/>
            <w:noWrap/>
            <w:tcMar>
              <w:top w:w="10" w:type="dxa"/>
              <w:left w:w="10" w:type="dxa"/>
              <w:right w:w="10" w:type="dxa"/>
            </w:tcMar>
            <w:vAlign w:val="center"/>
          </w:tcPr>
          <w:p w14:paraId="4A38591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30</w:t>
            </w:r>
          </w:p>
        </w:tc>
        <w:tc>
          <w:tcPr>
            <w:tcW w:w="307" w:type="pct"/>
            <w:vMerge w:val="restart"/>
            <w:shd w:val="clear" w:color="auto" w:fill="auto"/>
            <w:noWrap/>
            <w:tcMar>
              <w:top w:w="10" w:type="dxa"/>
              <w:left w:w="10" w:type="dxa"/>
              <w:right w:w="10" w:type="dxa"/>
            </w:tcMar>
            <w:vAlign w:val="center"/>
          </w:tcPr>
          <w:p w14:paraId="2E8149B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量筒</w:t>
            </w:r>
          </w:p>
        </w:tc>
        <w:tc>
          <w:tcPr>
            <w:tcW w:w="421" w:type="pct"/>
            <w:shd w:val="clear" w:color="auto" w:fill="auto"/>
            <w:tcMar>
              <w:top w:w="10" w:type="dxa"/>
              <w:left w:w="10" w:type="dxa"/>
              <w:right w:w="10" w:type="dxa"/>
            </w:tcMar>
            <w:vAlign w:val="center"/>
          </w:tcPr>
          <w:p w14:paraId="15B4562D">
            <w:pPr>
              <w:spacing w:line="360" w:lineRule="auto"/>
              <w:jc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量筒</w:t>
            </w:r>
          </w:p>
        </w:tc>
        <w:tc>
          <w:tcPr>
            <w:tcW w:w="3375" w:type="pct"/>
            <w:shd w:val="clear" w:color="auto" w:fill="auto"/>
            <w:tcMar>
              <w:top w:w="10" w:type="dxa"/>
              <w:left w:w="10" w:type="dxa"/>
              <w:right w:w="10" w:type="dxa"/>
            </w:tcMar>
            <w:vAlign w:val="center"/>
          </w:tcPr>
          <w:p w14:paraId="4F38B01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25ml</w:t>
            </w:r>
          </w:p>
        </w:tc>
        <w:tc>
          <w:tcPr>
            <w:tcW w:w="257" w:type="pct"/>
            <w:shd w:val="clear" w:color="auto" w:fill="auto"/>
            <w:tcMar>
              <w:top w:w="10" w:type="dxa"/>
              <w:left w:w="10" w:type="dxa"/>
              <w:right w:w="10" w:type="dxa"/>
            </w:tcMar>
            <w:vAlign w:val="center"/>
          </w:tcPr>
          <w:p w14:paraId="6CD796EC">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126CCED4">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629A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vMerge w:val="continue"/>
            <w:shd w:val="clear" w:color="auto" w:fill="auto"/>
            <w:noWrap/>
            <w:tcMar>
              <w:top w:w="10" w:type="dxa"/>
              <w:left w:w="10" w:type="dxa"/>
              <w:right w:w="10" w:type="dxa"/>
            </w:tcMar>
            <w:vAlign w:val="center"/>
          </w:tcPr>
          <w:p w14:paraId="4143EAF2">
            <w:pPr>
              <w:spacing w:line="360" w:lineRule="auto"/>
              <w:jc w:val="center"/>
              <w:rPr>
                <w:rFonts w:hint="eastAsia" w:ascii="宋体" w:hAnsi="宋体" w:eastAsia="宋体" w:cs="宋体"/>
                <w:i w:val="0"/>
                <w:color w:val="000000"/>
                <w:sz w:val="24"/>
                <w:szCs w:val="24"/>
                <w:highlight w:val="none"/>
                <w:u w:val="none"/>
              </w:rPr>
            </w:pPr>
          </w:p>
        </w:tc>
        <w:tc>
          <w:tcPr>
            <w:tcW w:w="307" w:type="pct"/>
            <w:vMerge w:val="continue"/>
            <w:shd w:val="clear" w:color="auto" w:fill="auto"/>
            <w:noWrap/>
            <w:tcMar>
              <w:top w:w="10" w:type="dxa"/>
              <w:left w:w="10" w:type="dxa"/>
              <w:right w:w="10" w:type="dxa"/>
            </w:tcMar>
            <w:vAlign w:val="center"/>
          </w:tcPr>
          <w:p w14:paraId="217D4196">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38704468">
            <w:pPr>
              <w:spacing w:line="360" w:lineRule="auto"/>
              <w:jc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量筒</w:t>
            </w:r>
          </w:p>
        </w:tc>
        <w:tc>
          <w:tcPr>
            <w:tcW w:w="3375" w:type="pct"/>
            <w:shd w:val="clear" w:color="auto" w:fill="auto"/>
            <w:tcMar>
              <w:top w:w="10" w:type="dxa"/>
              <w:left w:w="10" w:type="dxa"/>
              <w:right w:w="10" w:type="dxa"/>
            </w:tcMar>
            <w:vAlign w:val="center"/>
          </w:tcPr>
          <w:p w14:paraId="6B87D03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100ml</w:t>
            </w:r>
          </w:p>
        </w:tc>
        <w:tc>
          <w:tcPr>
            <w:tcW w:w="257" w:type="pct"/>
            <w:shd w:val="clear" w:color="auto" w:fill="auto"/>
            <w:tcMar>
              <w:top w:w="10" w:type="dxa"/>
              <w:left w:w="10" w:type="dxa"/>
              <w:right w:w="10" w:type="dxa"/>
            </w:tcMar>
            <w:vAlign w:val="center"/>
          </w:tcPr>
          <w:p w14:paraId="2E634AEF">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2AC025A3">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10750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continue"/>
            <w:shd w:val="clear" w:color="auto" w:fill="auto"/>
            <w:noWrap/>
            <w:tcMar>
              <w:top w:w="10" w:type="dxa"/>
              <w:left w:w="10" w:type="dxa"/>
              <w:right w:w="10" w:type="dxa"/>
            </w:tcMar>
            <w:vAlign w:val="center"/>
          </w:tcPr>
          <w:p w14:paraId="3D135D95">
            <w:pPr>
              <w:spacing w:line="360" w:lineRule="auto"/>
              <w:jc w:val="center"/>
              <w:rPr>
                <w:rFonts w:hint="eastAsia" w:ascii="宋体" w:hAnsi="宋体" w:eastAsia="宋体" w:cs="宋体"/>
                <w:i w:val="0"/>
                <w:color w:val="000000"/>
                <w:sz w:val="24"/>
                <w:szCs w:val="24"/>
                <w:highlight w:val="none"/>
                <w:u w:val="none"/>
              </w:rPr>
            </w:pPr>
          </w:p>
        </w:tc>
        <w:tc>
          <w:tcPr>
            <w:tcW w:w="307" w:type="pct"/>
            <w:vMerge w:val="continue"/>
            <w:shd w:val="clear" w:color="auto" w:fill="auto"/>
            <w:noWrap/>
            <w:tcMar>
              <w:top w:w="10" w:type="dxa"/>
              <w:left w:w="10" w:type="dxa"/>
              <w:right w:w="10" w:type="dxa"/>
            </w:tcMar>
            <w:vAlign w:val="center"/>
          </w:tcPr>
          <w:p w14:paraId="707B6BEF">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5E1C8D79">
            <w:pPr>
              <w:spacing w:line="360" w:lineRule="auto"/>
              <w:jc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量筒</w:t>
            </w:r>
          </w:p>
        </w:tc>
        <w:tc>
          <w:tcPr>
            <w:tcW w:w="3375" w:type="pct"/>
            <w:shd w:val="clear" w:color="auto" w:fill="auto"/>
            <w:tcMar>
              <w:top w:w="10" w:type="dxa"/>
              <w:left w:w="10" w:type="dxa"/>
              <w:right w:w="10" w:type="dxa"/>
            </w:tcMar>
            <w:vAlign w:val="center"/>
          </w:tcPr>
          <w:p w14:paraId="0374B0A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250ml</w:t>
            </w:r>
          </w:p>
        </w:tc>
        <w:tc>
          <w:tcPr>
            <w:tcW w:w="257" w:type="pct"/>
            <w:shd w:val="clear" w:color="auto" w:fill="auto"/>
            <w:tcMar>
              <w:top w:w="10" w:type="dxa"/>
              <w:left w:w="10" w:type="dxa"/>
              <w:right w:w="10" w:type="dxa"/>
            </w:tcMar>
            <w:vAlign w:val="center"/>
          </w:tcPr>
          <w:p w14:paraId="447EC901">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0862F3B7">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2DAF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restart"/>
            <w:shd w:val="clear" w:color="auto" w:fill="auto"/>
            <w:tcMar>
              <w:top w:w="10" w:type="dxa"/>
              <w:left w:w="10" w:type="dxa"/>
              <w:right w:w="10" w:type="dxa"/>
            </w:tcMar>
            <w:vAlign w:val="center"/>
          </w:tcPr>
          <w:p w14:paraId="71BA496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31</w:t>
            </w:r>
          </w:p>
        </w:tc>
        <w:tc>
          <w:tcPr>
            <w:tcW w:w="307" w:type="pct"/>
            <w:vMerge w:val="restart"/>
            <w:shd w:val="clear" w:color="auto" w:fill="auto"/>
            <w:tcMar>
              <w:top w:w="10" w:type="dxa"/>
              <w:left w:w="10" w:type="dxa"/>
              <w:right w:w="10" w:type="dxa"/>
            </w:tcMar>
            <w:vAlign w:val="center"/>
          </w:tcPr>
          <w:p w14:paraId="48AA358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采样瓶</w:t>
            </w:r>
          </w:p>
        </w:tc>
        <w:tc>
          <w:tcPr>
            <w:tcW w:w="421" w:type="pct"/>
            <w:shd w:val="clear" w:color="auto" w:fill="auto"/>
            <w:tcMar>
              <w:top w:w="10" w:type="dxa"/>
              <w:left w:w="10" w:type="dxa"/>
              <w:right w:w="10" w:type="dxa"/>
            </w:tcMar>
            <w:vAlign w:val="center"/>
          </w:tcPr>
          <w:p w14:paraId="2F10D78D">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采样瓶</w:t>
            </w:r>
          </w:p>
        </w:tc>
        <w:tc>
          <w:tcPr>
            <w:tcW w:w="3375" w:type="pct"/>
            <w:shd w:val="clear" w:color="auto" w:fill="auto"/>
            <w:tcMar>
              <w:top w:w="10" w:type="dxa"/>
              <w:left w:w="10" w:type="dxa"/>
              <w:right w:w="10" w:type="dxa"/>
            </w:tcMar>
            <w:vAlign w:val="center"/>
          </w:tcPr>
          <w:p w14:paraId="3503BEF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250ml*具塞磨口棕色玻璃瓶</w:t>
            </w:r>
          </w:p>
        </w:tc>
        <w:tc>
          <w:tcPr>
            <w:tcW w:w="257" w:type="pct"/>
            <w:shd w:val="clear" w:color="auto" w:fill="auto"/>
            <w:tcMar>
              <w:top w:w="10" w:type="dxa"/>
              <w:left w:w="10" w:type="dxa"/>
              <w:right w:w="10" w:type="dxa"/>
            </w:tcMar>
            <w:vAlign w:val="center"/>
          </w:tcPr>
          <w:p w14:paraId="5BF9AF67">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5757F3F8">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2A6A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continue"/>
            <w:shd w:val="clear" w:color="auto" w:fill="auto"/>
            <w:tcMar>
              <w:top w:w="10" w:type="dxa"/>
              <w:left w:w="10" w:type="dxa"/>
              <w:right w:w="10" w:type="dxa"/>
            </w:tcMar>
            <w:vAlign w:val="center"/>
          </w:tcPr>
          <w:p w14:paraId="747E7F92">
            <w:pPr>
              <w:spacing w:line="360" w:lineRule="auto"/>
              <w:jc w:val="center"/>
              <w:rPr>
                <w:rFonts w:hint="eastAsia" w:ascii="宋体" w:hAnsi="宋体" w:eastAsia="宋体" w:cs="宋体"/>
                <w:i w:val="0"/>
                <w:color w:val="000000"/>
                <w:sz w:val="24"/>
                <w:szCs w:val="24"/>
                <w:highlight w:val="none"/>
                <w:u w:val="none"/>
              </w:rPr>
            </w:pPr>
          </w:p>
        </w:tc>
        <w:tc>
          <w:tcPr>
            <w:tcW w:w="307" w:type="pct"/>
            <w:vMerge w:val="continue"/>
            <w:shd w:val="clear" w:color="auto" w:fill="auto"/>
            <w:tcMar>
              <w:top w:w="10" w:type="dxa"/>
              <w:left w:w="10" w:type="dxa"/>
              <w:right w:w="10" w:type="dxa"/>
            </w:tcMar>
            <w:vAlign w:val="center"/>
          </w:tcPr>
          <w:p w14:paraId="66EBA841">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5C590D1B">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采样瓶</w:t>
            </w:r>
          </w:p>
        </w:tc>
        <w:tc>
          <w:tcPr>
            <w:tcW w:w="3375" w:type="pct"/>
            <w:shd w:val="clear" w:color="auto" w:fill="auto"/>
            <w:tcMar>
              <w:top w:w="10" w:type="dxa"/>
              <w:left w:w="10" w:type="dxa"/>
              <w:right w:w="10" w:type="dxa"/>
            </w:tcMar>
            <w:vAlign w:val="center"/>
          </w:tcPr>
          <w:p w14:paraId="6C04773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500ml*塑料瓶</w:t>
            </w:r>
          </w:p>
        </w:tc>
        <w:tc>
          <w:tcPr>
            <w:tcW w:w="257" w:type="pct"/>
            <w:shd w:val="clear" w:color="auto" w:fill="auto"/>
            <w:tcMar>
              <w:top w:w="10" w:type="dxa"/>
              <w:left w:w="10" w:type="dxa"/>
              <w:right w:w="10" w:type="dxa"/>
            </w:tcMar>
            <w:vAlign w:val="center"/>
          </w:tcPr>
          <w:p w14:paraId="5EB69363">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37E91B09">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1747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restart"/>
            <w:shd w:val="clear" w:color="auto" w:fill="auto"/>
            <w:tcMar>
              <w:top w:w="10" w:type="dxa"/>
              <w:left w:w="10" w:type="dxa"/>
              <w:right w:w="10" w:type="dxa"/>
            </w:tcMar>
            <w:vAlign w:val="center"/>
          </w:tcPr>
          <w:p w14:paraId="7859AF3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32</w:t>
            </w:r>
          </w:p>
        </w:tc>
        <w:tc>
          <w:tcPr>
            <w:tcW w:w="307" w:type="pct"/>
            <w:vMerge w:val="restart"/>
            <w:shd w:val="clear" w:color="auto" w:fill="auto"/>
            <w:tcMar>
              <w:top w:w="10" w:type="dxa"/>
              <w:left w:w="10" w:type="dxa"/>
              <w:right w:w="10" w:type="dxa"/>
            </w:tcMar>
            <w:vAlign w:val="center"/>
          </w:tcPr>
          <w:p w14:paraId="14DB095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移液枪</w:t>
            </w:r>
          </w:p>
        </w:tc>
        <w:tc>
          <w:tcPr>
            <w:tcW w:w="421" w:type="pct"/>
            <w:shd w:val="clear" w:color="auto" w:fill="auto"/>
            <w:tcMar>
              <w:top w:w="10" w:type="dxa"/>
              <w:left w:w="10" w:type="dxa"/>
              <w:right w:w="10" w:type="dxa"/>
            </w:tcMar>
            <w:vAlign w:val="center"/>
          </w:tcPr>
          <w:p w14:paraId="26CADF79">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移液枪</w:t>
            </w:r>
          </w:p>
        </w:tc>
        <w:tc>
          <w:tcPr>
            <w:tcW w:w="3375" w:type="pct"/>
            <w:shd w:val="clear" w:color="auto" w:fill="auto"/>
            <w:tcMar>
              <w:top w:w="10" w:type="dxa"/>
              <w:left w:w="10" w:type="dxa"/>
              <w:right w:w="10" w:type="dxa"/>
            </w:tcMar>
            <w:vAlign w:val="center"/>
          </w:tcPr>
          <w:p w14:paraId="157AE18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1-10ml</w:t>
            </w:r>
          </w:p>
        </w:tc>
        <w:tc>
          <w:tcPr>
            <w:tcW w:w="257" w:type="pct"/>
            <w:shd w:val="clear" w:color="auto" w:fill="auto"/>
            <w:tcMar>
              <w:top w:w="10" w:type="dxa"/>
              <w:left w:w="10" w:type="dxa"/>
              <w:right w:w="10" w:type="dxa"/>
            </w:tcMar>
            <w:vAlign w:val="center"/>
          </w:tcPr>
          <w:p w14:paraId="4B333C27">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57B5910D">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r>
      <w:tr w14:paraId="1285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continue"/>
            <w:shd w:val="clear" w:color="auto" w:fill="auto"/>
            <w:tcMar>
              <w:top w:w="10" w:type="dxa"/>
              <w:left w:w="10" w:type="dxa"/>
              <w:right w:w="10" w:type="dxa"/>
            </w:tcMar>
            <w:vAlign w:val="center"/>
          </w:tcPr>
          <w:p w14:paraId="5B5DC5E8">
            <w:pPr>
              <w:spacing w:line="360" w:lineRule="auto"/>
              <w:jc w:val="center"/>
              <w:rPr>
                <w:rFonts w:hint="eastAsia" w:ascii="宋体" w:hAnsi="宋体" w:eastAsia="宋体" w:cs="宋体"/>
                <w:i w:val="0"/>
                <w:color w:val="000000"/>
                <w:sz w:val="24"/>
                <w:szCs w:val="24"/>
                <w:highlight w:val="none"/>
                <w:u w:val="none"/>
              </w:rPr>
            </w:pPr>
          </w:p>
        </w:tc>
        <w:tc>
          <w:tcPr>
            <w:tcW w:w="307" w:type="pct"/>
            <w:vMerge w:val="continue"/>
            <w:shd w:val="clear" w:color="auto" w:fill="auto"/>
            <w:tcMar>
              <w:top w:w="10" w:type="dxa"/>
              <w:left w:w="10" w:type="dxa"/>
              <w:right w:w="10" w:type="dxa"/>
            </w:tcMar>
            <w:vAlign w:val="center"/>
          </w:tcPr>
          <w:p w14:paraId="40472200">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57C53163">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移液枪</w:t>
            </w:r>
          </w:p>
        </w:tc>
        <w:tc>
          <w:tcPr>
            <w:tcW w:w="3375" w:type="pct"/>
            <w:shd w:val="clear" w:color="auto" w:fill="auto"/>
            <w:tcMar>
              <w:top w:w="10" w:type="dxa"/>
              <w:left w:w="10" w:type="dxa"/>
              <w:right w:w="10" w:type="dxa"/>
            </w:tcMar>
            <w:vAlign w:val="center"/>
          </w:tcPr>
          <w:p w14:paraId="4B1D24C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1-5ml</w:t>
            </w:r>
          </w:p>
        </w:tc>
        <w:tc>
          <w:tcPr>
            <w:tcW w:w="257" w:type="pct"/>
            <w:shd w:val="clear" w:color="auto" w:fill="auto"/>
            <w:tcMar>
              <w:top w:w="10" w:type="dxa"/>
              <w:left w:w="10" w:type="dxa"/>
              <w:right w:w="10" w:type="dxa"/>
            </w:tcMar>
            <w:vAlign w:val="center"/>
          </w:tcPr>
          <w:p w14:paraId="39E4C655">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0C5693D9">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r>
      <w:tr w14:paraId="6A87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continue"/>
            <w:shd w:val="clear" w:color="auto" w:fill="auto"/>
            <w:tcMar>
              <w:top w:w="10" w:type="dxa"/>
              <w:left w:w="10" w:type="dxa"/>
              <w:right w:w="10" w:type="dxa"/>
            </w:tcMar>
            <w:vAlign w:val="center"/>
          </w:tcPr>
          <w:p w14:paraId="0B98C710">
            <w:pPr>
              <w:spacing w:line="360" w:lineRule="auto"/>
              <w:jc w:val="center"/>
              <w:rPr>
                <w:rFonts w:hint="eastAsia" w:ascii="宋体" w:hAnsi="宋体" w:eastAsia="宋体" w:cs="宋体"/>
                <w:i w:val="0"/>
                <w:color w:val="000000"/>
                <w:sz w:val="24"/>
                <w:szCs w:val="24"/>
                <w:highlight w:val="none"/>
                <w:u w:val="none"/>
              </w:rPr>
            </w:pPr>
          </w:p>
        </w:tc>
        <w:tc>
          <w:tcPr>
            <w:tcW w:w="307" w:type="pct"/>
            <w:vMerge w:val="continue"/>
            <w:shd w:val="clear" w:color="auto" w:fill="auto"/>
            <w:tcMar>
              <w:top w:w="10" w:type="dxa"/>
              <w:left w:w="10" w:type="dxa"/>
              <w:right w:w="10" w:type="dxa"/>
            </w:tcMar>
            <w:vAlign w:val="center"/>
          </w:tcPr>
          <w:p w14:paraId="1A77DD66">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470B7F5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移液头包</w:t>
            </w:r>
          </w:p>
        </w:tc>
        <w:tc>
          <w:tcPr>
            <w:tcW w:w="3375" w:type="pct"/>
            <w:shd w:val="clear" w:color="auto" w:fill="auto"/>
            <w:tcMar>
              <w:top w:w="10" w:type="dxa"/>
              <w:left w:w="10" w:type="dxa"/>
              <w:right w:w="10" w:type="dxa"/>
            </w:tcMar>
            <w:vAlign w:val="center"/>
          </w:tcPr>
          <w:p w14:paraId="5CFA2BB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移液头包</w:t>
            </w:r>
          </w:p>
        </w:tc>
        <w:tc>
          <w:tcPr>
            <w:tcW w:w="257" w:type="pct"/>
            <w:shd w:val="clear" w:color="auto" w:fill="auto"/>
            <w:tcMar>
              <w:top w:w="10" w:type="dxa"/>
              <w:left w:w="10" w:type="dxa"/>
              <w:right w:w="10" w:type="dxa"/>
            </w:tcMar>
            <w:vAlign w:val="center"/>
          </w:tcPr>
          <w:p w14:paraId="7E6FE33A">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包</w:t>
            </w:r>
          </w:p>
        </w:tc>
        <w:tc>
          <w:tcPr>
            <w:tcW w:w="320" w:type="pct"/>
            <w:shd w:val="clear" w:color="auto" w:fill="auto"/>
            <w:tcMar>
              <w:top w:w="10" w:type="dxa"/>
              <w:left w:w="10" w:type="dxa"/>
              <w:right w:w="10" w:type="dxa"/>
            </w:tcMar>
            <w:vAlign w:val="center"/>
          </w:tcPr>
          <w:p w14:paraId="48C6CB90">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r>
      <w:tr w14:paraId="7ADB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 w:hRule="atLeast"/>
          <w:jc w:val="center"/>
        </w:trPr>
        <w:tc>
          <w:tcPr>
            <w:tcW w:w="317" w:type="pct"/>
            <w:vMerge w:val="continue"/>
            <w:shd w:val="clear" w:color="auto" w:fill="auto"/>
            <w:tcMar>
              <w:top w:w="10" w:type="dxa"/>
              <w:left w:w="10" w:type="dxa"/>
              <w:right w:w="10" w:type="dxa"/>
            </w:tcMar>
            <w:vAlign w:val="center"/>
          </w:tcPr>
          <w:p w14:paraId="4C665BE9">
            <w:pPr>
              <w:spacing w:line="360" w:lineRule="auto"/>
              <w:jc w:val="center"/>
              <w:rPr>
                <w:rFonts w:hint="eastAsia" w:ascii="宋体" w:hAnsi="宋体" w:eastAsia="宋体" w:cs="宋体"/>
                <w:i w:val="0"/>
                <w:color w:val="000000"/>
                <w:sz w:val="24"/>
                <w:szCs w:val="24"/>
                <w:highlight w:val="none"/>
                <w:u w:val="none"/>
              </w:rPr>
            </w:pPr>
          </w:p>
        </w:tc>
        <w:tc>
          <w:tcPr>
            <w:tcW w:w="307" w:type="pct"/>
            <w:vMerge w:val="continue"/>
            <w:shd w:val="clear" w:color="auto" w:fill="auto"/>
            <w:tcMar>
              <w:top w:w="10" w:type="dxa"/>
              <w:left w:w="10" w:type="dxa"/>
              <w:right w:w="10" w:type="dxa"/>
            </w:tcMar>
            <w:vAlign w:val="center"/>
          </w:tcPr>
          <w:p w14:paraId="35425E93">
            <w:pPr>
              <w:spacing w:line="360" w:lineRule="auto"/>
              <w:jc w:val="center"/>
              <w:rPr>
                <w:rFonts w:hint="eastAsia" w:ascii="宋体" w:hAnsi="宋体" w:eastAsia="宋体" w:cs="宋体"/>
                <w:i w:val="0"/>
                <w:color w:val="000000"/>
                <w:sz w:val="24"/>
                <w:szCs w:val="24"/>
                <w:highlight w:val="none"/>
                <w:u w:val="none"/>
              </w:rPr>
            </w:pPr>
          </w:p>
        </w:tc>
        <w:tc>
          <w:tcPr>
            <w:tcW w:w="421" w:type="pct"/>
            <w:shd w:val="clear" w:color="auto" w:fill="auto"/>
            <w:tcMar>
              <w:top w:w="10" w:type="dxa"/>
              <w:left w:w="10" w:type="dxa"/>
              <w:right w:w="10" w:type="dxa"/>
            </w:tcMar>
            <w:vAlign w:val="center"/>
          </w:tcPr>
          <w:p w14:paraId="3D25B98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移液枪架</w:t>
            </w:r>
          </w:p>
        </w:tc>
        <w:tc>
          <w:tcPr>
            <w:tcW w:w="3375" w:type="pct"/>
            <w:shd w:val="clear" w:color="auto" w:fill="auto"/>
            <w:tcMar>
              <w:top w:w="10" w:type="dxa"/>
              <w:left w:w="10" w:type="dxa"/>
              <w:right w:w="10" w:type="dxa"/>
            </w:tcMar>
            <w:vAlign w:val="center"/>
          </w:tcPr>
          <w:p w14:paraId="487C1FC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移液枪架</w:t>
            </w:r>
          </w:p>
        </w:tc>
        <w:tc>
          <w:tcPr>
            <w:tcW w:w="257" w:type="pct"/>
            <w:shd w:val="clear" w:color="auto" w:fill="auto"/>
            <w:tcMar>
              <w:top w:w="10" w:type="dxa"/>
              <w:left w:w="10" w:type="dxa"/>
              <w:right w:w="10" w:type="dxa"/>
            </w:tcMar>
            <w:vAlign w:val="center"/>
          </w:tcPr>
          <w:p w14:paraId="2FA39491">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320" w:type="pct"/>
            <w:shd w:val="clear" w:color="auto" w:fill="auto"/>
            <w:tcMar>
              <w:top w:w="10" w:type="dxa"/>
              <w:left w:w="10" w:type="dxa"/>
              <w:right w:w="10" w:type="dxa"/>
            </w:tcMar>
            <w:vAlign w:val="center"/>
          </w:tcPr>
          <w:p w14:paraId="13574029">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r>
      <w:tr w14:paraId="6033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363127EA">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33</w:t>
            </w:r>
          </w:p>
        </w:tc>
        <w:tc>
          <w:tcPr>
            <w:tcW w:w="307" w:type="pct"/>
            <w:shd w:val="clear" w:color="auto" w:fill="auto"/>
            <w:tcMar>
              <w:top w:w="10" w:type="dxa"/>
              <w:left w:w="10" w:type="dxa"/>
              <w:right w:w="10" w:type="dxa"/>
            </w:tcMar>
            <w:vAlign w:val="center"/>
          </w:tcPr>
          <w:p w14:paraId="10D7DCE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彩色一体机</w:t>
            </w:r>
          </w:p>
        </w:tc>
        <w:tc>
          <w:tcPr>
            <w:tcW w:w="421" w:type="pct"/>
            <w:shd w:val="clear" w:color="auto" w:fill="auto"/>
            <w:tcMar>
              <w:top w:w="10" w:type="dxa"/>
              <w:left w:w="10" w:type="dxa"/>
              <w:right w:w="10" w:type="dxa"/>
            </w:tcMar>
            <w:vAlign w:val="center"/>
          </w:tcPr>
          <w:p w14:paraId="40573641">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彩色一体机</w:t>
            </w:r>
          </w:p>
        </w:tc>
        <w:tc>
          <w:tcPr>
            <w:tcW w:w="3375" w:type="pct"/>
            <w:shd w:val="clear" w:color="auto" w:fill="auto"/>
            <w:noWrap/>
            <w:tcMar>
              <w:top w:w="10" w:type="dxa"/>
              <w:left w:w="10" w:type="dxa"/>
              <w:right w:w="10" w:type="dxa"/>
            </w:tcMar>
            <w:vAlign w:val="center"/>
          </w:tcPr>
          <w:p w14:paraId="792F4075">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类型 彩色 最大支持幅面 A4 连接方式 有线，USB 扫描功能 平板式扫描 是否信创商品 否 认证型号 彩色激光 CCC强制性认证 是 介质类型 普通纸 网络打印 支持有线网络打印 自动双面复印 不支持自动双面复印 单面支持纸张尺寸 A4 双面打印 非自动双面 端口 USB；以太网 基础功能 打印；复印；扫描 双面支持纸张尺寸 A4 打印速度 16页/分钟 包装清单 打印机*1</w:t>
            </w:r>
          </w:p>
        </w:tc>
        <w:tc>
          <w:tcPr>
            <w:tcW w:w="257" w:type="pct"/>
            <w:shd w:val="clear" w:color="auto" w:fill="auto"/>
            <w:tcMar>
              <w:top w:w="10" w:type="dxa"/>
              <w:left w:w="10" w:type="dxa"/>
              <w:right w:w="10" w:type="dxa"/>
            </w:tcMar>
            <w:vAlign w:val="center"/>
          </w:tcPr>
          <w:p w14:paraId="32F02BD6">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320" w:type="pct"/>
            <w:shd w:val="clear" w:color="auto" w:fill="auto"/>
            <w:tcMar>
              <w:top w:w="10" w:type="dxa"/>
              <w:left w:w="10" w:type="dxa"/>
              <w:right w:w="10" w:type="dxa"/>
            </w:tcMar>
            <w:vAlign w:val="center"/>
          </w:tcPr>
          <w:p w14:paraId="44D3AB69">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r>
      <w:tr w14:paraId="1239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317" w:type="pct"/>
            <w:shd w:val="clear" w:color="auto" w:fill="auto"/>
            <w:tcMar>
              <w:top w:w="10" w:type="dxa"/>
              <w:left w:w="10" w:type="dxa"/>
              <w:right w:w="10" w:type="dxa"/>
            </w:tcMar>
            <w:vAlign w:val="center"/>
          </w:tcPr>
          <w:p w14:paraId="24DD70AD">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34</w:t>
            </w:r>
          </w:p>
        </w:tc>
        <w:tc>
          <w:tcPr>
            <w:tcW w:w="307" w:type="pct"/>
            <w:shd w:val="clear" w:color="auto" w:fill="auto"/>
            <w:tcMar>
              <w:top w:w="10" w:type="dxa"/>
              <w:left w:w="10" w:type="dxa"/>
              <w:right w:w="10" w:type="dxa"/>
            </w:tcMar>
            <w:vAlign w:val="center"/>
          </w:tcPr>
          <w:p w14:paraId="69A8C50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便携式氢火焰离子化检测仪（FID）</w:t>
            </w:r>
          </w:p>
        </w:tc>
        <w:tc>
          <w:tcPr>
            <w:tcW w:w="421" w:type="pct"/>
            <w:shd w:val="clear" w:color="auto" w:fill="auto"/>
            <w:tcMar>
              <w:top w:w="10" w:type="dxa"/>
              <w:left w:w="10" w:type="dxa"/>
              <w:right w:w="10" w:type="dxa"/>
            </w:tcMar>
            <w:vAlign w:val="center"/>
          </w:tcPr>
          <w:p w14:paraId="7F1446BB">
            <w:pPr>
              <w:spacing w:line="360" w:lineRule="auto"/>
              <w:jc w:val="left"/>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便携式氢火焰离子化检测仪（FID）</w:t>
            </w:r>
          </w:p>
        </w:tc>
        <w:tc>
          <w:tcPr>
            <w:tcW w:w="3375" w:type="pct"/>
            <w:shd w:val="clear" w:color="auto" w:fill="auto"/>
            <w:tcMar>
              <w:top w:w="10" w:type="dxa"/>
              <w:left w:w="10" w:type="dxa"/>
              <w:right w:w="10" w:type="dxa"/>
            </w:tcMar>
            <w:vAlign w:val="center"/>
          </w:tcPr>
          <w:p w14:paraId="714D7DA7">
            <w:pPr>
              <w:numPr>
                <w:ilvl w:val="0"/>
                <w:numId w:val="1"/>
              </w:num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准确度 FID：±10%或±0.1ppm，较大者为准；</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2。重复性 FID：±2%，500ppm甲烷；</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3.动态范围 FID：（1～50000）ppm甲烷，支持多点校正；</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4.线性范围 FID：（1～30000）ppm甲烷；</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5.最低检测限 最低检测限定义为峰对峰噪声标准偏差的七倍</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FID：0.5ppm甲烷；</w:t>
            </w:r>
            <w:r>
              <w:rPr>
                <w:rFonts w:hint="eastAsia" w:ascii="宋体" w:hAnsi="宋体" w:eastAsia="宋体" w:cs="宋体"/>
                <w:sz w:val="24"/>
                <w:szCs w:val="24"/>
                <w:highlight w:val="none"/>
                <w:lang w:val="en-US" w:eastAsia="zh-CN"/>
              </w:rPr>
              <w:br w:type="textWrapping"/>
            </w:r>
            <w:r>
              <w:rPr>
                <w:rFonts w:hint="eastAsia" w:ascii="宋体" w:hAnsi="宋体" w:eastAsia="宋体" w:cs="宋体"/>
                <w:i w:val="0"/>
                <w:color w:val="000000"/>
                <w:kern w:val="0"/>
                <w:sz w:val="24"/>
                <w:szCs w:val="24"/>
                <w:highlight w:val="none"/>
                <w:u w:val="none"/>
                <w:lang w:val="en-US" w:eastAsia="zh-CN" w:bidi="ar"/>
              </w:rPr>
              <w:t>★</w:t>
            </w:r>
            <w:r>
              <w:rPr>
                <w:rFonts w:hint="eastAsia" w:ascii="宋体" w:hAnsi="宋体" w:eastAsia="宋体" w:cs="宋体"/>
                <w:sz w:val="24"/>
                <w:szCs w:val="24"/>
                <w:highlight w:val="none"/>
                <w:lang w:val="en-US" w:eastAsia="zh-CN"/>
              </w:rPr>
              <w:t>6.探头采样响应时间 FID：10000ppm甲烷，＜3.5s，T90；（提供报告证明）</w:t>
            </w:r>
            <w:r>
              <w:rPr>
                <w:rFonts w:hint="eastAsia" w:ascii="宋体" w:hAnsi="宋体" w:eastAsia="宋体" w:cs="宋体"/>
                <w:sz w:val="24"/>
                <w:szCs w:val="24"/>
                <w:highlight w:val="none"/>
                <w:lang w:val="en-US" w:eastAsia="zh-CN"/>
              </w:rPr>
              <w:br w:type="textWrapping"/>
            </w:r>
            <w:r>
              <w:rPr>
                <w:rFonts w:hint="eastAsia" w:ascii="宋体" w:hAnsi="宋体" w:eastAsia="宋体" w:cs="宋体"/>
                <w:i w:val="0"/>
                <w:color w:val="000000"/>
                <w:kern w:val="0"/>
                <w:sz w:val="24"/>
                <w:szCs w:val="24"/>
                <w:highlight w:val="none"/>
                <w:u w:val="none"/>
                <w:lang w:val="en-US" w:eastAsia="zh-CN" w:bidi="ar"/>
              </w:rPr>
              <w:t>★</w:t>
            </w:r>
            <w:r>
              <w:rPr>
                <w:rFonts w:hint="eastAsia" w:ascii="宋体" w:hAnsi="宋体" w:eastAsia="宋体" w:cs="宋体"/>
                <w:sz w:val="24"/>
                <w:szCs w:val="24"/>
                <w:highlight w:val="none"/>
                <w:lang w:val="en-US" w:eastAsia="zh-CN"/>
              </w:rPr>
              <w:t>7.探头采样恢复时间 FID：10000ppm甲烷，＜4.5s，（提供报告证明）；</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8.采样速度 样品探头入口处1L/min；</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9.电池 0℃下，电池工作时间不小于10小时；</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10.使用寿命 FID：＞6000小时；</w:t>
            </w:r>
          </w:p>
          <w:p w14:paraId="2A1D203C">
            <w:pPr>
              <w:numPr>
                <w:ilvl w:val="0"/>
                <w:numId w:val="0"/>
              </w:numPr>
              <w:bidi w:val="0"/>
              <w:spacing w:line="360" w:lineRule="auto"/>
              <w:rPr>
                <w:rFonts w:hint="eastAsia" w:ascii="宋体" w:hAnsi="宋体" w:eastAsia="宋体" w:cs="宋体"/>
                <w:b/>
                <w:i w:val="0"/>
                <w:color w:val="666666"/>
                <w:sz w:val="24"/>
                <w:szCs w:val="24"/>
                <w:highlight w:val="none"/>
                <w:u w:val="none"/>
              </w:rPr>
            </w:pPr>
            <w:r>
              <w:rPr>
                <w:rFonts w:hint="eastAsia" w:ascii="宋体" w:hAnsi="宋体" w:eastAsia="宋体" w:cs="宋体"/>
                <w:sz w:val="24"/>
                <w:szCs w:val="24"/>
                <w:highlight w:val="none"/>
                <w:lang w:val="en-US" w:eastAsia="zh-CN"/>
              </w:rPr>
              <w:t>11.工作温度 -10℃～+45℃、工作湿度 (0~95)%RH；</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12.氢气瓶容积 25℃最高达15Mpa，空瓶体积75ml</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13.氢气瓶工作时间 连续运行10小时，充气压15Mpa</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14.通讯模式 可输出远程通讯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15.整机重量 ≤3.2kg；内置氢气钢瓶</w:t>
            </w:r>
          </w:p>
        </w:tc>
        <w:tc>
          <w:tcPr>
            <w:tcW w:w="257" w:type="pct"/>
            <w:shd w:val="clear" w:color="auto" w:fill="auto"/>
            <w:tcMar>
              <w:top w:w="10" w:type="dxa"/>
              <w:left w:w="10" w:type="dxa"/>
              <w:right w:w="10" w:type="dxa"/>
            </w:tcMar>
            <w:vAlign w:val="center"/>
          </w:tcPr>
          <w:p w14:paraId="37A1F4D0">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部</w:t>
            </w:r>
          </w:p>
        </w:tc>
        <w:tc>
          <w:tcPr>
            <w:tcW w:w="320" w:type="pct"/>
            <w:shd w:val="clear" w:color="auto" w:fill="auto"/>
            <w:tcMar>
              <w:top w:w="10" w:type="dxa"/>
              <w:left w:w="10" w:type="dxa"/>
              <w:right w:w="10" w:type="dxa"/>
            </w:tcMar>
            <w:vAlign w:val="center"/>
          </w:tcPr>
          <w:p w14:paraId="36F91EDF">
            <w:pPr>
              <w:keepNext w:val="0"/>
              <w:keepLines w:val="0"/>
              <w:widowControl/>
              <w:suppressLineNumbers w:val="0"/>
              <w:spacing w:line="360" w:lineRule="auto"/>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r>
    </w:tbl>
    <w:p w14:paraId="6687C678">
      <w:pPr>
        <w:spacing w:before="0" w:after="0" w:line="240" w:lineRule="auto"/>
        <w:ind w:right="0"/>
        <w:jc w:val="left"/>
        <w:rPr>
          <w:rFonts w:ascii="宋体" w:hAnsi="宋体" w:eastAsia="宋体" w:cs="宋体"/>
          <w:color w:val="auto"/>
          <w:spacing w:val="0"/>
          <w:position w:val="0"/>
          <w:sz w:val="24"/>
          <w:highlight w:val="none"/>
          <w:shd w:val="clear" w:fill="auto"/>
        </w:rPr>
      </w:pPr>
    </w:p>
    <w:p w14:paraId="277287D4">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其他</w:t>
      </w:r>
      <w:r>
        <w:rPr>
          <w:rFonts w:ascii="宋体" w:hAnsi="宋体" w:eastAsia="宋体" w:cs="宋体"/>
          <w:color w:val="auto"/>
          <w:spacing w:val="0"/>
          <w:position w:val="0"/>
          <w:sz w:val="24"/>
          <w:highlight w:val="none"/>
          <w:shd w:val="clear" w:fill="auto"/>
        </w:rPr>
        <w:t>要求：</w:t>
      </w:r>
    </w:p>
    <w:p w14:paraId="17FF8C47">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44F012F9">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1</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12</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6ED75814">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5746C160">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合同签订后30日历天内</w:t>
      </w:r>
      <w:r>
        <w:rPr>
          <w:rFonts w:ascii="宋体" w:hAnsi="宋体" w:eastAsia="宋体" w:cs="宋体"/>
          <w:color w:val="auto"/>
          <w:spacing w:val="0"/>
          <w:position w:val="0"/>
          <w:sz w:val="24"/>
          <w:highlight w:val="none"/>
          <w:shd w:val="clear" w:fill="auto"/>
        </w:rPr>
        <w:t>。</w:t>
      </w:r>
    </w:p>
    <w:p w14:paraId="2C8020C0">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验收：由最终用户组织验收。</w:t>
      </w:r>
    </w:p>
    <w:p w14:paraId="0B7A01C9">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3A994997">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232B4BAD">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1657D9CA">
      <w:pPr>
        <w:pStyle w:val="2"/>
        <w:rPr>
          <w:rFonts w:hint="eastAsia" w:ascii="宋体" w:hAnsi="宋体" w:eastAsia="宋体" w:cs="宋体"/>
          <w:color w:val="auto"/>
          <w:spacing w:val="0"/>
          <w:position w:val="0"/>
          <w:sz w:val="24"/>
          <w:highlight w:val="none"/>
          <w:shd w:val="clear" w:fill="auto"/>
          <w:lang w:val="en-US" w:eastAsia="zh-CN"/>
        </w:rPr>
      </w:pPr>
    </w:p>
    <w:p w14:paraId="4C2F4EC3">
      <w:pPr>
        <w:pStyle w:val="2"/>
        <w:rPr>
          <w:rFonts w:hint="eastAsia" w:ascii="宋体" w:hAnsi="宋体" w:eastAsia="宋体" w:cs="宋体"/>
          <w:color w:val="auto"/>
          <w:spacing w:val="0"/>
          <w:position w:val="0"/>
          <w:sz w:val="24"/>
          <w:highlight w:val="none"/>
          <w:shd w:val="clear" w:fill="auto"/>
          <w:lang w:val="en-US" w:eastAsia="zh-CN"/>
        </w:rPr>
      </w:pPr>
    </w:p>
    <w:p w14:paraId="63C3C429">
      <w:pPr>
        <w:pStyle w:val="2"/>
        <w:rPr>
          <w:rFonts w:hint="eastAsia" w:ascii="宋体" w:hAnsi="宋体" w:eastAsia="宋体" w:cs="宋体"/>
          <w:color w:val="auto"/>
          <w:spacing w:val="0"/>
          <w:position w:val="0"/>
          <w:sz w:val="24"/>
          <w:highlight w:val="none"/>
          <w:shd w:val="clear" w:fill="auto"/>
          <w:lang w:val="en-US" w:eastAsia="zh-CN"/>
        </w:rPr>
      </w:pPr>
    </w:p>
    <w:p w14:paraId="71CAB4A1">
      <w:pPr>
        <w:pStyle w:val="2"/>
        <w:ind w:left="0" w:leftChars="0" w:firstLine="0" w:firstLineChars="0"/>
        <w:rPr>
          <w:rFonts w:hint="eastAsia" w:ascii="宋体" w:hAnsi="宋体" w:eastAsia="宋体" w:cs="宋体"/>
          <w:color w:val="auto"/>
          <w:spacing w:val="0"/>
          <w:position w:val="0"/>
          <w:sz w:val="24"/>
          <w:highlight w:val="none"/>
          <w:shd w:val="clear" w:fill="auto"/>
          <w:lang w:val="en-US" w:eastAsia="zh-CN"/>
        </w:rPr>
      </w:pPr>
    </w:p>
    <w:p w14:paraId="3790517B">
      <w:pPr>
        <w:spacing w:before="0" w:after="0" w:line="240" w:lineRule="auto"/>
        <w:ind w:right="0"/>
        <w:jc w:val="left"/>
        <w:rPr>
          <w:rFonts w:hint="eastAsia" w:ascii="宋体" w:hAnsi="宋体" w:eastAsia="宋体" w:cs="宋体"/>
          <w:color w:val="auto"/>
          <w:spacing w:val="0"/>
          <w:position w:val="0"/>
          <w:sz w:val="24"/>
          <w:highlight w:val="none"/>
          <w:shd w:val="clear" w:fill="auto"/>
          <w:lang w:val="en-US" w:eastAsia="zh-CN"/>
        </w:rPr>
      </w:pPr>
    </w:p>
    <w:p w14:paraId="5ADFBF35">
      <w:pPr>
        <w:pStyle w:val="5"/>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59162EB5">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10CF147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59DC3C4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5B6A416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3BF1C2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DECE90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5993031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BEFEBD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C0FD5C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5A53A1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B9BB3A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2B8261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1D9B31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B5F8D9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C877CC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5D8AF2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C5276B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69E38F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020134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DEEB53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B102E8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86F944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BC530F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1B1239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DB05BD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A36CB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127FB20">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w:t>
      </w:r>
    </w:p>
    <w:p w14:paraId="78A697C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456CD96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010EDAE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3654757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C8B60C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7D91659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0D7863E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06A60E4">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0F437845">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D34C3A">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172FD90B">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78B0A5AD">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4C863069">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6856F5C4">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6B2470D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479B72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EC7A934">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41BA2B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5A06AE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1C9F67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83A5EB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1215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F428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D92D34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571423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68B0A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0CF8C1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56B5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2E216D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5EAD9563">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75365B1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4C9D88B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21A0E6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493F0B4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5CF3C3C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59BBAD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15FC9AB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48425D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4D1059D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15B04EE0">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2486A7">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4204A6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2213F2E">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72E016F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11CD5D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666554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F2B4D8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3A54EF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0423C3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0D79F1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E530F3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E1829A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D9C2A6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89736E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C618BD7">
      <w:pPr>
        <w:pStyle w:val="2"/>
        <w:rPr>
          <w:highlight w:val="none"/>
        </w:rPr>
      </w:pPr>
    </w:p>
    <w:p w14:paraId="179BE86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B9B9CC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7DE371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F95E3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49D0D34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503D697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64711C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7AC8C9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9F688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D2C053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9B3D0C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6CB82D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CB36B3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1CF519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962706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879F82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929E6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7AE32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4535B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A173B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2F2A40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F19B5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9A34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5FA2F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9FF5D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759116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EC2D22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BFFEC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E5890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6BE1B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A7980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9860A4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918F6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3A015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7EF37F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2B82AD01">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3FFAFBFF">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6D06A4C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3FE7CF4">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根据贵方              项目的竞争性磋商邀请（项目编号：          ），委托代理人      (全名、职务)代表              </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07E00E4A">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7B05122E">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4FA996A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4C915EDF">
      <w:pPr>
        <w:numPr>
          <w:ilvl w:val="0"/>
          <w:numId w:val="0"/>
        </w:numPr>
        <w:spacing w:before="0" w:after="0" w:line="240" w:lineRule="auto"/>
        <w:ind w:left="480" w:leftChars="0"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4A6A95E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A951E9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5F9BDC7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1FEB9271">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1632C17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72690FC4">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38E28DC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68B25FD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350D611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162A1C1A">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4293D134">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25A0C3AC">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A78F45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3CBA65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B5E4B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08398E6">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3479A7D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67CA04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578AD9C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7C85D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4D38B0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88ED6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7C14F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4B0067F9">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38"/>
        <w:gridCol w:w="6184"/>
      </w:tblGrid>
      <w:tr w14:paraId="0BB5DCAE">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1B6FC">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C37B0">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288F27E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A5851">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E86C6">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0AB0F930">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E3B1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w:t>
            </w:r>
          </w:p>
          <w:p w14:paraId="491D3CF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308E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4156967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9F80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DEAB9">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3D91FA59">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0FF8459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07BB8E3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691F501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7F33D1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E959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C674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ABFD7A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A1B886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0A6EFE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596B3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938C58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982A2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8E966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0200F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DBF220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30CAC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DDBF2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832061">
      <w:pPr>
        <w:pStyle w:val="2"/>
        <w:rPr>
          <w:highlight w:val="none"/>
        </w:rPr>
      </w:pPr>
    </w:p>
    <w:p w14:paraId="2D60991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677594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20F47FF2">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3DF136F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A1CC594">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4B3A792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698C263">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37CA68B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FC1AC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17FCC2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801B5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C1E5C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7BED909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CCC8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FA29FB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52622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399D8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FC6B18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E50F68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BD16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E3A8CF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70E93F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0494C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C579B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114992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AE92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D8B8D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CEDBA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8C2DC3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31E4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673032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E247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8656A3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3FB6A1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8F66C6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5A77F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A81D94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8263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C58E9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90B88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804F58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86709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2FDDF4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C7B1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FD7098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6FDEC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198F89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5F000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2E1D45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A94F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D7DBEC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2586D2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DF7F92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707B6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4C2D25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0062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D3209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F2B53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220C23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01850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B5DB3D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14D3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C95DC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0C64F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F3C2B7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AE69D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2AD9282">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27869CE">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4E993DC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2C8E816B">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0DEC3F4">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39234BC5">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5DB6CF81">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44C2D7E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08DE0A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C93998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1724AC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3BF8B2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2067B0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9D1EEA7">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700E2C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F1B88C0">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85294B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3F6D89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EC35DBA">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CD23D7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20DDB7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C7661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DD00E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3F89B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7252C00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5990E0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5BEC3C84">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A4AB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F00F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5D18967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9094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33C0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280B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35F8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798F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36AFABD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7C00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A148AD">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4D8E64">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B0585C">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CE6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0F3D62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8844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5F6CB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6BAE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FFBA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18F2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039627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25E6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13139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DC03E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52CE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B932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002357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CF6E9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ABE1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F7E1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67B7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2C9F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A2093D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D0F3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969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CE09A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7B9F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4071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411C83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C510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9BCE4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834D8">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EF4F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B422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140298A4">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A04BCF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3905FBF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F19F145">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3FF446F1">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7CBE83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6A2DFB2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19C4BC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74C8C4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A8677C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3C0EC79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779F53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74B112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218F07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E93CCD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3C373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DF990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CB023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26A22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5F1B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EC2CFD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2D58E8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5935DB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BF3D3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72976C7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F9EDAB3">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49A07F7C">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70B59665">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03236F3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DC7A5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8A04A4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BEE06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2E41A5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B48F2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8784041">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205A12A7">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B9A5645">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57A241B">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2C666E92">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55FF875E">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8FD94FA">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B066E5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A87A138">
      <w:pPr>
        <w:pStyle w:val="17"/>
        <w:rPr>
          <w:rFonts w:ascii="宋体" w:hAnsi="宋体" w:eastAsia="宋体" w:cs="宋体"/>
          <w:b/>
          <w:color w:val="auto"/>
          <w:spacing w:val="0"/>
          <w:position w:val="0"/>
          <w:sz w:val="24"/>
          <w:highlight w:val="none"/>
          <w:shd w:val="clear" w:fill="auto"/>
        </w:rPr>
      </w:pPr>
    </w:p>
    <w:p w14:paraId="5AC149AE">
      <w:pPr>
        <w:pStyle w:val="6"/>
        <w:rPr>
          <w:rFonts w:ascii="宋体" w:hAnsi="宋体" w:eastAsia="宋体" w:cs="宋体"/>
          <w:b/>
          <w:color w:val="auto"/>
          <w:spacing w:val="0"/>
          <w:position w:val="0"/>
          <w:sz w:val="24"/>
          <w:highlight w:val="none"/>
          <w:shd w:val="clear" w:fill="auto"/>
        </w:rPr>
      </w:pPr>
    </w:p>
    <w:p w14:paraId="4BE2BB73">
      <w:pPr>
        <w:rPr>
          <w:rFonts w:ascii="宋体" w:hAnsi="宋体" w:eastAsia="宋体" w:cs="宋体"/>
          <w:b/>
          <w:color w:val="auto"/>
          <w:spacing w:val="0"/>
          <w:position w:val="0"/>
          <w:sz w:val="24"/>
          <w:highlight w:val="none"/>
          <w:shd w:val="clear" w:fill="auto"/>
        </w:rPr>
      </w:pPr>
    </w:p>
    <w:p w14:paraId="1FFD62E1">
      <w:pPr>
        <w:pStyle w:val="17"/>
        <w:rPr>
          <w:rFonts w:ascii="宋体" w:hAnsi="宋体" w:eastAsia="宋体" w:cs="宋体"/>
          <w:b/>
          <w:color w:val="auto"/>
          <w:spacing w:val="0"/>
          <w:position w:val="0"/>
          <w:sz w:val="24"/>
          <w:highlight w:val="none"/>
          <w:shd w:val="clear" w:fill="auto"/>
        </w:rPr>
      </w:pPr>
    </w:p>
    <w:p w14:paraId="0D64D1A6">
      <w:pPr>
        <w:pStyle w:val="6"/>
        <w:rPr>
          <w:rFonts w:ascii="宋体" w:hAnsi="宋体" w:eastAsia="宋体" w:cs="宋体"/>
          <w:b/>
          <w:color w:val="auto"/>
          <w:spacing w:val="0"/>
          <w:position w:val="0"/>
          <w:sz w:val="24"/>
          <w:highlight w:val="none"/>
          <w:shd w:val="clear" w:fill="auto"/>
        </w:rPr>
      </w:pPr>
    </w:p>
    <w:p w14:paraId="23912636">
      <w:pPr>
        <w:rPr>
          <w:rFonts w:ascii="宋体" w:hAnsi="宋体" w:eastAsia="宋体" w:cs="宋体"/>
          <w:b/>
          <w:color w:val="auto"/>
          <w:spacing w:val="0"/>
          <w:position w:val="0"/>
          <w:sz w:val="24"/>
          <w:highlight w:val="none"/>
          <w:shd w:val="clear" w:fill="auto"/>
        </w:rPr>
      </w:pPr>
    </w:p>
    <w:p w14:paraId="3B824F32">
      <w:pPr>
        <w:pStyle w:val="17"/>
        <w:rPr>
          <w:rFonts w:ascii="宋体" w:hAnsi="宋体" w:eastAsia="宋体" w:cs="宋体"/>
          <w:b/>
          <w:color w:val="auto"/>
          <w:spacing w:val="0"/>
          <w:position w:val="0"/>
          <w:sz w:val="24"/>
          <w:highlight w:val="none"/>
          <w:shd w:val="clear" w:fill="auto"/>
        </w:rPr>
      </w:pPr>
    </w:p>
    <w:p w14:paraId="12AD50C2">
      <w:pPr>
        <w:pStyle w:val="6"/>
        <w:rPr>
          <w:rFonts w:ascii="宋体" w:hAnsi="宋体" w:eastAsia="宋体" w:cs="宋体"/>
          <w:b/>
          <w:color w:val="auto"/>
          <w:spacing w:val="0"/>
          <w:position w:val="0"/>
          <w:sz w:val="24"/>
          <w:highlight w:val="none"/>
          <w:shd w:val="clear" w:fill="auto"/>
        </w:rPr>
      </w:pPr>
    </w:p>
    <w:p w14:paraId="6FE95D53">
      <w:pPr>
        <w:rPr>
          <w:rFonts w:ascii="宋体" w:hAnsi="宋体" w:eastAsia="宋体" w:cs="宋体"/>
          <w:b/>
          <w:color w:val="auto"/>
          <w:spacing w:val="0"/>
          <w:position w:val="0"/>
          <w:sz w:val="24"/>
          <w:highlight w:val="none"/>
          <w:shd w:val="clear" w:fill="auto"/>
        </w:rPr>
      </w:pPr>
    </w:p>
    <w:p w14:paraId="6F5EF296">
      <w:pPr>
        <w:pStyle w:val="17"/>
        <w:rPr>
          <w:rFonts w:ascii="宋体" w:hAnsi="宋体" w:eastAsia="宋体" w:cs="宋体"/>
          <w:b/>
          <w:color w:val="auto"/>
          <w:spacing w:val="0"/>
          <w:position w:val="0"/>
          <w:sz w:val="24"/>
          <w:highlight w:val="none"/>
          <w:shd w:val="clear" w:fill="auto"/>
        </w:rPr>
      </w:pPr>
    </w:p>
    <w:p w14:paraId="02FA1DB3">
      <w:pPr>
        <w:pStyle w:val="6"/>
        <w:rPr>
          <w:rFonts w:ascii="宋体" w:hAnsi="宋体" w:eastAsia="宋体" w:cs="宋体"/>
          <w:b/>
          <w:color w:val="auto"/>
          <w:spacing w:val="0"/>
          <w:position w:val="0"/>
          <w:sz w:val="24"/>
          <w:highlight w:val="none"/>
          <w:shd w:val="clear" w:fill="auto"/>
        </w:rPr>
      </w:pPr>
    </w:p>
    <w:p w14:paraId="44E72566">
      <w:pPr>
        <w:rPr>
          <w:rFonts w:ascii="宋体" w:hAnsi="宋体" w:eastAsia="宋体" w:cs="宋体"/>
          <w:b/>
          <w:color w:val="auto"/>
          <w:spacing w:val="0"/>
          <w:position w:val="0"/>
          <w:sz w:val="24"/>
          <w:highlight w:val="none"/>
          <w:shd w:val="clear" w:fill="auto"/>
        </w:rPr>
      </w:pPr>
    </w:p>
    <w:p w14:paraId="4E57FCD3">
      <w:pPr>
        <w:pStyle w:val="17"/>
        <w:rPr>
          <w:rFonts w:ascii="宋体" w:hAnsi="宋体" w:eastAsia="宋体" w:cs="宋体"/>
          <w:b/>
          <w:color w:val="auto"/>
          <w:spacing w:val="0"/>
          <w:position w:val="0"/>
          <w:sz w:val="24"/>
          <w:highlight w:val="none"/>
          <w:shd w:val="clear" w:fill="auto"/>
        </w:rPr>
      </w:pPr>
    </w:p>
    <w:p w14:paraId="74E02DB3">
      <w:pPr>
        <w:pStyle w:val="6"/>
        <w:rPr>
          <w:rFonts w:ascii="宋体" w:hAnsi="宋体" w:eastAsia="宋体" w:cs="宋体"/>
          <w:b/>
          <w:color w:val="auto"/>
          <w:spacing w:val="0"/>
          <w:position w:val="0"/>
          <w:sz w:val="24"/>
          <w:highlight w:val="none"/>
          <w:shd w:val="clear" w:fill="auto"/>
        </w:rPr>
      </w:pPr>
    </w:p>
    <w:p w14:paraId="3BC6DF2C">
      <w:pPr>
        <w:rPr>
          <w:rFonts w:ascii="宋体" w:hAnsi="宋体" w:eastAsia="宋体" w:cs="宋体"/>
          <w:b/>
          <w:color w:val="auto"/>
          <w:spacing w:val="0"/>
          <w:position w:val="0"/>
          <w:sz w:val="24"/>
          <w:highlight w:val="none"/>
          <w:shd w:val="clear" w:fill="auto"/>
        </w:rPr>
      </w:pPr>
    </w:p>
    <w:p w14:paraId="711330D3">
      <w:pPr>
        <w:pStyle w:val="17"/>
        <w:rPr>
          <w:rFonts w:ascii="宋体" w:hAnsi="宋体" w:eastAsia="宋体" w:cs="宋体"/>
          <w:b/>
          <w:color w:val="auto"/>
          <w:spacing w:val="0"/>
          <w:position w:val="0"/>
          <w:sz w:val="24"/>
          <w:highlight w:val="none"/>
          <w:shd w:val="clear" w:fill="auto"/>
        </w:rPr>
      </w:pPr>
    </w:p>
    <w:p w14:paraId="0942DBB2">
      <w:pPr>
        <w:pStyle w:val="6"/>
        <w:rPr>
          <w:rFonts w:ascii="宋体" w:hAnsi="宋体" w:eastAsia="宋体" w:cs="宋体"/>
          <w:b/>
          <w:color w:val="auto"/>
          <w:spacing w:val="0"/>
          <w:position w:val="0"/>
          <w:sz w:val="24"/>
          <w:highlight w:val="none"/>
          <w:shd w:val="clear" w:fill="auto"/>
        </w:rPr>
      </w:pPr>
    </w:p>
    <w:p w14:paraId="0076DFFA">
      <w:pPr>
        <w:rPr>
          <w:highlight w:val="none"/>
        </w:rPr>
      </w:pPr>
    </w:p>
    <w:p w14:paraId="6540E4A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1EEDE926">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3E6CB76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8D1DC1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4C3E97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BC2489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587836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BEACC1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69B48B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96ABDA7">
      <w:pPr>
        <w:pStyle w:val="17"/>
        <w:rPr>
          <w:highlight w:val="none"/>
        </w:rPr>
      </w:pPr>
    </w:p>
    <w:p w14:paraId="206E56D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8D018D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69BFEC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8882BC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AD5198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495EF5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710BE5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9E4C5CB">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709A504D">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B94D7F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5DE304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77CBF95">
      <w:pPr>
        <w:pStyle w:val="17"/>
        <w:rPr>
          <w:rFonts w:ascii="宋体" w:hAnsi="宋体" w:eastAsia="宋体" w:cs="宋体"/>
          <w:b/>
          <w:color w:val="auto"/>
          <w:spacing w:val="0"/>
          <w:position w:val="0"/>
          <w:sz w:val="24"/>
          <w:highlight w:val="none"/>
          <w:shd w:val="clear" w:fill="auto"/>
        </w:rPr>
      </w:pPr>
    </w:p>
    <w:p w14:paraId="305CC3B5">
      <w:pPr>
        <w:pStyle w:val="6"/>
        <w:rPr>
          <w:rFonts w:ascii="宋体" w:hAnsi="宋体" w:eastAsia="宋体" w:cs="宋体"/>
          <w:b/>
          <w:color w:val="auto"/>
          <w:spacing w:val="0"/>
          <w:position w:val="0"/>
          <w:sz w:val="24"/>
          <w:highlight w:val="none"/>
          <w:shd w:val="clear" w:fill="auto"/>
        </w:rPr>
      </w:pPr>
    </w:p>
    <w:p w14:paraId="32F6A8AA">
      <w:pPr>
        <w:rPr>
          <w:rFonts w:ascii="宋体" w:hAnsi="宋体" w:eastAsia="宋体" w:cs="宋体"/>
          <w:b/>
          <w:color w:val="auto"/>
          <w:spacing w:val="0"/>
          <w:position w:val="0"/>
          <w:sz w:val="24"/>
          <w:highlight w:val="none"/>
          <w:shd w:val="clear" w:fill="auto"/>
        </w:rPr>
      </w:pPr>
    </w:p>
    <w:p w14:paraId="156A4973">
      <w:pPr>
        <w:pStyle w:val="17"/>
        <w:rPr>
          <w:rFonts w:ascii="宋体" w:hAnsi="宋体" w:eastAsia="宋体" w:cs="宋体"/>
          <w:b/>
          <w:color w:val="auto"/>
          <w:spacing w:val="0"/>
          <w:position w:val="0"/>
          <w:sz w:val="24"/>
          <w:highlight w:val="none"/>
          <w:shd w:val="clear" w:fill="auto"/>
        </w:rPr>
      </w:pPr>
    </w:p>
    <w:p w14:paraId="6DEA30B4">
      <w:pPr>
        <w:pStyle w:val="6"/>
        <w:rPr>
          <w:rFonts w:ascii="宋体" w:hAnsi="宋体" w:eastAsia="宋体" w:cs="宋体"/>
          <w:b/>
          <w:color w:val="auto"/>
          <w:spacing w:val="0"/>
          <w:position w:val="0"/>
          <w:sz w:val="24"/>
          <w:highlight w:val="none"/>
          <w:shd w:val="clear" w:fill="auto"/>
        </w:rPr>
      </w:pPr>
    </w:p>
    <w:p w14:paraId="281641CA">
      <w:pPr>
        <w:rPr>
          <w:rFonts w:ascii="宋体" w:hAnsi="宋体" w:eastAsia="宋体" w:cs="宋体"/>
          <w:b/>
          <w:color w:val="auto"/>
          <w:spacing w:val="0"/>
          <w:position w:val="0"/>
          <w:sz w:val="24"/>
          <w:highlight w:val="none"/>
          <w:shd w:val="clear" w:fill="auto"/>
        </w:rPr>
      </w:pPr>
    </w:p>
    <w:p w14:paraId="261169CF">
      <w:pPr>
        <w:pStyle w:val="17"/>
        <w:rPr>
          <w:rFonts w:ascii="宋体" w:hAnsi="宋体" w:eastAsia="宋体" w:cs="宋体"/>
          <w:b/>
          <w:color w:val="auto"/>
          <w:spacing w:val="0"/>
          <w:position w:val="0"/>
          <w:sz w:val="24"/>
          <w:highlight w:val="none"/>
          <w:shd w:val="clear" w:fill="auto"/>
        </w:rPr>
      </w:pPr>
    </w:p>
    <w:p w14:paraId="5CC8213D">
      <w:pPr>
        <w:pStyle w:val="6"/>
        <w:rPr>
          <w:rFonts w:ascii="宋体" w:hAnsi="宋体" w:eastAsia="宋体" w:cs="宋体"/>
          <w:b/>
          <w:color w:val="auto"/>
          <w:spacing w:val="0"/>
          <w:position w:val="0"/>
          <w:sz w:val="24"/>
          <w:highlight w:val="none"/>
          <w:shd w:val="clear" w:fill="auto"/>
        </w:rPr>
      </w:pPr>
    </w:p>
    <w:p w14:paraId="1F076864">
      <w:pPr>
        <w:rPr>
          <w:rFonts w:ascii="宋体" w:hAnsi="宋体" w:eastAsia="宋体" w:cs="宋体"/>
          <w:b/>
          <w:color w:val="auto"/>
          <w:spacing w:val="0"/>
          <w:position w:val="0"/>
          <w:sz w:val="24"/>
          <w:highlight w:val="none"/>
          <w:shd w:val="clear" w:fill="auto"/>
        </w:rPr>
      </w:pPr>
    </w:p>
    <w:p w14:paraId="1B952098">
      <w:pPr>
        <w:pStyle w:val="17"/>
        <w:rPr>
          <w:rFonts w:ascii="宋体" w:hAnsi="宋体" w:eastAsia="宋体" w:cs="宋体"/>
          <w:b/>
          <w:color w:val="auto"/>
          <w:spacing w:val="0"/>
          <w:position w:val="0"/>
          <w:sz w:val="24"/>
          <w:highlight w:val="none"/>
          <w:shd w:val="clear" w:fill="auto"/>
        </w:rPr>
      </w:pPr>
    </w:p>
    <w:p w14:paraId="05020F6C">
      <w:pPr>
        <w:pStyle w:val="6"/>
        <w:rPr>
          <w:rFonts w:ascii="宋体" w:hAnsi="宋体" w:eastAsia="宋体" w:cs="宋体"/>
          <w:b/>
          <w:color w:val="auto"/>
          <w:spacing w:val="0"/>
          <w:position w:val="0"/>
          <w:sz w:val="24"/>
          <w:highlight w:val="none"/>
          <w:shd w:val="clear" w:fill="auto"/>
        </w:rPr>
      </w:pPr>
    </w:p>
    <w:p w14:paraId="261A2E62">
      <w:pPr>
        <w:rPr>
          <w:highlight w:val="none"/>
        </w:rPr>
      </w:pPr>
    </w:p>
    <w:p w14:paraId="02FBF18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312E48F">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2EBDC5FD">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095E7F5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7BABC76B">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BF58CF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05435800">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5B6E419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36D4EB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55CA2924">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4977047C">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6023406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62FCED4">
      <w:pPr>
        <w:rPr>
          <w:rFonts w:hint="eastAsia"/>
          <w:highlight w:val="none"/>
        </w:rPr>
      </w:pPr>
    </w:p>
    <w:p w14:paraId="525A91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2C1850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4DB56C8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141065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3FD69A5">
      <w:pPr>
        <w:pStyle w:val="17"/>
        <w:rPr>
          <w:rFonts w:ascii="宋体" w:hAnsi="宋体" w:eastAsia="宋体" w:cs="宋体"/>
          <w:color w:val="auto"/>
          <w:spacing w:val="0"/>
          <w:position w:val="0"/>
          <w:sz w:val="24"/>
          <w:highlight w:val="none"/>
          <w:shd w:val="clear" w:fill="auto"/>
        </w:rPr>
      </w:pPr>
    </w:p>
    <w:p w14:paraId="4A4AFE84">
      <w:pPr>
        <w:pStyle w:val="6"/>
        <w:rPr>
          <w:rFonts w:ascii="宋体" w:hAnsi="宋体" w:eastAsia="宋体" w:cs="宋体"/>
          <w:color w:val="auto"/>
          <w:spacing w:val="0"/>
          <w:position w:val="0"/>
          <w:sz w:val="24"/>
          <w:highlight w:val="none"/>
          <w:shd w:val="clear" w:fill="auto"/>
        </w:rPr>
      </w:pPr>
    </w:p>
    <w:p w14:paraId="4D3EA7A5">
      <w:pPr>
        <w:rPr>
          <w:rFonts w:ascii="宋体" w:hAnsi="宋体" w:eastAsia="宋体" w:cs="宋体"/>
          <w:color w:val="auto"/>
          <w:spacing w:val="0"/>
          <w:position w:val="0"/>
          <w:sz w:val="24"/>
          <w:highlight w:val="none"/>
          <w:shd w:val="clear" w:fill="auto"/>
        </w:rPr>
      </w:pPr>
    </w:p>
    <w:p w14:paraId="11E410DA">
      <w:pPr>
        <w:pStyle w:val="17"/>
        <w:rPr>
          <w:rFonts w:ascii="宋体" w:hAnsi="宋体" w:eastAsia="宋体" w:cs="宋体"/>
          <w:color w:val="auto"/>
          <w:spacing w:val="0"/>
          <w:position w:val="0"/>
          <w:sz w:val="24"/>
          <w:highlight w:val="none"/>
          <w:shd w:val="clear" w:fill="auto"/>
        </w:rPr>
      </w:pPr>
    </w:p>
    <w:p w14:paraId="3A679DF2">
      <w:pPr>
        <w:pStyle w:val="6"/>
        <w:rPr>
          <w:rFonts w:ascii="宋体" w:hAnsi="宋体" w:eastAsia="宋体" w:cs="宋体"/>
          <w:color w:val="auto"/>
          <w:spacing w:val="0"/>
          <w:position w:val="0"/>
          <w:sz w:val="24"/>
          <w:highlight w:val="none"/>
          <w:shd w:val="clear" w:fill="auto"/>
        </w:rPr>
      </w:pPr>
    </w:p>
    <w:p w14:paraId="68AAA89E">
      <w:pPr>
        <w:rPr>
          <w:rFonts w:ascii="宋体" w:hAnsi="宋体" w:eastAsia="宋体" w:cs="宋体"/>
          <w:color w:val="auto"/>
          <w:spacing w:val="0"/>
          <w:position w:val="0"/>
          <w:sz w:val="24"/>
          <w:highlight w:val="none"/>
          <w:shd w:val="clear" w:fill="auto"/>
        </w:rPr>
      </w:pPr>
    </w:p>
    <w:p w14:paraId="4BD44DBF">
      <w:pPr>
        <w:pStyle w:val="2"/>
        <w:rPr>
          <w:rFonts w:ascii="宋体" w:hAnsi="宋体" w:eastAsia="宋体" w:cs="宋体"/>
          <w:color w:val="auto"/>
          <w:spacing w:val="0"/>
          <w:position w:val="0"/>
          <w:sz w:val="24"/>
          <w:highlight w:val="none"/>
          <w:shd w:val="clear" w:fill="auto"/>
        </w:rPr>
      </w:pPr>
    </w:p>
    <w:p w14:paraId="0E934F2B">
      <w:pPr>
        <w:pStyle w:val="2"/>
        <w:rPr>
          <w:rFonts w:ascii="宋体" w:hAnsi="宋体" w:eastAsia="宋体" w:cs="宋体"/>
          <w:color w:val="auto"/>
          <w:spacing w:val="0"/>
          <w:position w:val="0"/>
          <w:sz w:val="24"/>
          <w:highlight w:val="none"/>
          <w:shd w:val="clear" w:fill="auto"/>
        </w:rPr>
      </w:pPr>
    </w:p>
    <w:p w14:paraId="09473E2B">
      <w:pPr>
        <w:pStyle w:val="2"/>
        <w:rPr>
          <w:rFonts w:ascii="宋体" w:hAnsi="宋体" w:eastAsia="宋体" w:cs="宋体"/>
          <w:color w:val="auto"/>
          <w:spacing w:val="0"/>
          <w:position w:val="0"/>
          <w:sz w:val="24"/>
          <w:highlight w:val="none"/>
          <w:shd w:val="clear" w:fill="auto"/>
        </w:rPr>
      </w:pPr>
    </w:p>
    <w:p w14:paraId="0734AB20">
      <w:pPr>
        <w:pStyle w:val="2"/>
        <w:rPr>
          <w:rFonts w:ascii="宋体" w:hAnsi="宋体" w:eastAsia="宋体" w:cs="宋体"/>
          <w:color w:val="auto"/>
          <w:spacing w:val="0"/>
          <w:position w:val="0"/>
          <w:sz w:val="24"/>
          <w:highlight w:val="none"/>
          <w:shd w:val="clear" w:fill="auto"/>
        </w:rPr>
      </w:pPr>
    </w:p>
    <w:p w14:paraId="5AF55ACD">
      <w:pPr>
        <w:pStyle w:val="2"/>
        <w:rPr>
          <w:rFonts w:ascii="宋体" w:hAnsi="宋体" w:eastAsia="宋体" w:cs="宋体"/>
          <w:color w:val="auto"/>
          <w:spacing w:val="0"/>
          <w:position w:val="0"/>
          <w:sz w:val="24"/>
          <w:highlight w:val="none"/>
          <w:shd w:val="clear" w:fill="auto"/>
        </w:rPr>
      </w:pPr>
    </w:p>
    <w:p w14:paraId="63F3FA6F">
      <w:pPr>
        <w:pStyle w:val="2"/>
        <w:rPr>
          <w:rFonts w:ascii="宋体" w:hAnsi="宋体" w:eastAsia="宋体" w:cs="宋体"/>
          <w:color w:val="auto"/>
          <w:spacing w:val="0"/>
          <w:position w:val="0"/>
          <w:sz w:val="24"/>
          <w:highlight w:val="none"/>
          <w:shd w:val="clear" w:fill="auto"/>
        </w:rPr>
      </w:pPr>
    </w:p>
    <w:p w14:paraId="7DC3D2B7">
      <w:pPr>
        <w:pStyle w:val="2"/>
        <w:rPr>
          <w:rFonts w:ascii="宋体" w:hAnsi="宋体" w:eastAsia="宋体" w:cs="宋体"/>
          <w:color w:val="auto"/>
          <w:spacing w:val="0"/>
          <w:position w:val="0"/>
          <w:sz w:val="24"/>
          <w:highlight w:val="none"/>
          <w:shd w:val="clear" w:fill="auto"/>
        </w:rPr>
      </w:pPr>
    </w:p>
    <w:p w14:paraId="0410D249">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0202D83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46E755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EEF998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9B93456">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113170C">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7A95EDC">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F0BB52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4A6499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12E54C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33DA21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FC926A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1968FD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510337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887CD00">
      <w:pPr>
        <w:pStyle w:val="17"/>
        <w:rPr>
          <w:rFonts w:ascii="宋体" w:hAnsi="宋体" w:eastAsia="宋体" w:cs="宋体"/>
          <w:color w:val="auto"/>
          <w:spacing w:val="0"/>
          <w:position w:val="0"/>
          <w:sz w:val="24"/>
          <w:highlight w:val="none"/>
          <w:shd w:val="clear" w:fill="auto"/>
        </w:rPr>
      </w:pPr>
    </w:p>
    <w:p w14:paraId="72DE6C0B">
      <w:pPr>
        <w:pStyle w:val="6"/>
        <w:rPr>
          <w:rFonts w:ascii="宋体" w:hAnsi="宋体" w:eastAsia="宋体" w:cs="宋体"/>
          <w:color w:val="auto"/>
          <w:spacing w:val="0"/>
          <w:position w:val="0"/>
          <w:sz w:val="24"/>
          <w:highlight w:val="none"/>
          <w:shd w:val="clear" w:fill="auto"/>
        </w:rPr>
      </w:pPr>
    </w:p>
    <w:p w14:paraId="1835AEB0">
      <w:pPr>
        <w:rPr>
          <w:rFonts w:ascii="宋体" w:hAnsi="宋体" w:eastAsia="宋体" w:cs="宋体"/>
          <w:color w:val="auto"/>
          <w:spacing w:val="0"/>
          <w:position w:val="0"/>
          <w:sz w:val="24"/>
          <w:highlight w:val="none"/>
          <w:shd w:val="clear" w:fill="auto"/>
        </w:rPr>
      </w:pPr>
    </w:p>
    <w:p w14:paraId="3F71351F">
      <w:pPr>
        <w:pStyle w:val="17"/>
        <w:rPr>
          <w:rFonts w:ascii="宋体" w:hAnsi="宋体" w:eastAsia="宋体" w:cs="宋体"/>
          <w:color w:val="auto"/>
          <w:spacing w:val="0"/>
          <w:position w:val="0"/>
          <w:sz w:val="24"/>
          <w:highlight w:val="none"/>
          <w:shd w:val="clear" w:fill="auto"/>
        </w:rPr>
      </w:pPr>
    </w:p>
    <w:p w14:paraId="4C2CCF27">
      <w:pPr>
        <w:pStyle w:val="6"/>
        <w:rPr>
          <w:rFonts w:ascii="宋体" w:hAnsi="宋体" w:eastAsia="宋体" w:cs="宋体"/>
          <w:color w:val="auto"/>
          <w:spacing w:val="0"/>
          <w:position w:val="0"/>
          <w:sz w:val="24"/>
          <w:highlight w:val="none"/>
          <w:shd w:val="clear" w:fill="auto"/>
        </w:rPr>
      </w:pPr>
    </w:p>
    <w:p w14:paraId="7F5A905E">
      <w:pPr>
        <w:rPr>
          <w:rFonts w:ascii="宋体" w:hAnsi="宋体" w:eastAsia="宋体" w:cs="宋体"/>
          <w:color w:val="auto"/>
          <w:spacing w:val="0"/>
          <w:position w:val="0"/>
          <w:sz w:val="24"/>
          <w:highlight w:val="none"/>
          <w:shd w:val="clear" w:fill="auto"/>
        </w:rPr>
      </w:pPr>
    </w:p>
    <w:p w14:paraId="313DDC14">
      <w:pPr>
        <w:pStyle w:val="17"/>
        <w:rPr>
          <w:rFonts w:ascii="宋体" w:hAnsi="宋体" w:eastAsia="宋体" w:cs="宋体"/>
          <w:color w:val="auto"/>
          <w:spacing w:val="0"/>
          <w:position w:val="0"/>
          <w:sz w:val="24"/>
          <w:highlight w:val="none"/>
          <w:shd w:val="clear" w:fill="auto"/>
        </w:rPr>
      </w:pPr>
    </w:p>
    <w:p w14:paraId="544F8F82">
      <w:pPr>
        <w:pStyle w:val="6"/>
        <w:rPr>
          <w:rFonts w:ascii="宋体" w:hAnsi="宋体" w:eastAsia="宋体" w:cs="宋体"/>
          <w:color w:val="auto"/>
          <w:spacing w:val="0"/>
          <w:position w:val="0"/>
          <w:sz w:val="24"/>
          <w:highlight w:val="none"/>
          <w:shd w:val="clear" w:fill="auto"/>
        </w:rPr>
      </w:pPr>
    </w:p>
    <w:p w14:paraId="5EF9022E">
      <w:pPr>
        <w:rPr>
          <w:rFonts w:ascii="宋体" w:hAnsi="宋体" w:eastAsia="宋体" w:cs="宋体"/>
          <w:color w:val="auto"/>
          <w:spacing w:val="0"/>
          <w:position w:val="0"/>
          <w:sz w:val="24"/>
          <w:highlight w:val="none"/>
          <w:shd w:val="clear" w:fill="auto"/>
        </w:rPr>
      </w:pPr>
    </w:p>
    <w:p w14:paraId="219EEEDB">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77EB689E">
      <w:pPr>
        <w:pStyle w:val="2"/>
        <w:rPr>
          <w:rFonts w:hint="eastAsia" w:ascii="宋体" w:hAnsi="宋体" w:eastAsia="宋体" w:cs="宋体"/>
          <w:color w:val="auto"/>
          <w:spacing w:val="0"/>
          <w:position w:val="0"/>
          <w:sz w:val="24"/>
          <w:highlight w:val="none"/>
          <w:shd w:val="clear" w:fill="auto"/>
          <w:lang w:eastAsia="zh-CN"/>
        </w:rPr>
      </w:pPr>
    </w:p>
    <w:p w14:paraId="0A88BB42">
      <w:pPr>
        <w:pStyle w:val="2"/>
        <w:rPr>
          <w:rFonts w:hint="eastAsia" w:ascii="宋体" w:hAnsi="宋体" w:eastAsia="宋体" w:cs="宋体"/>
          <w:color w:val="auto"/>
          <w:spacing w:val="0"/>
          <w:position w:val="0"/>
          <w:sz w:val="24"/>
          <w:highlight w:val="none"/>
          <w:shd w:val="clear" w:fill="auto"/>
          <w:lang w:eastAsia="zh-CN"/>
        </w:rPr>
      </w:pPr>
    </w:p>
    <w:p w14:paraId="7FC48745">
      <w:pPr>
        <w:pStyle w:val="2"/>
        <w:rPr>
          <w:rFonts w:hint="eastAsia" w:ascii="宋体" w:hAnsi="宋体" w:eastAsia="宋体" w:cs="宋体"/>
          <w:color w:val="auto"/>
          <w:spacing w:val="0"/>
          <w:position w:val="0"/>
          <w:sz w:val="24"/>
          <w:highlight w:val="none"/>
          <w:shd w:val="clear" w:fill="auto"/>
          <w:lang w:eastAsia="zh-CN"/>
        </w:rPr>
      </w:pPr>
    </w:p>
    <w:p w14:paraId="0074F14F">
      <w:pPr>
        <w:pStyle w:val="17"/>
        <w:rPr>
          <w:rFonts w:ascii="宋体" w:hAnsi="宋体" w:eastAsia="宋体" w:cs="宋体"/>
          <w:color w:val="auto"/>
          <w:spacing w:val="0"/>
          <w:position w:val="0"/>
          <w:sz w:val="24"/>
          <w:highlight w:val="none"/>
          <w:shd w:val="clear" w:fill="auto"/>
        </w:rPr>
      </w:pPr>
    </w:p>
    <w:p w14:paraId="5F9BC587">
      <w:pPr>
        <w:pStyle w:val="6"/>
        <w:rPr>
          <w:rFonts w:ascii="宋体" w:hAnsi="宋体" w:eastAsia="宋体" w:cs="宋体"/>
          <w:color w:val="auto"/>
          <w:spacing w:val="0"/>
          <w:position w:val="0"/>
          <w:sz w:val="24"/>
          <w:highlight w:val="none"/>
          <w:shd w:val="clear" w:fill="auto"/>
        </w:rPr>
      </w:pPr>
    </w:p>
    <w:p w14:paraId="720FE363">
      <w:pPr>
        <w:rPr>
          <w:rFonts w:ascii="宋体" w:hAnsi="宋体" w:eastAsia="宋体" w:cs="宋体"/>
          <w:color w:val="auto"/>
          <w:spacing w:val="0"/>
          <w:position w:val="0"/>
          <w:sz w:val="24"/>
          <w:highlight w:val="none"/>
          <w:shd w:val="clear" w:fill="auto"/>
        </w:rPr>
      </w:pPr>
    </w:p>
    <w:p w14:paraId="325B358C">
      <w:pPr>
        <w:pStyle w:val="17"/>
        <w:rPr>
          <w:highlight w:val="none"/>
        </w:rPr>
      </w:pPr>
    </w:p>
    <w:p w14:paraId="28E063E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44B1646">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14F03487">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1E9D95F8">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495C13F5">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B1748E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542CE5F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78CDAA3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04410BF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768D97C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4D91EB3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1B60A37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27461B1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3B474F4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25EBAD1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1623389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57946F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43C9028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94DE60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64AFC00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4E2653D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5B4F09D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6A86F326">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3C1454CA">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1DB06A17">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291C90B1">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38A02AAF">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3DD7B860">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C91F187">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2F63AFD">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7F88A2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EF54617">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E5E4F57">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97C487F">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FF05FA4">
      <w:pPr>
        <w:pStyle w:val="17"/>
        <w:rPr>
          <w:rFonts w:hint="eastAsia" w:ascii="宋体" w:hAnsi="宋体" w:eastAsia="宋体" w:cs="宋体"/>
          <w:b/>
          <w:color w:val="auto"/>
          <w:spacing w:val="0"/>
          <w:position w:val="0"/>
          <w:sz w:val="21"/>
          <w:szCs w:val="21"/>
          <w:highlight w:val="none"/>
          <w:shd w:val="clear" w:fill="auto"/>
        </w:rPr>
      </w:pPr>
    </w:p>
    <w:p w14:paraId="45A75289">
      <w:pPr>
        <w:pStyle w:val="6"/>
        <w:rPr>
          <w:rFonts w:hint="eastAsia" w:ascii="宋体" w:hAnsi="宋体" w:eastAsia="宋体" w:cs="宋体"/>
          <w:b/>
          <w:color w:val="auto"/>
          <w:spacing w:val="0"/>
          <w:position w:val="0"/>
          <w:sz w:val="21"/>
          <w:szCs w:val="21"/>
          <w:highlight w:val="none"/>
          <w:shd w:val="clear" w:fill="auto"/>
        </w:rPr>
      </w:pPr>
    </w:p>
    <w:p w14:paraId="177F5CA1">
      <w:pPr>
        <w:rPr>
          <w:rFonts w:hint="eastAsia" w:ascii="宋体" w:hAnsi="宋体" w:eastAsia="宋体" w:cs="宋体"/>
          <w:b/>
          <w:color w:val="auto"/>
          <w:spacing w:val="0"/>
          <w:position w:val="0"/>
          <w:sz w:val="21"/>
          <w:szCs w:val="21"/>
          <w:highlight w:val="none"/>
          <w:shd w:val="clear" w:fill="auto"/>
        </w:rPr>
      </w:pPr>
    </w:p>
    <w:p w14:paraId="085B187B">
      <w:pPr>
        <w:pStyle w:val="17"/>
        <w:rPr>
          <w:rFonts w:hint="eastAsia" w:ascii="宋体" w:hAnsi="宋体" w:eastAsia="宋体" w:cs="宋体"/>
          <w:b/>
          <w:color w:val="auto"/>
          <w:spacing w:val="0"/>
          <w:position w:val="0"/>
          <w:sz w:val="21"/>
          <w:szCs w:val="21"/>
          <w:highlight w:val="none"/>
          <w:shd w:val="clear" w:fill="auto"/>
        </w:rPr>
      </w:pPr>
    </w:p>
    <w:p w14:paraId="259BD78C">
      <w:pPr>
        <w:pStyle w:val="6"/>
        <w:rPr>
          <w:rFonts w:hint="eastAsia" w:ascii="宋体" w:hAnsi="宋体" w:eastAsia="宋体" w:cs="宋体"/>
          <w:b/>
          <w:color w:val="auto"/>
          <w:spacing w:val="0"/>
          <w:position w:val="0"/>
          <w:sz w:val="21"/>
          <w:szCs w:val="21"/>
          <w:highlight w:val="none"/>
          <w:shd w:val="clear" w:fill="auto"/>
        </w:rPr>
      </w:pPr>
    </w:p>
    <w:p w14:paraId="04564C15">
      <w:pPr>
        <w:rPr>
          <w:rFonts w:hint="eastAsia" w:ascii="宋体" w:hAnsi="宋体" w:eastAsia="宋体" w:cs="宋体"/>
          <w:b/>
          <w:color w:val="auto"/>
          <w:spacing w:val="0"/>
          <w:position w:val="0"/>
          <w:sz w:val="21"/>
          <w:szCs w:val="21"/>
          <w:highlight w:val="none"/>
          <w:shd w:val="clear" w:fill="auto"/>
        </w:rPr>
      </w:pPr>
    </w:p>
    <w:p w14:paraId="33186109">
      <w:pPr>
        <w:pStyle w:val="17"/>
        <w:rPr>
          <w:rFonts w:hint="eastAsia" w:ascii="宋体" w:hAnsi="宋体" w:eastAsia="宋体" w:cs="宋体"/>
          <w:b/>
          <w:color w:val="auto"/>
          <w:spacing w:val="0"/>
          <w:position w:val="0"/>
          <w:sz w:val="21"/>
          <w:szCs w:val="21"/>
          <w:highlight w:val="none"/>
          <w:shd w:val="clear" w:fill="auto"/>
        </w:rPr>
      </w:pPr>
    </w:p>
    <w:p w14:paraId="25C6FB68">
      <w:pPr>
        <w:pStyle w:val="6"/>
        <w:rPr>
          <w:rFonts w:hint="eastAsia" w:ascii="宋体" w:hAnsi="宋体" w:eastAsia="宋体" w:cs="宋体"/>
          <w:sz w:val="21"/>
          <w:szCs w:val="21"/>
          <w:highlight w:val="none"/>
        </w:rPr>
      </w:pPr>
    </w:p>
    <w:p w14:paraId="4D38B40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09D9899">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862497B">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770E993">
      <w:pPr>
        <w:pStyle w:val="11"/>
        <w:rPr>
          <w:rFonts w:hint="eastAsia" w:ascii="宋体" w:hAnsi="宋体" w:eastAsia="宋体" w:cs="宋体"/>
          <w:b/>
          <w:color w:val="auto"/>
          <w:spacing w:val="0"/>
          <w:position w:val="0"/>
          <w:sz w:val="21"/>
          <w:szCs w:val="21"/>
          <w:highlight w:val="none"/>
          <w:shd w:val="clear" w:fill="auto"/>
        </w:rPr>
      </w:pPr>
    </w:p>
    <w:p w14:paraId="3A50ABFF">
      <w:pPr>
        <w:pStyle w:val="12"/>
        <w:rPr>
          <w:rFonts w:hint="eastAsia" w:ascii="宋体" w:hAnsi="宋体" w:eastAsia="宋体" w:cs="宋体"/>
          <w:b/>
          <w:color w:val="auto"/>
          <w:spacing w:val="0"/>
          <w:position w:val="0"/>
          <w:sz w:val="21"/>
          <w:szCs w:val="21"/>
          <w:highlight w:val="none"/>
          <w:shd w:val="clear" w:fill="auto"/>
        </w:rPr>
      </w:pPr>
    </w:p>
    <w:p w14:paraId="378F983B">
      <w:pPr>
        <w:rPr>
          <w:rFonts w:hint="eastAsia" w:ascii="宋体" w:hAnsi="宋体" w:eastAsia="宋体" w:cs="宋体"/>
          <w:b/>
          <w:color w:val="auto"/>
          <w:spacing w:val="0"/>
          <w:position w:val="0"/>
          <w:sz w:val="21"/>
          <w:szCs w:val="21"/>
          <w:highlight w:val="none"/>
          <w:shd w:val="clear" w:fill="auto"/>
        </w:rPr>
      </w:pPr>
    </w:p>
    <w:p w14:paraId="0D059BF6">
      <w:pPr>
        <w:pStyle w:val="11"/>
        <w:rPr>
          <w:rFonts w:hint="eastAsia" w:ascii="宋体" w:hAnsi="宋体" w:eastAsia="宋体" w:cs="宋体"/>
          <w:b/>
          <w:color w:val="auto"/>
          <w:spacing w:val="0"/>
          <w:position w:val="0"/>
          <w:sz w:val="21"/>
          <w:szCs w:val="21"/>
          <w:highlight w:val="none"/>
          <w:shd w:val="clear" w:fill="auto"/>
        </w:rPr>
      </w:pPr>
    </w:p>
    <w:p w14:paraId="39E640C9">
      <w:pPr>
        <w:pStyle w:val="12"/>
        <w:rPr>
          <w:rFonts w:hint="eastAsia" w:ascii="宋体" w:hAnsi="宋体" w:eastAsia="宋体" w:cs="宋体"/>
          <w:b/>
          <w:color w:val="auto"/>
          <w:spacing w:val="0"/>
          <w:position w:val="0"/>
          <w:sz w:val="21"/>
          <w:szCs w:val="21"/>
          <w:highlight w:val="none"/>
          <w:shd w:val="clear" w:fill="auto"/>
        </w:rPr>
      </w:pPr>
    </w:p>
    <w:p w14:paraId="5E0174F2">
      <w:pPr>
        <w:rPr>
          <w:rFonts w:hint="eastAsia" w:ascii="宋体" w:hAnsi="宋体" w:eastAsia="宋体" w:cs="宋体"/>
          <w:b/>
          <w:color w:val="auto"/>
          <w:spacing w:val="0"/>
          <w:position w:val="0"/>
          <w:sz w:val="21"/>
          <w:szCs w:val="21"/>
          <w:highlight w:val="none"/>
          <w:shd w:val="clear" w:fill="auto"/>
        </w:rPr>
      </w:pPr>
    </w:p>
    <w:p w14:paraId="2C48DE38">
      <w:pPr>
        <w:pStyle w:val="11"/>
        <w:rPr>
          <w:rFonts w:hint="eastAsia" w:ascii="宋体" w:hAnsi="宋体" w:eastAsia="宋体" w:cs="宋体"/>
          <w:b/>
          <w:color w:val="auto"/>
          <w:spacing w:val="0"/>
          <w:position w:val="0"/>
          <w:sz w:val="21"/>
          <w:szCs w:val="21"/>
          <w:highlight w:val="none"/>
          <w:shd w:val="clear" w:fill="auto"/>
        </w:rPr>
      </w:pPr>
    </w:p>
    <w:p w14:paraId="1A3FFC2D">
      <w:pPr>
        <w:pStyle w:val="12"/>
        <w:rPr>
          <w:rFonts w:hint="eastAsia" w:ascii="宋体" w:hAnsi="宋体" w:eastAsia="宋体" w:cs="宋体"/>
          <w:b/>
          <w:color w:val="auto"/>
          <w:spacing w:val="0"/>
          <w:position w:val="0"/>
          <w:sz w:val="21"/>
          <w:szCs w:val="21"/>
          <w:highlight w:val="none"/>
          <w:shd w:val="clear" w:fill="auto"/>
        </w:rPr>
      </w:pPr>
    </w:p>
    <w:p w14:paraId="41531D89">
      <w:pPr>
        <w:rPr>
          <w:rFonts w:hint="eastAsia" w:ascii="宋体" w:hAnsi="宋体" w:eastAsia="宋体" w:cs="宋体"/>
          <w:b/>
          <w:color w:val="auto"/>
          <w:spacing w:val="0"/>
          <w:position w:val="0"/>
          <w:sz w:val="21"/>
          <w:szCs w:val="21"/>
          <w:highlight w:val="none"/>
          <w:shd w:val="clear" w:fill="auto"/>
        </w:rPr>
      </w:pPr>
    </w:p>
    <w:p w14:paraId="6542CF2C">
      <w:pPr>
        <w:pStyle w:val="11"/>
        <w:rPr>
          <w:rFonts w:hint="eastAsia"/>
          <w:highlight w:val="none"/>
        </w:rPr>
      </w:pPr>
    </w:p>
    <w:p w14:paraId="70270C2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F69A8E3">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2FC1995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7E88A7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04F36A52">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6DDA2DD2">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10F93A00">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3DD24F76">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D0726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5EEEAD14">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F377A25">
      <w:pPr>
        <w:pStyle w:val="17"/>
        <w:rPr>
          <w:rFonts w:hint="eastAsia" w:ascii="宋体" w:hAnsi="宋体" w:eastAsia="宋体" w:cs="宋体"/>
          <w:b/>
          <w:color w:val="auto"/>
          <w:spacing w:val="0"/>
          <w:position w:val="0"/>
          <w:sz w:val="21"/>
          <w:szCs w:val="21"/>
          <w:highlight w:val="none"/>
          <w:shd w:val="clear" w:fill="auto"/>
        </w:rPr>
      </w:pPr>
    </w:p>
    <w:p w14:paraId="48473846">
      <w:pPr>
        <w:pStyle w:val="6"/>
        <w:rPr>
          <w:rFonts w:ascii="宋体" w:hAnsi="宋体" w:eastAsia="宋体" w:cs="宋体"/>
          <w:b/>
          <w:color w:val="auto"/>
          <w:spacing w:val="0"/>
          <w:position w:val="0"/>
          <w:sz w:val="28"/>
          <w:highlight w:val="none"/>
          <w:shd w:val="clear" w:fill="auto"/>
        </w:rPr>
      </w:pPr>
    </w:p>
    <w:p w14:paraId="40AB850D">
      <w:pPr>
        <w:rPr>
          <w:rFonts w:ascii="宋体" w:hAnsi="宋体" w:eastAsia="宋体" w:cs="宋体"/>
          <w:b/>
          <w:color w:val="auto"/>
          <w:spacing w:val="0"/>
          <w:position w:val="0"/>
          <w:sz w:val="28"/>
          <w:highlight w:val="none"/>
          <w:shd w:val="clear" w:fill="auto"/>
        </w:rPr>
      </w:pPr>
    </w:p>
    <w:p w14:paraId="057D86E0">
      <w:pPr>
        <w:pStyle w:val="17"/>
        <w:rPr>
          <w:rFonts w:ascii="宋体" w:hAnsi="宋体" w:eastAsia="宋体" w:cs="宋体"/>
          <w:b/>
          <w:color w:val="auto"/>
          <w:spacing w:val="0"/>
          <w:position w:val="0"/>
          <w:sz w:val="28"/>
          <w:highlight w:val="none"/>
          <w:shd w:val="clear" w:fill="auto"/>
        </w:rPr>
      </w:pPr>
    </w:p>
    <w:p w14:paraId="4B903F0F">
      <w:pPr>
        <w:pStyle w:val="6"/>
        <w:rPr>
          <w:rFonts w:ascii="宋体" w:hAnsi="宋体" w:eastAsia="宋体" w:cs="宋体"/>
          <w:b/>
          <w:color w:val="auto"/>
          <w:spacing w:val="0"/>
          <w:position w:val="0"/>
          <w:sz w:val="28"/>
          <w:highlight w:val="none"/>
          <w:shd w:val="clear" w:fill="auto"/>
        </w:rPr>
      </w:pPr>
    </w:p>
    <w:p w14:paraId="6EA3376A">
      <w:pPr>
        <w:rPr>
          <w:rFonts w:ascii="宋体" w:hAnsi="宋体" w:eastAsia="宋体" w:cs="宋体"/>
          <w:b/>
          <w:color w:val="auto"/>
          <w:spacing w:val="0"/>
          <w:position w:val="0"/>
          <w:sz w:val="28"/>
          <w:highlight w:val="none"/>
          <w:shd w:val="clear" w:fill="auto"/>
        </w:rPr>
      </w:pPr>
    </w:p>
    <w:p w14:paraId="00CFF4F3">
      <w:pPr>
        <w:pStyle w:val="17"/>
        <w:rPr>
          <w:rFonts w:ascii="宋体" w:hAnsi="宋体" w:eastAsia="宋体" w:cs="宋体"/>
          <w:b/>
          <w:color w:val="auto"/>
          <w:spacing w:val="0"/>
          <w:position w:val="0"/>
          <w:sz w:val="28"/>
          <w:highlight w:val="none"/>
          <w:shd w:val="clear" w:fill="auto"/>
        </w:rPr>
      </w:pPr>
    </w:p>
    <w:p w14:paraId="1C5352D4">
      <w:pPr>
        <w:pStyle w:val="6"/>
        <w:rPr>
          <w:rFonts w:ascii="宋体" w:hAnsi="宋体" w:eastAsia="宋体" w:cs="宋体"/>
          <w:b/>
          <w:color w:val="auto"/>
          <w:spacing w:val="0"/>
          <w:position w:val="0"/>
          <w:sz w:val="28"/>
          <w:highlight w:val="none"/>
          <w:shd w:val="clear" w:fill="auto"/>
        </w:rPr>
      </w:pPr>
    </w:p>
    <w:p w14:paraId="5B8590A8">
      <w:pPr>
        <w:rPr>
          <w:rFonts w:ascii="宋体" w:hAnsi="宋体" w:eastAsia="宋体" w:cs="宋体"/>
          <w:b/>
          <w:color w:val="auto"/>
          <w:spacing w:val="0"/>
          <w:position w:val="0"/>
          <w:sz w:val="28"/>
          <w:highlight w:val="none"/>
          <w:shd w:val="clear" w:fill="auto"/>
        </w:rPr>
      </w:pPr>
    </w:p>
    <w:p w14:paraId="2DD6CA79">
      <w:pPr>
        <w:pStyle w:val="17"/>
        <w:rPr>
          <w:rFonts w:ascii="宋体" w:hAnsi="宋体" w:eastAsia="宋体" w:cs="宋体"/>
          <w:b/>
          <w:color w:val="auto"/>
          <w:spacing w:val="0"/>
          <w:position w:val="0"/>
          <w:sz w:val="28"/>
          <w:highlight w:val="none"/>
          <w:shd w:val="clear" w:fill="auto"/>
        </w:rPr>
      </w:pPr>
    </w:p>
    <w:p w14:paraId="7B43DFD0">
      <w:pPr>
        <w:pStyle w:val="6"/>
        <w:rPr>
          <w:rFonts w:ascii="宋体" w:hAnsi="宋体" w:eastAsia="宋体" w:cs="宋体"/>
          <w:b/>
          <w:color w:val="auto"/>
          <w:spacing w:val="0"/>
          <w:position w:val="0"/>
          <w:sz w:val="28"/>
          <w:highlight w:val="none"/>
          <w:shd w:val="clear" w:fill="auto"/>
        </w:rPr>
      </w:pPr>
    </w:p>
    <w:p w14:paraId="53BC16D2">
      <w:pPr>
        <w:rPr>
          <w:rFonts w:ascii="宋体" w:hAnsi="宋体" w:eastAsia="宋体" w:cs="宋体"/>
          <w:b/>
          <w:color w:val="auto"/>
          <w:spacing w:val="0"/>
          <w:position w:val="0"/>
          <w:sz w:val="28"/>
          <w:highlight w:val="none"/>
          <w:shd w:val="clear" w:fill="auto"/>
        </w:rPr>
      </w:pPr>
    </w:p>
    <w:p w14:paraId="313B2590">
      <w:pPr>
        <w:pStyle w:val="17"/>
        <w:rPr>
          <w:rFonts w:ascii="宋体" w:hAnsi="宋体" w:eastAsia="宋体" w:cs="宋体"/>
          <w:b/>
          <w:color w:val="auto"/>
          <w:spacing w:val="0"/>
          <w:position w:val="0"/>
          <w:sz w:val="28"/>
          <w:highlight w:val="none"/>
          <w:shd w:val="clear" w:fill="auto"/>
        </w:rPr>
      </w:pPr>
    </w:p>
    <w:p w14:paraId="0BFBD36D">
      <w:pPr>
        <w:pStyle w:val="6"/>
        <w:rPr>
          <w:rFonts w:ascii="宋体" w:hAnsi="宋体" w:eastAsia="宋体" w:cs="宋体"/>
          <w:b/>
          <w:color w:val="auto"/>
          <w:spacing w:val="0"/>
          <w:position w:val="0"/>
          <w:sz w:val="28"/>
          <w:highlight w:val="none"/>
          <w:shd w:val="clear" w:fill="auto"/>
        </w:rPr>
      </w:pPr>
    </w:p>
    <w:p w14:paraId="7718F2AB">
      <w:pPr>
        <w:rPr>
          <w:rFonts w:ascii="宋体" w:hAnsi="宋体" w:eastAsia="宋体" w:cs="宋体"/>
          <w:b/>
          <w:color w:val="auto"/>
          <w:spacing w:val="0"/>
          <w:position w:val="0"/>
          <w:sz w:val="28"/>
          <w:highlight w:val="none"/>
          <w:shd w:val="clear" w:fill="auto"/>
        </w:rPr>
      </w:pPr>
    </w:p>
    <w:p w14:paraId="06566873">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36B1604C">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5BB90ED4">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1E27FFE1">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EC30D2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FFD3B6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E8B2C2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5F4E02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674CF2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969A1B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4652D03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09B0FBE1">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2C6504B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411B115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57CB2EA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0BC7B72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B50212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EA8C782">
      <w:pPr>
        <w:pStyle w:val="11"/>
        <w:rPr>
          <w:rFonts w:ascii="黑体" w:hAnsi="黑体" w:eastAsia="黑体" w:cs="黑体"/>
          <w:color w:val="auto"/>
          <w:spacing w:val="0"/>
          <w:position w:val="0"/>
          <w:sz w:val="30"/>
          <w:highlight w:val="none"/>
          <w:shd w:val="clear" w:fill="auto"/>
        </w:rPr>
      </w:pPr>
    </w:p>
    <w:p w14:paraId="410EC84F">
      <w:pPr>
        <w:pStyle w:val="12"/>
        <w:rPr>
          <w:rFonts w:ascii="黑体" w:hAnsi="黑体" w:eastAsia="黑体" w:cs="黑体"/>
          <w:color w:val="auto"/>
          <w:spacing w:val="0"/>
          <w:position w:val="0"/>
          <w:sz w:val="30"/>
          <w:highlight w:val="none"/>
          <w:shd w:val="clear" w:fill="auto"/>
        </w:rPr>
      </w:pPr>
    </w:p>
    <w:p w14:paraId="64A47426">
      <w:pPr>
        <w:rPr>
          <w:rFonts w:ascii="黑体" w:hAnsi="黑体" w:eastAsia="黑体" w:cs="黑体"/>
          <w:color w:val="auto"/>
          <w:spacing w:val="0"/>
          <w:position w:val="0"/>
          <w:sz w:val="30"/>
          <w:highlight w:val="none"/>
          <w:shd w:val="clear" w:fill="auto"/>
        </w:rPr>
      </w:pPr>
    </w:p>
    <w:p w14:paraId="32CD16CC">
      <w:pPr>
        <w:pStyle w:val="11"/>
        <w:rPr>
          <w:highlight w:val="none"/>
        </w:rPr>
      </w:pPr>
    </w:p>
    <w:p w14:paraId="1AD06FA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BC4B26C">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7CB10572">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37E3B29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1A70D7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6DC3904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4392479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22D35F3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619960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1775DD2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1FD27E6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6BB24E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4758CDE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19F4171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4A901B5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44516F8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1C65D5E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28E7F04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6FA1967F">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360DEA1E">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59ABF252">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B7FB29C">
      <w:pPr>
        <w:widowControl w:val="0"/>
        <w:numPr>
          <w:ilvl w:val="0"/>
          <w:numId w:val="2"/>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36986324">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1022EFD4">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0195BDF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5C73CDA4">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626538DC">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6276B7B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733CB8B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4D448A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C88F7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D24240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08898B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5D92DE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A8B7D6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548C54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88A9E3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FDAA5BD">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0E23B7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0D347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5C023A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3C86D2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7FC7FF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130F6F2">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12298F07">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39DA6C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378E048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3EBB25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3F92EB5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71BCDD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63641CA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5797312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F0850A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6587773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B34373">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9DD415">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5FE553">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0454A1">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464CF6">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C8188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67026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62F8979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C533A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BBE2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6B5CA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C69B6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6E156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D836B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12D0C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48FEB2B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6A0559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953A8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E19EA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3A510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2C9BA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F4E52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3E72F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6FBC1D2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FF5E2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F14F6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3290F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E7B66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B1FE0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CAE96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3C32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29DAC96A">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B06FB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10996AD4">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7DFFFDF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D17B8F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4BA945A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5F1127A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5D1C63F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E82316F">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59FB416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355862A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0C58A7C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328B48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38B6079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35FE1ED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75B61D6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72DFEEA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6CE3D3C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208D831F">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0F95F7B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43EED3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2000E77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DEBB54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1E9492C3">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7A9F678A">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17553DE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79EA26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20FF64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811D18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737CD0C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4869E7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0AEE820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58E1DC5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3D177B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0625AF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323B482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0FEEC7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1A3EFDE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6E07C1A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1D5FB6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474F7258">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0C418AA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711AE02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28965A1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75F258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84E27A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7B09F6C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79CCBB1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7E19F3D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6E9435A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186C903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5D7F55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197A3C8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60377B5E">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3C1D6D0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AEF8D4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EE262F9">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67E3C24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3F287FA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1AE6A7F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13554F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663437B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4E4E09F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47D6B83C">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0CDFFA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47B643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25E2F844">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43C0551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36304D6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180DF2B1">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51EB95C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4E7D53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067DD3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3F2649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70EC76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4BB8CA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440C58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3F7739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930C1F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092D3F4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0DB9943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5845B47D">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56F2D5F8">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3A5DDD37">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73A745FE">
      <w:pPr>
        <w:rPr>
          <w:highlight w:val="none"/>
        </w:rPr>
      </w:pPr>
    </w:p>
    <w:p w14:paraId="447C7F1A">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PingFang SC Regular">
    <w:altName w:val="宋体"/>
    <w:panose1 w:val="020B0400000000000000"/>
    <w:charset w:val="7A"/>
    <w:family w:val="roman"/>
    <w:pitch w:val="default"/>
    <w:sig w:usb0="00000000" w:usb1="00000000" w:usb2="00000017" w:usb3="00000000" w:csb0="00040001" w:csb1="00000000"/>
  </w:font>
  <w:font w:name="Arial Unicode MS">
    <w:altName w:val="宋体"/>
    <w:panose1 w:val="020B0604020002020204"/>
    <w:charset w:val="7A"/>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仿宋_GB2312">
    <w:altName w:val="仿宋"/>
    <w:panose1 w:val="00000000000000000000"/>
    <w:charset w:val="00"/>
    <w:family w:val="auto"/>
    <w:pitch w:val="default"/>
    <w:sig w:usb0="00000000" w:usb1="00000000" w:usb2="00000000" w:usb3="00000000" w:csb0="00000000"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01C83">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2CBDD1">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82CBDD1">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0F3D2"/>
    <w:multiLevelType w:val="singleLevel"/>
    <w:tmpl w:val="C840F3D2"/>
    <w:lvl w:ilvl="0" w:tentative="0">
      <w:start w:val="1"/>
      <w:numFmt w:val="decimal"/>
      <w:lvlText w:val="%1."/>
      <w:lvlJc w:val="left"/>
      <w:pPr>
        <w:tabs>
          <w:tab w:val="left" w:pos="312"/>
        </w:tabs>
      </w:pPr>
    </w:lvl>
  </w:abstractNum>
  <w:abstractNum w:abstractNumId="1">
    <w:nsid w:val="629F7852"/>
    <w:multiLevelType w:val="singleLevel"/>
    <w:tmpl w:val="629F7852"/>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5230E2"/>
    <w:rsid w:val="044C0B70"/>
    <w:rsid w:val="057A42F9"/>
    <w:rsid w:val="082058F4"/>
    <w:rsid w:val="095213F9"/>
    <w:rsid w:val="104841F9"/>
    <w:rsid w:val="13F41938"/>
    <w:rsid w:val="1A8B3968"/>
    <w:rsid w:val="1B5230E2"/>
    <w:rsid w:val="27CD19E2"/>
    <w:rsid w:val="2CF93411"/>
    <w:rsid w:val="2F0B340F"/>
    <w:rsid w:val="30A23F42"/>
    <w:rsid w:val="3B945FFD"/>
    <w:rsid w:val="446951CB"/>
    <w:rsid w:val="45897BF0"/>
    <w:rsid w:val="48F611FA"/>
    <w:rsid w:val="49D91A26"/>
    <w:rsid w:val="4FEA6531"/>
    <w:rsid w:val="5D3862B2"/>
    <w:rsid w:val="62CA1F3A"/>
    <w:rsid w:val="63080ADD"/>
    <w:rsid w:val="78902E5A"/>
    <w:rsid w:val="7A600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6">
    <w:name w:val="caption"/>
    <w:basedOn w:val="1"/>
    <w:next w:val="1"/>
    <w:qFormat/>
    <w:uiPriority w:val="0"/>
    <w:rPr>
      <w:rFonts w:ascii="Cambria" w:hAnsi="Cambria" w:eastAsia="黑体"/>
      <w:sz w:val="20"/>
    </w:rPr>
  </w:style>
  <w:style w:type="paragraph" w:styleId="7">
    <w:name w:val="Body Text"/>
    <w:basedOn w:val="1"/>
    <w:next w:val="1"/>
    <w:qFormat/>
    <w:uiPriority w:val="0"/>
    <w:pPr>
      <w:spacing w:after="120"/>
    </w:pPr>
    <w:rPr>
      <w:rFonts w:ascii="Calibri" w:hAnsi="Calibri"/>
      <w:kern w:val="0"/>
      <w:sz w:val="24"/>
      <w:szCs w:val="20"/>
    </w:rPr>
  </w:style>
  <w:style w:type="paragraph" w:styleId="8">
    <w:name w:val="Body Text Indent"/>
    <w:basedOn w:val="1"/>
    <w:next w:val="1"/>
    <w:qFormat/>
    <w:uiPriority w:val="0"/>
    <w:pPr>
      <w:ind w:firstLine="570"/>
    </w:pPr>
    <w:rPr>
      <w:rFonts w:ascii="宋体" w:hAnsi="宋体"/>
      <w:sz w:val="28"/>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2"/>
    <w:basedOn w:val="1"/>
    <w:next w:val="7"/>
    <w:qFormat/>
    <w:uiPriority w:val="0"/>
    <w:pPr>
      <w:spacing w:after="120" w:line="480" w:lineRule="auto"/>
    </w:pPr>
  </w:style>
  <w:style w:type="paragraph" w:styleId="11">
    <w:name w:val="Body Text First Indent"/>
    <w:basedOn w:val="7"/>
    <w:next w:val="12"/>
    <w:qFormat/>
    <w:uiPriority w:val="0"/>
    <w:pPr>
      <w:spacing w:line="500" w:lineRule="exact"/>
      <w:ind w:firstLine="320" w:firstLineChars="100"/>
    </w:pPr>
    <w:rPr>
      <w:rFonts w:ascii="Times New Roman" w:hAnsi="Times New Roman" w:eastAsia="楷体"/>
    </w:rPr>
  </w:style>
  <w:style w:type="paragraph" w:styleId="12">
    <w:name w:val="Body Text First Indent 2"/>
    <w:basedOn w:val="8"/>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paragraph" w:styleId="15">
    <w:name w:val="List Paragraph"/>
    <w:basedOn w:val="1"/>
    <w:qFormat/>
    <w:uiPriority w:val="34"/>
    <w:pPr>
      <w:ind w:firstLine="420" w:firstLineChars="200"/>
    </w:pPr>
  </w:style>
  <w:style w:type="paragraph" w:customStyle="1" w:styleId="16">
    <w:name w:val="表格样式 2"/>
    <w:qFormat/>
    <w:uiPriority w:val="0"/>
    <w:rPr>
      <w:rFonts w:ascii="PingFang SC Regular" w:hAnsi="PingFang SC Regular" w:eastAsia="Arial Unicode MS" w:cs="Arial Unicode MS"/>
      <w:color w:val="000000"/>
      <w:lang w:val="en-US" w:eastAsia="zh-CN" w:bidi="ar-SA"/>
    </w:rPr>
  </w:style>
  <w:style w:type="paragraph" w:customStyle="1" w:styleId="1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正文缩进1"/>
    <w:basedOn w:val="1"/>
    <w:qFormat/>
    <w:uiPriority w:val="0"/>
    <w:pPr>
      <w:widowControl/>
      <w:ind w:firstLine="420"/>
      <w:jc w:val="left"/>
    </w:pPr>
    <w:rPr>
      <w:rFonts w:ascii="Times New Roman" w:hAnsi="Times New Roman" w:eastAsia="宋体" w:cs="Times New Roman"/>
    </w:rPr>
  </w:style>
  <w:style w:type="character" w:customStyle="1" w:styleId="19">
    <w:name w:val="font11"/>
    <w:basedOn w:val="14"/>
    <w:qFormat/>
    <w:uiPriority w:val="0"/>
    <w:rPr>
      <w:rFonts w:hint="eastAsia" w:ascii="仿宋" w:hAnsi="仿宋" w:eastAsia="仿宋" w:cs="仿宋"/>
      <w:color w:val="000000"/>
      <w:sz w:val="20"/>
      <w:szCs w:val="20"/>
      <w:u w:val="none"/>
    </w:rPr>
  </w:style>
  <w:style w:type="character" w:customStyle="1" w:styleId="20">
    <w:name w:val="font51"/>
    <w:basedOn w:val="14"/>
    <w:qFormat/>
    <w:uiPriority w:val="0"/>
    <w:rPr>
      <w:rFonts w:ascii="Calibri" w:hAnsi="Calibri" w:cs="Calibri"/>
      <w:color w:val="000000"/>
      <w:sz w:val="20"/>
      <w:szCs w:val="20"/>
      <w:u w:val="none"/>
    </w:rPr>
  </w:style>
  <w:style w:type="character" w:customStyle="1" w:styleId="21">
    <w:name w:val="font61"/>
    <w:basedOn w:val="14"/>
    <w:qFormat/>
    <w:uiPriority w:val="0"/>
    <w:rPr>
      <w:rFonts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7633</Words>
  <Characters>8379</Characters>
  <Lines>0</Lines>
  <Paragraphs>0</Paragraphs>
  <TotalTime>8</TotalTime>
  <ScaleCrop>false</ScaleCrop>
  <LinksUpToDate>false</LinksUpToDate>
  <CharactersWithSpaces>8599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2025-10-22T08:46:00Z</dcterms:created>
  <dc:creator>syimanda</dc:creator>
  <cp:lastModifiedBy>HUAWEI</cp:lastModifiedBy>
  <dcterms:modified xsi:type="dcterms:W3CDTF">2025-11-25T03:02:39Z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eyJoZGlkIjoiY2FiZTFmYjI0ODY2NTM4OTI3ZDhiMDA1NjYyNjI2MmMiLCJ1c2VySWQiOiIxNTI3MjQ2NDY1In0=</vt:lpwstr>
  </property>
  <property fmtid="{D5CDD505-2E9C-101B-9397-08002B2CF9AE}" pid="4" name="ICV">
    <vt:lpwstr>63AE525326AD41F1877311426BF038AB_12</vt:lpwstr>
  </property>
</Properties>
</file>