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4BE28">
      <w:pPr>
        <w:spacing w:line="360" w:lineRule="auto"/>
        <w:rPr>
          <w:rFonts w:ascii="黑体" w:hAnsi="黑体" w:eastAsia="黑体"/>
          <w:b/>
          <w:bCs/>
          <w:color w:val="000000"/>
          <w:sz w:val="48"/>
          <w:szCs w:val="48"/>
        </w:rPr>
      </w:pPr>
      <w:bookmarkStart w:id="0" w:name="_Toc436386192"/>
      <w:bookmarkStart w:id="1" w:name="_Toc278"/>
    </w:p>
    <w:p w14:paraId="3C772B1A">
      <w:pPr>
        <w:spacing w:line="781" w:lineRule="exact"/>
        <w:ind w:right="323"/>
        <w:jc w:val="center"/>
        <w:rPr>
          <w:rFonts w:ascii="宋体" w:hAnsi="宋体"/>
          <w:b/>
          <w:w w:val="95"/>
          <w:sz w:val="52"/>
          <w:szCs w:val="52"/>
        </w:rPr>
      </w:pPr>
      <w:r>
        <w:rPr>
          <w:rFonts w:hint="eastAsia" w:ascii="宋体" w:hAnsi="宋体" w:cs="宋体"/>
          <w:b/>
          <w:w w:val="95"/>
          <w:sz w:val="52"/>
          <w:szCs w:val="52"/>
        </w:rPr>
        <w:t>灵宝市应急管理局森林防灭火装备购置项目</w:t>
      </w:r>
    </w:p>
    <w:p w14:paraId="1DA7D68E">
      <w:pPr>
        <w:spacing w:line="360" w:lineRule="auto"/>
        <w:rPr>
          <w:rFonts w:ascii="宋体" w:hAnsi="宋体"/>
          <w:b/>
          <w:color w:val="000000"/>
          <w:sz w:val="36"/>
          <w:szCs w:val="36"/>
        </w:rPr>
      </w:pPr>
    </w:p>
    <w:p w14:paraId="27290F12">
      <w:pPr>
        <w:spacing w:line="360" w:lineRule="auto"/>
        <w:jc w:val="center"/>
        <w:rPr>
          <w:rFonts w:ascii="宋体" w:hAnsi="宋体"/>
          <w:b/>
          <w:color w:val="000000"/>
          <w:sz w:val="30"/>
          <w:szCs w:val="30"/>
        </w:rPr>
      </w:pPr>
      <w:r>
        <w:rPr>
          <w:rFonts w:hint="eastAsia" w:ascii="宋体" w:hAnsi="宋体"/>
          <w:b/>
          <w:color w:val="000000"/>
          <w:kern w:val="0"/>
          <w:sz w:val="52"/>
          <w:szCs w:val="52"/>
        </w:rPr>
        <w:t>竞争性磋商文件</w:t>
      </w:r>
    </w:p>
    <w:p w14:paraId="74654827">
      <w:pPr>
        <w:spacing w:line="360" w:lineRule="auto"/>
        <w:jc w:val="center"/>
        <w:rPr>
          <w:rFonts w:ascii="宋体" w:hAnsi="宋体"/>
          <w:b/>
          <w:color w:val="000000"/>
          <w:sz w:val="30"/>
          <w:szCs w:val="30"/>
        </w:rPr>
      </w:pPr>
    </w:p>
    <w:p w14:paraId="577A4E79">
      <w:pPr>
        <w:spacing w:line="360" w:lineRule="auto"/>
        <w:jc w:val="center"/>
        <w:rPr>
          <w:rFonts w:ascii="宋体" w:hAnsi="宋体"/>
          <w:b/>
          <w:color w:val="000000"/>
          <w:sz w:val="30"/>
          <w:szCs w:val="30"/>
        </w:rPr>
      </w:pPr>
      <w:r>
        <w:rPr>
          <w:rFonts w:hint="eastAsia" w:ascii="宋体" w:hAnsi="宋体"/>
          <w:b/>
          <w:color w:val="000000"/>
          <w:sz w:val="30"/>
          <w:szCs w:val="30"/>
        </w:rPr>
        <w:t>项目编号：</w:t>
      </w:r>
    </w:p>
    <w:p w14:paraId="7AE993B5">
      <w:pPr>
        <w:spacing w:line="360" w:lineRule="auto"/>
        <w:jc w:val="center"/>
        <w:rPr>
          <w:rFonts w:ascii="宋体" w:hAnsi="宋体"/>
          <w:b/>
          <w:color w:val="000000"/>
          <w:sz w:val="30"/>
          <w:szCs w:val="30"/>
        </w:rPr>
      </w:pPr>
      <w:r>
        <w:rPr>
          <w:rFonts w:hint="eastAsia" w:ascii="宋体" w:hAnsi="宋体"/>
          <w:b/>
          <w:color w:val="000000"/>
          <w:sz w:val="30"/>
          <w:szCs w:val="30"/>
        </w:rPr>
        <w:t>LBGZ[2025]091-ZC061；灵宝竞磋采购-2025-36</w:t>
      </w:r>
    </w:p>
    <w:p w14:paraId="573D8FE8">
      <w:pPr>
        <w:spacing w:line="360" w:lineRule="auto"/>
        <w:rPr>
          <w:rFonts w:ascii="宋体" w:hAnsi="宋体"/>
          <w:b/>
          <w:color w:val="000000"/>
          <w:sz w:val="30"/>
          <w:szCs w:val="30"/>
        </w:rPr>
      </w:pPr>
    </w:p>
    <w:p w14:paraId="1B342229">
      <w:pPr>
        <w:spacing w:line="360" w:lineRule="auto"/>
        <w:ind w:firstLine="4480" w:firstLineChars="800"/>
        <w:rPr>
          <w:rFonts w:ascii="宋体" w:hAnsi="宋体"/>
          <w:b/>
          <w:color w:val="000000"/>
          <w:sz w:val="30"/>
          <w:szCs w:val="30"/>
        </w:rPr>
      </w:pPr>
      <w:r>
        <w:rPr>
          <w:rFonts w:hint="eastAsia" w:ascii="宋体" w:hAnsi="宋体" w:cs="宋体"/>
          <w:b/>
          <w:kern w:val="0"/>
          <w:sz w:val="56"/>
          <w:szCs w:val="56"/>
        </w:rPr>
        <w:drawing>
          <wp:anchor distT="0" distB="0" distL="114300" distR="114300" simplePos="0" relativeHeight="251659264" behindDoc="0" locked="0" layoutInCell="1" allowOverlap="1">
            <wp:simplePos x="0" y="0"/>
            <wp:positionH relativeFrom="column">
              <wp:posOffset>1480820</wp:posOffset>
            </wp:positionH>
            <wp:positionV relativeFrom="paragraph">
              <wp:posOffset>71120</wp:posOffset>
            </wp:positionV>
            <wp:extent cx="3314700" cy="2580005"/>
            <wp:effectExtent l="0" t="0" r="7620" b="10795"/>
            <wp:wrapTopAndBottom/>
            <wp:docPr id="2" name="图片 15"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祥顺logo"/>
                    <pic:cNvPicPr>
                      <a:picLocks noChangeAspect="1"/>
                    </pic:cNvPicPr>
                  </pic:nvPicPr>
                  <pic:blipFill>
                    <a:blip r:embed="rId9" cstate="print"/>
                    <a:srcRect l="14932" t="16254" r="15466" b="29573"/>
                    <a:stretch>
                      <a:fillRect/>
                    </a:stretch>
                  </pic:blipFill>
                  <pic:spPr>
                    <a:xfrm>
                      <a:off x="0" y="0"/>
                      <a:ext cx="3314700" cy="2580005"/>
                    </a:xfrm>
                    <a:prstGeom prst="rect">
                      <a:avLst/>
                    </a:prstGeom>
                    <a:noFill/>
                    <a:ln>
                      <a:noFill/>
                    </a:ln>
                  </pic:spPr>
                </pic:pic>
              </a:graphicData>
            </a:graphic>
          </wp:anchor>
        </w:drawing>
      </w:r>
    </w:p>
    <w:p w14:paraId="5FE4073E">
      <w:pPr>
        <w:spacing w:line="360" w:lineRule="auto"/>
        <w:rPr>
          <w:rFonts w:ascii="宋体" w:hAnsi="宋体"/>
          <w:b/>
          <w:color w:val="000000"/>
          <w:sz w:val="32"/>
          <w:szCs w:val="32"/>
        </w:rPr>
      </w:pPr>
    </w:p>
    <w:tbl>
      <w:tblPr>
        <w:tblStyle w:val="19"/>
        <w:tblW w:w="0" w:type="auto"/>
        <w:jc w:val="center"/>
        <w:tblLayout w:type="fixed"/>
        <w:tblCellMar>
          <w:top w:w="0" w:type="dxa"/>
          <w:left w:w="108" w:type="dxa"/>
          <w:bottom w:w="0" w:type="dxa"/>
          <w:right w:w="108" w:type="dxa"/>
        </w:tblCellMar>
      </w:tblPr>
      <w:tblGrid>
        <w:gridCol w:w="2006"/>
        <w:gridCol w:w="5293"/>
      </w:tblGrid>
      <w:tr w14:paraId="5DF073CD">
        <w:trPr>
          <w:trHeight w:val="680" w:hRule="atLeast"/>
          <w:jc w:val="center"/>
        </w:trPr>
        <w:tc>
          <w:tcPr>
            <w:tcW w:w="2006" w:type="dxa"/>
            <w:vAlign w:val="center"/>
          </w:tcPr>
          <w:p w14:paraId="0E3F5246">
            <w:pPr>
              <w:spacing w:line="360" w:lineRule="auto"/>
              <w:jc w:val="distribute"/>
              <w:rPr>
                <w:rFonts w:hAnsi="Courier New"/>
                <w:b/>
                <w:bCs/>
                <w:sz w:val="32"/>
                <w:szCs w:val="32"/>
              </w:rPr>
            </w:pPr>
            <w:r>
              <w:rPr>
                <w:rFonts w:hAnsi="Courier New"/>
                <w:b/>
                <w:bCs/>
                <w:sz w:val="32"/>
                <w:szCs w:val="32"/>
              </w:rPr>
              <w:t>采 购 人：</w:t>
            </w:r>
          </w:p>
        </w:tc>
        <w:tc>
          <w:tcPr>
            <w:tcW w:w="5293" w:type="dxa"/>
            <w:vAlign w:val="center"/>
          </w:tcPr>
          <w:p w14:paraId="77D80843">
            <w:pPr>
              <w:spacing w:line="360" w:lineRule="auto"/>
              <w:jc w:val="distribute"/>
              <w:rPr>
                <w:rFonts w:hAnsi="Courier New"/>
                <w:b/>
                <w:bCs/>
                <w:sz w:val="32"/>
                <w:szCs w:val="32"/>
              </w:rPr>
            </w:pPr>
            <w:r>
              <w:rPr>
                <w:rFonts w:hint="eastAsia" w:ascii="宋体" w:hAnsi="宋体"/>
                <w:b/>
                <w:color w:val="000000"/>
                <w:sz w:val="32"/>
                <w:szCs w:val="32"/>
              </w:rPr>
              <w:t>灵宝市应急管理局</w:t>
            </w:r>
          </w:p>
        </w:tc>
      </w:tr>
      <w:tr w14:paraId="04CD006A">
        <w:tblPrEx>
          <w:tblCellMar>
            <w:top w:w="0" w:type="dxa"/>
            <w:left w:w="108" w:type="dxa"/>
            <w:bottom w:w="0" w:type="dxa"/>
            <w:right w:w="108" w:type="dxa"/>
          </w:tblCellMar>
        </w:tblPrEx>
        <w:trPr>
          <w:trHeight w:val="680" w:hRule="atLeast"/>
          <w:jc w:val="center"/>
        </w:trPr>
        <w:tc>
          <w:tcPr>
            <w:tcW w:w="2006" w:type="dxa"/>
            <w:vAlign w:val="center"/>
          </w:tcPr>
          <w:p w14:paraId="06EDF256">
            <w:pPr>
              <w:spacing w:line="360" w:lineRule="auto"/>
              <w:jc w:val="distribute"/>
              <w:rPr>
                <w:rFonts w:hAnsi="Courier New"/>
                <w:b/>
                <w:bCs/>
                <w:sz w:val="32"/>
                <w:szCs w:val="32"/>
              </w:rPr>
            </w:pPr>
            <w:r>
              <w:rPr>
                <w:rFonts w:hAnsi="Courier New"/>
                <w:b/>
                <w:bCs/>
                <w:sz w:val="32"/>
                <w:szCs w:val="32"/>
              </w:rPr>
              <w:t>代理机构：</w:t>
            </w:r>
          </w:p>
        </w:tc>
        <w:tc>
          <w:tcPr>
            <w:tcW w:w="5293" w:type="dxa"/>
            <w:vAlign w:val="center"/>
          </w:tcPr>
          <w:p w14:paraId="2C819411">
            <w:pPr>
              <w:jc w:val="distribute"/>
              <w:rPr>
                <w:rFonts w:ascii="Calibri" w:hAnsi="Calibri"/>
                <w:b/>
                <w:bCs/>
                <w:sz w:val="32"/>
                <w:szCs w:val="32"/>
              </w:rPr>
            </w:pPr>
            <w:r>
              <w:rPr>
                <w:rFonts w:ascii="Calibri" w:hAnsi="Calibri"/>
                <w:b/>
                <w:bCs/>
                <w:sz w:val="32"/>
                <w:szCs w:val="32"/>
              </w:rPr>
              <w:t>中诚祥顺工程管理咨询有限公司</w:t>
            </w:r>
          </w:p>
        </w:tc>
      </w:tr>
      <w:tr w14:paraId="50453713">
        <w:tblPrEx>
          <w:tblCellMar>
            <w:top w:w="0" w:type="dxa"/>
            <w:left w:w="108" w:type="dxa"/>
            <w:bottom w:w="0" w:type="dxa"/>
            <w:right w:w="108" w:type="dxa"/>
          </w:tblCellMar>
        </w:tblPrEx>
        <w:trPr>
          <w:trHeight w:val="680" w:hRule="atLeast"/>
          <w:jc w:val="center"/>
        </w:trPr>
        <w:tc>
          <w:tcPr>
            <w:tcW w:w="2006" w:type="dxa"/>
            <w:vAlign w:val="center"/>
          </w:tcPr>
          <w:p w14:paraId="2B5E5863">
            <w:pPr>
              <w:spacing w:line="360" w:lineRule="auto"/>
              <w:jc w:val="distribute"/>
              <w:rPr>
                <w:rFonts w:hAnsi="Courier New"/>
                <w:b/>
                <w:bCs/>
                <w:sz w:val="32"/>
                <w:szCs w:val="32"/>
              </w:rPr>
            </w:pPr>
            <w:r>
              <w:rPr>
                <w:rFonts w:hAnsi="Courier New"/>
                <w:b/>
                <w:bCs/>
                <w:sz w:val="32"/>
                <w:szCs w:val="32"/>
              </w:rPr>
              <w:t>编制日期：</w:t>
            </w:r>
          </w:p>
        </w:tc>
        <w:tc>
          <w:tcPr>
            <w:tcW w:w="5293" w:type="dxa"/>
            <w:vAlign w:val="center"/>
          </w:tcPr>
          <w:p w14:paraId="231F5E03">
            <w:pPr>
              <w:spacing w:line="360" w:lineRule="auto"/>
              <w:jc w:val="distribute"/>
              <w:rPr>
                <w:rFonts w:hAnsi="Courier New"/>
                <w:b/>
                <w:bCs/>
                <w:sz w:val="32"/>
                <w:szCs w:val="32"/>
              </w:rPr>
            </w:pPr>
            <w:r>
              <w:rPr>
                <w:rFonts w:hAnsi="Courier New"/>
                <w:b/>
                <w:bCs/>
                <w:sz w:val="32"/>
                <w:szCs w:val="32"/>
              </w:rPr>
              <w:t>二零二</w:t>
            </w:r>
            <w:r>
              <w:rPr>
                <w:rFonts w:hint="eastAsia" w:hAnsi="Courier New"/>
                <w:b/>
                <w:bCs/>
                <w:sz w:val="32"/>
                <w:szCs w:val="32"/>
              </w:rPr>
              <w:t>五</w:t>
            </w:r>
            <w:r>
              <w:rPr>
                <w:rFonts w:hAnsi="Courier New"/>
                <w:b/>
                <w:bCs/>
                <w:sz w:val="32"/>
                <w:szCs w:val="32"/>
              </w:rPr>
              <w:t>年</w:t>
            </w:r>
            <w:r>
              <w:rPr>
                <w:rFonts w:hint="eastAsia" w:hAnsi="Courier New"/>
                <w:b/>
                <w:bCs/>
                <w:sz w:val="32"/>
                <w:szCs w:val="32"/>
              </w:rPr>
              <w:t>四</w:t>
            </w:r>
            <w:r>
              <w:rPr>
                <w:rFonts w:hAnsi="Courier New"/>
                <w:b/>
                <w:bCs/>
                <w:sz w:val="32"/>
                <w:szCs w:val="32"/>
              </w:rPr>
              <w:t>月</w:t>
            </w:r>
          </w:p>
        </w:tc>
      </w:tr>
    </w:tbl>
    <w:p w14:paraId="607DA720">
      <w:pPr>
        <w:spacing w:line="360" w:lineRule="auto"/>
        <w:rPr>
          <w:rFonts w:ascii="黑体" w:hAnsi="黑体" w:eastAsia="黑体" w:cs="黑体"/>
          <w:b/>
          <w:color w:val="000000"/>
          <w:sz w:val="32"/>
          <w:szCs w:val="32"/>
        </w:rPr>
        <w:sectPr>
          <w:headerReference r:id="rId3" w:type="default"/>
          <w:footerReference r:id="rId4" w:type="default"/>
          <w:pgSz w:w="11906" w:h="16838"/>
          <w:pgMar w:top="1440" w:right="1418" w:bottom="1440" w:left="1418" w:header="851" w:footer="851" w:gutter="0"/>
          <w:cols w:space="720" w:num="1"/>
          <w:docGrid w:type="linesAndChars" w:linePitch="312" w:charSpace="0"/>
        </w:sectPr>
      </w:pPr>
    </w:p>
    <w:p w14:paraId="072A8500">
      <w:pPr>
        <w:spacing w:line="360" w:lineRule="auto"/>
        <w:jc w:val="center"/>
        <w:rPr>
          <w:rFonts w:ascii="黑体" w:hAnsi="黑体" w:eastAsia="黑体" w:cs="黑体"/>
          <w:b/>
          <w:color w:val="000000"/>
          <w:sz w:val="32"/>
          <w:szCs w:val="32"/>
        </w:rPr>
      </w:pPr>
      <w:r>
        <w:rPr>
          <w:rFonts w:hint="eastAsia" w:ascii="黑体" w:hAnsi="黑体" w:eastAsia="黑体" w:cs="黑体"/>
          <w:b/>
          <w:color w:val="000000"/>
          <w:sz w:val="32"/>
          <w:szCs w:val="32"/>
        </w:rPr>
        <w:t>目    录</w:t>
      </w:r>
      <w:bookmarkEnd w:id="0"/>
    </w:p>
    <w:p w14:paraId="681B4D28">
      <w:pPr>
        <w:pStyle w:val="15"/>
        <w:tabs>
          <w:tab w:val="right" w:leader="dot" w:pos="9070"/>
        </w:tabs>
        <w:spacing w:line="56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fldChar w:fldCharType="begin"/>
      </w:r>
      <w:r>
        <w:instrText xml:space="preserve"> HYPERLINK \l "_Toc13945" </w:instrText>
      </w:r>
      <w:r>
        <w:fldChar w:fldCharType="separate"/>
      </w:r>
      <w:r>
        <w:rPr>
          <w:rFonts w:hint="eastAsia" w:ascii="宋体" w:hAnsi="宋体" w:cs="宋体"/>
          <w:kern w:val="10"/>
          <w:sz w:val="24"/>
        </w:rPr>
        <w:t>第一章  招标公告</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_Toc13945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3FDC4A27">
      <w:pPr>
        <w:pStyle w:val="15"/>
        <w:tabs>
          <w:tab w:val="right" w:leader="dot" w:pos="9070"/>
        </w:tabs>
        <w:spacing w:line="560" w:lineRule="exact"/>
        <w:rPr>
          <w:rFonts w:ascii="宋体" w:hAnsi="宋体" w:cs="宋体"/>
          <w:sz w:val="24"/>
        </w:rPr>
      </w:pPr>
      <w:r>
        <w:fldChar w:fldCharType="begin"/>
      </w:r>
      <w:r>
        <w:instrText xml:space="preserve"> HYPERLINK \l "_Toc218" </w:instrText>
      </w:r>
      <w:r>
        <w:fldChar w:fldCharType="separate"/>
      </w:r>
      <w:r>
        <w:rPr>
          <w:rFonts w:hint="eastAsia" w:ascii="宋体" w:hAnsi="宋体" w:cs="宋体"/>
          <w:sz w:val="24"/>
        </w:rPr>
        <w:t>第二章  投标须知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_Toc218 \h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sz w:val="24"/>
        </w:rPr>
        <w:fldChar w:fldCharType="end"/>
      </w:r>
    </w:p>
    <w:p w14:paraId="62D9AD05">
      <w:pPr>
        <w:pStyle w:val="15"/>
        <w:tabs>
          <w:tab w:val="right" w:leader="dot" w:pos="9070"/>
        </w:tabs>
        <w:spacing w:line="560" w:lineRule="exact"/>
        <w:rPr>
          <w:rFonts w:ascii="宋体" w:hAnsi="宋体" w:cs="宋体"/>
          <w:sz w:val="24"/>
        </w:rPr>
      </w:pPr>
      <w:r>
        <w:fldChar w:fldCharType="begin"/>
      </w:r>
      <w:r>
        <w:instrText xml:space="preserve"> HYPERLINK \l "_Toc6871" </w:instrText>
      </w:r>
      <w:r>
        <w:fldChar w:fldCharType="separate"/>
      </w:r>
      <w:r>
        <w:rPr>
          <w:rFonts w:hint="eastAsia" w:ascii="宋体" w:hAnsi="宋体" w:cs="宋体"/>
          <w:sz w:val="24"/>
        </w:rPr>
        <w:t>第三章  采购需求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_Toc6871 \h </w:instrText>
      </w:r>
      <w:r>
        <w:rPr>
          <w:rFonts w:hint="eastAsia" w:ascii="宋体" w:hAnsi="宋体" w:cs="宋体"/>
          <w:sz w:val="24"/>
        </w:rPr>
        <w:fldChar w:fldCharType="separate"/>
      </w:r>
      <w:r>
        <w:rPr>
          <w:rFonts w:hint="eastAsia" w:ascii="宋体" w:hAnsi="宋体" w:cs="宋体"/>
          <w:sz w:val="24"/>
        </w:rPr>
        <w:t>28</w:t>
      </w:r>
      <w:r>
        <w:rPr>
          <w:rFonts w:hint="eastAsia" w:ascii="宋体" w:hAnsi="宋体" w:cs="宋体"/>
          <w:sz w:val="24"/>
        </w:rPr>
        <w:fldChar w:fldCharType="end"/>
      </w:r>
      <w:r>
        <w:rPr>
          <w:rFonts w:hint="eastAsia" w:ascii="宋体" w:hAnsi="宋体" w:cs="宋体"/>
          <w:sz w:val="24"/>
        </w:rPr>
        <w:fldChar w:fldCharType="end"/>
      </w:r>
    </w:p>
    <w:p w14:paraId="5975BD9C">
      <w:pPr>
        <w:pStyle w:val="15"/>
        <w:tabs>
          <w:tab w:val="right" w:leader="dot" w:pos="9070"/>
        </w:tabs>
        <w:spacing w:line="560" w:lineRule="exact"/>
        <w:rPr>
          <w:rFonts w:ascii="宋体" w:hAnsi="宋体" w:cs="宋体"/>
          <w:sz w:val="24"/>
        </w:rPr>
      </w:pPr>
      <w:r>
        <w:fldChar w:fldCharType="begin"/>
      </w:r>
      <w:r>
        <w:instrText xml:space="preserve"> HYPERLINK \l "_Toc17150" </w:instrText>
      </w:r>
      <w:r>
        <w:fldChar w:fldCharType="separate"/>
      </w:r>
      <w:r>
        <w:rPr>
          <w:rFonts w:hint="eastAsia" w:ascii="宋体" w:hAnsi="宋体" w:cs="宋体"/>
          <w:sz w:val="24"/>
        </w:rPr>
        <w:t>第四章 评标办法（综合评估法）</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_Toc17150 \h </w:instrText>
      </w:r>
      <w:r>
        <w:rPr>
          <w:rFonts w:hint="eastAsia" w:ascii="宋体" w:hAnsi="宋体" w:cs="宋体"/>
          <w:sz w:val="24"/>
        </w:rPr>
        <w:fldChar w:fldCharType="separate"/>
      </w:r>
      <w:r>
        <w:rPr>
          <w:rFonts w:hint="eastAsia" w:ascii="宋体" w:hAnsi="宋体" w:cs="宋体"/>
          <w:sz w:val="24"/>
        </w:rPr>
        <w:t>50</w:t>
      </w:r>
      <w:r>
        <w:rPr>
          <w:rFonts w:hint="eastAsia" w:ascii="宋体" w:hAnsi="宋体" w:cs="宋体"/>
          <w:sz w:val="24"/>
        </w:rPr>
        <w:fldChar w:fldCharType="end"/>
      </w:r>
      <w:r>
        <w:rPr>
          <w:rFonts w:hint="eastAsia" w:ascii="宋体" w:hAnsi="宋体" w:cs="宋体"/>
          <w:sz w:val="24"/>
        </w:rPr>
        <w:fldChar w:fldCharType="end"/>
      </w:r>
    </w:p>
    <w:p w14:paraId="0ABD5872">
      <w:pPr>
        <w:pStyle w:val="15"/>
        <w:tabs>
          <w:tab w:val="right" w:leader="dot" w:pos="9070"/>
        </w:tabs>
        <w:spacing w:line="560" w:lineRule="exact"/>
        <w:rPr>
          <w:rFonts w:ascii="宋体" w:hAnsi="宋体" w:cs="宋体"/>
          <w:sz w:val="24"/>
        </w:rPr>
      </w:pPr>
      <w:r>
        <w:fldChar w:fldCharType="begin"/>
      </w:r>
      <w:r>
        <w:instrText xml:space="preserve"> HYPERLINK \l "_Toc3245" </w:instrText>
      </w:r>
      <w:r>
        <w:fldChar w:fldCharType="separate"/>
      </w:r>
      <w:r>
        <w:rPr>
          <w:rFonts w:hint="eastAsia" w:ascii="宋体" w:hAnsi="宋体" w:cs="宋体"/>
          <w:bCs/>
          <w:sz w:val="24"/>
        </w:rPr>
        <w:t>第</w:t>
      </w:r>
      <w:r>
        <w:rPr>
          <w:rFonts w:hint="eastAsia" w:ascii="宋体" w:hAnsi="宋体" w:cs="宋体"/>
          <w:sz w:val="24"/>
        </w:rPr>
        <w:t>五章 合同文本格式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_Toc3245 \h </w:instrText>
      </w:r>
      <w:r>
        <w:rPr>
          <w:rFonts w:hint="eastAsia" w:ascii="宋体" w:hAnsi="宋体" w:cs="宋体"/>
          <w:sz w:val="24"/>
        </w:rPr>
        <w:fldChar w:fldCharType="separate"/>
      </w:r>
      <w:r>
        <w:rPr>
          <w:rFonts w:hint="eastAsia" w:ascii="宋体" w:hAnsi="宋体" w:cs="宋体"/>
          <w:sz w:val="24"/>
        </w:rPr>
        <w:t>56</w:t>
      </w:r>
      <w:r>
        <w:rPr>
          <w:rFonts w:hint="eastAsia" w:ascii="宋体" w:hAnsi="宋体" w:cs="宋体"/>
          <w:sz w:val="24"/>
        </w:rPr>
        <w:fldChar w:fldCharType="end"/>
      </w:r>
      <w:r>
        <w:rPr>
          <w:rFonts w:hint="eastAsia" w:ascii="宋体" w:hAnsi="宋体" w:cs="宋体"/>
          <w:sz w:val="24"/>
        </w:rPr>
        <w:fldChar w:fldCharType="end"/>
      </w:r>
    </w:p>
    <w:p w14:paraId="5764F280">
      <w:pPr>
        <w:pStyle w:val="15"/>
        <w:tabs>
          <w:tab w:val="right" w:leader="dot" w:pos="9070"/>
        </w:tabs>
        <w:spacing w:line="560" w:lineRule="exact"/>
        <w:rPr>
          <w:rFonts w:ascii="宋体" w:hAnsi="宋体" w:cs="宋体"/>
          <w:sz w:val="24"/>
        </w:rPr>
      </w:pPr>
      <w:r>
        <w:fldChar w:fldCharType="begin"/>
      </w:r>
      <w:r>
        <w:instrText xml:space="preserve"> HYPERLINK \l "_Toc30109" </w:instrText>
      </w:r>
      <w:r>
        <w:fldChar w:fldCharType="separate"/>
      </w:r>
      <w:r>
        <w:rPr>
          <w:rFonts w:hint="eastAsia" w:ascii="宋体" w:hAnsi="宋体" w:cs="宋体"/>
          <w:sz w:val="24"/>
        </w:rPr>
        <w:t>第六章 响应性文件格式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_Toc30109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14:paraId="138FB244">
      <w:pPr>
        <w:pStyle w:val="16"/>
        <w:tabs>
          <w:tab w:val="right" w:leader="dot" w:pos="9070"/>
        </w:tabs>
        <w:spacing w:line="560" w:lineRule="exact"/>
        <w:ind w:left="0" w:leftChars="0"/>
        <w:rPr>
          <w:rFonts w:ascii="宋体" w:hAnsi="宋体" w:cs="宋体"/>
          <w:sz w:val="24"/>
        </w:rPr>
      </w:pPr>
      <w:r>
        <w:fldChar w:fldCharType="begin"/>
      </w:r>
      <w:r>
        <w:instrText xml:space="preserve"> HYPERLINK \l "_Toc7366" </w:instrText>
      </w:r>
      <w:r>
        <w:fldChar w:fldCharType="separate"/>
      </w:r>
      <w:r>
        <w:rPr>
          <w:rFonts w:hint="eastAsia" w:ascii="宋体" w:hAnsi="宋体" w:cs="宋体"/>
          <w:bCs/>
          <w:kern w:val="10"/>
          <w:sz w:val="24"/>
        </w:rPr>
        <w:t>一、投标函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_Toc7366 \h </w:instrText>
      </w:r>
      <w:r>
        <w:rPr>
          <w:rFonts w:hint="eastAsia" w:ascii="宋体" w:hAnsi="宋体" w:cs="宋体"/>
          <w:sz w:val="24"/>
        </w:rPr>
        <w:fldChar w:fldCharType="separate"/>
      </w:r>
      <w:r>
        <w:rPr>
          <w:rFonts w:hint="eastAsia" w:ascii="宋体" w:hAnsi="宋体" w:cs="宋体"/>
          <w:sz w:val="24"/>
        </w:rPr>
        <w:t>63</w:t>
      </w:r>
      <w:r>
        <w:rPr>
          <w:rFonts w:hint="eastAsia" w:ascii="宋体" w:hAnsi="宋体" w:cs="宋体"/>
          <w:sz w:val="24"/>
        </w:rPr>
        <w:fldChar w:fldCharType="end"/>
      </w:r>
      <w:r>
        <w:rPr>
          <w:rFonts w:hint="eastAsia" w:ascii="宋体" w:hAnsi="宋体" w:cs="宋体"/>
          <w:sz w:val="24"/>
        </w:rPr>
        <w:fldChar w:fldCharType="end"/>
      </w:r>
    </w:p>
    <w:p w14:paraId="3E54CACF">
      <w:pPr>
        <w:pStyle w:val="16"/>
        <w:tabs>
          <w:tab w:val="right" w:leader="dot" w:pos="9070"/>
        </w:tabs>
        <w:spacing w:line="560" w:lineRule="exact"/>
        <w:ind w:left="0" w:leftChars="0"/>
        <w:rPr>
          <w:rFonts w:ascii="宋体" w:hAnsi="宋体" w:cs="宋体"/>
          <w:sz w:val="24"/>
        </w:rPr>
      </w:pPr>
      <w:r>
        <w:fldChar w:fldCharType="begin"/>
      </w:r>
      <w:r>
        <w:instrText xml:space="preserve"> HYPERLINK \l "_Toc9610" </w:instrText>
      </w:r>
      <w:r>
        <w:fldChar w:fldCharType="separate"/>
      </w:r>
      <w:r>
        <w:rPr>
          <w:rFonts w:hint="eastAsia" w:ascii="宋体" w:hAnsi="宋体" w:cs="宋体"/>
          <w:bCs/>
          <w:kern w:val="10"/>
          <w:sz w:val="24"/>
        </w:rPr>
        <w:t>二、法定代表人身份证明及授权委托书</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_Toc9610 \h </w:instrText>
      </w:r>
      <w:r>
        <w:rPr>
          <w:rFonts w:hint="eastAsia" w:ascii="宋体" w:hAnsi="宋体" w:cs="宋体"/>
          <w:sz w:val="24"/>
        </w:rPr>
        <w:fldChar w:fldCharType="separate"/>
      </w:r>
      <w:r>
        <w:rPr>
          <w:rFonts w:hint="eastAsia" w:ascii="宋体" w:hAnsi="宋体" w:cs="宋体"/>
          <w:sz w:val="24"/>
        </w:rPr>
        <w:t>64</w:t>
      </w:r>
      <w:r>
        <w:rPr>
          <w:rFonts w:hint="eastAsia" w:ascii="宋体" w:hAnsi="宋体" w:cs="宋体"/>
          <w:sz w:val="24"/>
        </w:rPr>
        <w:fldChar w:fldCharType="end"/>
      </w:r>
      <w:r>
        <w:rPr>
          <w:rFonts w:hint="eastAsia" w:ascii="宋体" w:hAnsi="宋体" w:cs="宋体"/>
          <w:sz w:val="24"/>
        </w:rPr>
        <w:fldChar w:fldCharType="end"/>
      </w:r>
    </w:p>
    <w:p w14:paraId="629333E8">
      <w:pPr>
        <w:pStyle w:val="16"/>
        <w:tabs>
          <w:tab w:val="right" w:leader="dot" w:pos="9070"/>
        </w:tabs>
        <w:spacing w:line="560" w:lineRule="exact"/>
        <w:ind w:left="0" w:leftChars="0"/>
        <w:rPr>
          <w:rFonts w:ascii="宋体" w:hAnsi="宋体" w:cs="宋体"/>
          <w:sz w:val="24"/>
        </w:rPr>
      </w:pPr>
      <w:r>
        <w:fldChar w:fldCharType="begin"/>
      </w:r>
      <w:r>
        <w:instrText xml:space="preserve"> HYPERLINK \l "_Toc25589" </w:instrText>
      </w:r>
      <w:r>
        <w:fldChar w:fldCharType="separate"/>
      </w:r>
      <w:r>
        <w:rPr>
          <w:rFonts w:hint="eastAsia" w:ascii="宋体" w:hAnsi="宋体" w:cs="宋体"/>
          <w:bCs/>
          <w:kern w:val="10"/>
          <w:sz w:val="24"/>
        </w:rPr>
        <w:t>三、投标承诺函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_Toc25589 \h </w:instrText>
      </w:r>
      <w:r>
        <w:rPr>
          <w:rFonts w:hint="eastAsia" w:ascii="宋体" w:hAnsi="宋体" w:cs="宋体"/>
          <w:sz w:val="24"/>
        </w:rPr>
        <w:fldChar w:fldCharType="separate"/>
      </w:r>
      <w:r>
        <w:rPr>
          <w:rFonts w:hint="eastAsia" w:ascii="宋体" w:hAnsi="宋体" w:cs="宋体"/>
          <w:sz w:val="24"/>
        </w:rPr>
        <w:t>66</w:t>
      </w:r>
      <w:r>
        <w:rPr>
          <w:rFonts w:hint="eastAsia" w:ascii="宋体" w:hAnsi="宋体" w:cs="宋体"/>
          <w:sz w:val="24"/>
        </w:rPr>
        <w:fldChar w:fldCharType="end"/>
      </w:r>
      <w:r>
        <w:rPr>
          <w:rFonts w:hint="eastAsia" w:ascii="宋体" w:hAnsi="宋体" w:cs="宋体"/>
          <w:sz w:val="24"/>
        </w:rPr>
        <w:fldChar w:fldCharType="end"/>
      </w:r>
    </w:p>
    <w:p w14:paraId="4D2B1990">
      <w:pPr>
        <w:pStyle w:val="16"/>
        <w:tabs>
          <w:tab w:val="right" w:leader="dot" w:pos="9070"/>
        </w:tabs>
        <w:spacing w:line="560" w:lineRule="exact"/>
        <w:ind w:left="0" w:leftChars="0"/>
        <w:rPr>
          <w:rFonts w:ascii="宋体" w:hAnsi="宋体" w:cs="宋体"/>
          <w:sz w:val="24"/>
        </w:rPr>
      </w:pPr>
      <w:r>
        <w:fldChar w:fldCharType="begin"/>
      </w:r>
      <w:r>
        <w:instrText xml:space="preserve"> HYPERLINK \l "_Toc25666" </w:instrText>
      </w:r>
      <w:r>
        <w:fldChar w:fldCharType="separate"/>
      </w:r>
      <w:r>
        <w:rPr>
          <w:rFonts w:hint="eastAsia" w:ascii="宋体" w:hAnsi="宋体" w:cs="宋体"/>
          <w:bCs/>
          <w:kern w:val="10"/>
          <w:sz w:val="24"/>
        </w:rPr>
        <w:t>四、报价一览表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_Toc25666 \h </w:instrText>
      </w:r>
      <w:r>
        <w:rPr>
          <w:rFonts w:hint="eastAsia" w:ascii="宋体" w:hAnsi="宋体" w:cs="宋体"/>
          <w:sz w:val="24"/>
        </w:rPr>
        <w:fldChar w:fldCharType="separate"/>
      </w:r>
      <w:r>
        <w:rPr>
          <w:rFonts w:hint="eastAsia" w:ascii="宋体" w:hAnsi="宋体" w:cs="宋体"/>
          <w:sz w:val="24"/>
        </w:rPr>
        <w:t>67</w:t>
      </w:r>
      <w:r>
        <w:rPr>
          <w:rFonts w:hint="eastAsia" w:ascii="宋体" w:hAnsi="宋体" w:cs="宋体"/>
          <w:sz w:val="24"/>
        </w:rPr>
        <w:fldChar w:fldCharType="end"/>
      </w:r>
      <w:r>
        <w:rPr>
          <w:rFonts w:hint="eastAsia" w:ascii="宋体" w:hAnsi="宋体" w:cs="宋体"/>
          <w:sz w:val="24"/>
        </w:rPr>
        <w:fldChar w:fldCharType="end"/>
      </w:r>
    </w:p>
    <w:p w14:paraId="65F1C2D8">
      <w:pPr>
        <w:pStyle w:val="16"/>
        <w:tabs>
          <w:tab w:val="right" w:leader="dot" w:pos="9070"/>
        </w:tabs>
        <w:spacing w:line="560" w:lineRule="exact"/>
        <w:ind w:left="0" w:leftChars="0"/>
        <w:rPr>
          <w:rFonts w:ascii="宋体" w:hAnsi="宋体" w:cs="宋体"/>
          <w:sz w:val="24"/>
        </w:rPr>
      </w:pPr>
      <w:r>
        <w:fldChar w:fldCharType="begin"/>
      </w:r>
      <w:r>
        <w:instrText xml:space="preserve"> HYPERLINK \l "_Toc8094" </w:instrText>
      </w:r>
      <w:r>
        <w:fldChar w:fldCharType="separate"/>
      </w:r>
      <w:r>
        <w:rPr>
          <w:rFonts w:hint="eastAsia" w:ascii="宋体" w:hAnsi="宋体" w:cs="宋体"/>
          <w:bCs/>
          <w:kern w:val="10"/>
          <w:sz w:val="24"/>
        </w:rPr>
        <w:t>五、实施方案及技术方案</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_Toc8094 \h </w:instrText>
      </w:r>
      <w:r>
        <w:rPr>
          <w:rFonts w:hint="eastAsia" w:ascii="宋体" w:hAnsi="宋体" w:cs="宋体"/>
          <w:sz w:val="24"/>
        </w:rPr>
        <w:fldChar w:fldCharType="separate"/>
      </w:r>
      <w:r>
        <w:rPr>
          <w:rFonts w:hint="eastAsia" w:ascii="宋体" w:hAnsi="宋体" w:cs="宋体"/>
          <w:sz w:val="24"/>
        </w:rPr>
        <w:t>67</w:t>
      </w:r>
      <w:r>
        <w:rPr>
          <w:rFonts w:hint="eastAsia" w:ascii="宋体" w:hAnsi="宋体" w:cs="宋体"/>
          <w:sz w:val="24"/>
        </w:rPr>
        <w:fldChar w:fldCharType="end"/>
      </w:r>
      <w:r>
        <w:rPr>
          <w:rFonts w:hint="eastAsia" w:ascii="宋体" w:hAnsi="宋体" w:cs="宋体"/>
          <w:sz w:val="24"/>
        </w:rPr>
        <w:fldChar w:fldCharType="end"/>
      </w:r>
    </w:p>
    <w:p w14:paraId="254C2AE6">
      <w:pPr>
        <w:pStyle w:val="16"/>
        <w:tabs>
          <w:tab w:val="right" w:leader="dot" w:pos="9070"/>
        </w:tabs>
        <w:spacing w:line="560" w:lineRule="exact"/>
        <w:ind w:left="0" w:leftChars="0"/>
        <w:rPr>
          <w:rFonts w:ascii="宋体" w:hAnsi="宋体" w:cs="宋体"/>
          <w:sz w:val="24"/>
        </w:rPr>
      </w:pPr>
      <w:r>
        <w:fldChar w:fldCharType="begin"/>
      </w:r>
      <w:r>
        <w:instrText xml:space="preserve"> HYPERLINK \l "_Toc11250" </w:instrText>
      </w:r>
      <w:r>
        <w:fldChar w:fldCharType="separate"/>
      </w:r>
      <w:r>
        <w:rPr>
          <w:rFonts w:hint="eastAsia" w:ascii="宋体" w:hAnsi="宋体" w:cs="宋体"/>
          <w:bCs/>
          <w:kern w:val="10"/>
          <w:sz w:val="24"/>
        </w:rPr>
        <w:t>六、质保及售后服务承诺</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_Toc11250 \h </w:instrText>
      </w:r>
      <w:r>
        <w:rPr>
          <w:rFonts w:hint="eastAsia" w:ascii="宋体" w:hAnsi="宋体" w:cs="宋体"/>
          <w:sz w:val="24"/>
        </w:rPr>
        <w:fldChar w:fldCharType="separate"/>
      </w:r>
      <w:r>
        <w:rPr>
          <w:rFonts w:hint="eastAsia" w:ascii="宋体" w:hAnsi="宋体" w:cs="宋体"/>
          <w:sz w:val="24"/>
        </w:rPr>
        <w:t>69</w:t>
      </w:r>
      <w:r>
        <w:rPr>
          <w:rFonts w:hint="eastAsia" w:ascii="宋体" w:hAnsi="宋体" w:cs="宋体"/>
          <w:sz w:val="24"/>
        </w:rPr>
        <w:fldChar w:fldCharType="end"/>
      </w:r>
      <w:r>
        <w:rPr>
          <w:rFonts w:hint="eastAsia" w:ascii="宋体" w:hAnsi="宋体" w:cs="宋体"/>
          <w:sz w:val="24"/>
        </w:rPr>
        <w:fldChar w:fldCharType="end"/>
      </w:r>
    </w:p>
    <w:p w14:paraId="429E7405">
      <w:pPr>
        <w:pStyle w:val="16"/>
        <w:tabs>
          <w:tab w:val="right" w:leader="dot" w:pos="9070"/>
        </w:tabs>
        <w:spacing w:line="560" w:lineRule="exact"/>
        <w:ind w:left="0" w:leftChars="0"/>
        <w:rPr>
          <w:rFonts w:ascii="宋体" w:hAnsi="宋体" w:cs="宋体"/>
          <w:sz w:val="24"/>
        </w:rPr>
      </w:pPr>
      <w:r>
        <w:fldChar w:fldCharType="begin"/>
      </w:r>
      <w:r>
        <w:instrText xml:space="preserve"> HYPERLINK \l "_Toc12847" </w:instrText>
      </w:r>
      <w:r>
        <w:fldChar w:fldCharType="separate"/>
      </w:r>
      <w:r>
        <w:rPr>
          <w:rFonts w:hint="eastAsia" w:ascii="宋体" w:hAnsi="宋体" w:cs="宋体"/>
          <w:bCs/>
          <w:kern w:val="10"/>
          <w:sz w:val="24"/>
        </w:rPr>
        <w:t>七、中小微企业声明函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_Toc12847 \h </w:instrText>
      </w:r>
      <w:r>
        <w:rPr>
          <w:rFonts w:hint="eastAsia" w:ascii="宋体" w:hAnsi="宋体" w:cs="宋体"/>
          <w:sz w:val="24"/>
        </w:rPr>
        <w:fldChar w:fldCharType="separate"/>
      </w:r>
      <w:r>
        <w:rPr>
          <w:rFonts w:hint="eastAsia" w:ascii="宋体" w:hAnsi="宋体" w:cs="宋体"/>
          <w:sz w:val="24"/>
        </w:rPr>
        <w:t>70</w:t>
      </w:r>
      <w:r>
        <w:rPr>
          <w:rFonts w:hint="eastAsia" w:ascii="宋体" w:hAnsi="宋体" w:cs="宋体"/>
          <w:sz w:val="24"/>
        </w:rPr>
        <w:fldChar w:fldCharType="end"/>
      </w:r>
      <w:r>
        <w:rPr>
          <w:rFonts w:hint="eastAsia" w:ascii="宋体" w:hAnsi="宋体" w:cs="宋体"/>
          <w:sz w:val="24"/>
        </w:rPr>
        <w:fldChar w:fldCharType="end"/>
      </w:r>
    </w:p>
    <w:p w14:paraId="056EE1AB">
      <w:pPr>
        <w:pStyle w:val="16"/>
        <w:tabs>
          <w:tab w:val="right" w:leader="dot" w:pos="9070"/>
        </w:tabs>
        <w:spacing w:line="560" w:lineRule="exact"/>
        <w:ind w:left="0" w:leftChars="0"/>
        <w:rPr>
          <w:rFonts w:ascii="宋体" w:hAnsi="宋体" w:cs="宋体"/>
          <w:sz w:val="24"/>
        </w:rPr>
      </w:pPr>
      <w:r>
        <w:fldChar w:fldCharType="begin"/>
      </w:r>
      <w:r>
        <w:instrText xml:space="preserve"> HYPERLINK \l "_Toc10871" </w:instrText>
      </w:r>
      <w:r>
        <w:fldChar w:fldCharType="separate"/>
      </w:r>
      <w:r>
        <w:rPr>
          <w:rFonts w:hint="eastAsia" w:ascii="宋体" w:hAnsi="宋体" w:cs="宋体"/>
          <w:bCs/>
          <w:kern w:val="10"/>
          <w:sz w:val="24"/>
        </w:rPr>
        <w:t>八、监狱企业证明材料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_Toc10871 \h </w:instrText>
      </w:r>
      <w:r>
        <w:rPr>
          <w:rFonts w:hint="eastAsia" w:ascii="宋体" w:hAnsi="宋体" w:cs="宋体"/>
          <w:sz w:val="24"/>
        </w:rPr>
        <w:fldChar w:fldCharType="separate"/>
      </w:r>
      <w:r>
        <w:rPr>
          <w:rFonts w:hint="eastAsia" w:ascii="宋体" w:hAnsi="宋体" w:cs="宋体"/>
          <w:sz w:val="24"/>
        </w:rPr>
        <w:t>71</w:t>
      </w:r>
      <w:r>
        <w:rPr>
          <w:rFonts w:hint="eastAsia" w:ascii="宋体" w:hAnsi="宋体" w:cs="宋体"/>
          <w:sz w:val="24"/>
        </w:rPr>
        <w:fldChar w:fldCharType="end"/>
      </w:r>
      <w:r>
        <w:rPr>
          <w:rFonts w:hint="eastAsia" w:ascii="宋体" w:hAnsi="宋体" w:cs="宋体"/>
          <w:sz w:val="24"/>
        </w:rPr>
        <w:fldChar w:fldCharType="end"/>
      </w:r>
    </w:p>
    <w:p w14:paraId="1D0A7A98">
      <w:pPr>
        <w:pStyle w:val="16"/>
        <w:tabs>
          <w:tab w:val="right" w:leader="dot" w:pos="9070"/>
        </w:tabs>
        <w:spacing w:line="560" w:lineRule="exact"/>
        <w:ind w:left="0" w:leftChars="0"/>
        <w:rPr>
          <w:rFonts w:ascii="宋体" w:hAnsi="宋体" w:cs="宋体"/>
          <w:sz w:val="24"/>
        </w:rPr>
      </w:pPr>
      <w:r>
        <w:fldChar w:fldCharType="begin"/>
      </w:r>
      <w:r>
        <w:instrText xml:space="preserve"> HYPERLINK \l "_Toc14999" </w:instrText>
      </w:r>
      <w:r>
        <w:fldChar w:fldCharType="separate"/>
      </w:r>
      <w:r>
        <w:rPr>
          <w:rFonts w:hint="eastAsia" w:ascii="宋体" w:hAnsi="宋体" w:cs="宋体"/>
          <w:bCs/>
          <w:kern w:val="10"/>
          <w:sz w:val="24"/>
        </w:rPr>
        <w:t>九、资格审查资料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_Toc14999 \h </w:instrText>
      </w:r>
      <w:r>
        <w:rPr>
          <w:rFonts w:hint="eastAsia" w:ascii="宋体" w:hAnsi="宋体" w:cs="宋体"/>
          <w:sz w:val="24"/>
        </w:rPr>
        <w:fldChar w:fldCharType="separate"/>
      </w:r>
      <w:r>
        <w:rPr>
          <w:rFonts w:hint="eastAsia" w:ascii="宋体" w:hAnsi="宋体" w:cs="宋体"/>
          <w:sz w:val="24"/>
        </w:rPr>
        <w:t>72</w:t>
      </w:r>
      <w:r>
        <w:rPr>
          <w:rFonts w:hint="eastAsia" w:ascii="宋体" w:hAnsi="宋体" w:cs="宋体"/>
          <w:sz w:val="24"/>
        </w:rPr>
        <w:fldChar w:fldCharType="end"/>
      </w:r>
      <w:r>
        <w:rPr>
          <w:rFonts w:hint="eastAsia" w:ascii="宋体" w:hAnsi="宋体" w:cs="宋体"/>
          <w:sz w:val="24"/>
        </w:rPr>
        <w:fldChar w:fldCharType="end"/>
      </w:r>
    </w:p>
    <w:p w14:paraId="6081EB57">
      <w:pPr>
        <w:pStyle w:val="16"/>
        <w:tabs>
          <w:tab w:val="right" w:leader="dot" w:pos="9070"/>
        </w:tabs>
        <w:spacing w:line="560" w:lineRule="exact"/>
        <w:ind w:left="0" w:leftChars="0"/>
        <w:rPr>
          <w:rFonts w:ascii="宋体" w:hAnsi="宋体" w:cs="宋体"/>
          <w:sz w:val="24"/>
        </w:rPr>
      </w:pPr>
      <w:r>
        <w:fldChar w:fldCharType="begin"/>
      </w:r>
      <w:r>
        <w:instrText xml:space="preserve"> HYPERLINK \l "_Toc4481" </w:instrText>
      </w:r>
      <w:r>
        <w:fldChar w:fldCharType="separate"/>
      </w:r>
      <w:r>
        <w:rPr>
          <w:rFonts w:hint="eastAsia" w:ascii="宋体" w:hAnsi="宋体" w:cs="宋体"/>
          <w:bCs/>
          <w:kern w:val="10"/>
          <w:sz w:val="24"/>
        </w:rPr>
        <w:t>十、其他材料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_Toc4481 \h </w:instrText>
      </w:r>
      <w:r>
        <w:rPr>
          <w:rFonts w:hint="eastAsia" w:ascii="宋体" w:hAnsi="宋体" w:cs="宋体"/>
          <w:sz w:val="24"/>
        </w:rPr>
        <w:fldChar w:fldCharType="separate"/>
      </w:r>
      <w:r>
        <w:rPr>
          <w:rFonts w:hint="eastAsia" w:ascii="宋体" w:hAnsi="宋体" w:cs="宋体"/>
          <w:sz w:val="24"/>
        </w:rPr>
        <w:t>73</w:t>
      </w:r>
      <w:r>
        <w:rPr>
          <w:rFonts w:hint="eastAsia" w:ascii="宋体" w:hAnsi="宋体" w:cs="宋体"/>
          <w:sz w:val="24"/>
        </w:rPr>
        <w:fldChar w:fldCharType="end"/>
      </w:r>
      <w:r>
        <w:rPr>
          <w:rFonts w:hint="eastAsia" w:ascii="宋体" w:hAnsi="宋体" w:cs="宋体"/>
          <w:sz w:val="24"/>
        </w:rPr>
        <w:fldChar w:fldCharType="end"/>
      </w:r>
    </w:p>
    <w:p w14:paraId="7F8F8D7B">
      <w:pPr>
        <w:spacing w:line="560" w:lineRule="exact"/>
        <w:rPr>
          <w:rFonts w:ascii="宋体" w:hAnsi="宋体" w:cs="宋体"/>
          <w:sz w:val="24"/>
        </w:rPr>
      </w:pPr>
      <w:r>
        <w:rPr>
          <w:rFonts w:hint="eastAsia" w:ascii="宋体" w:hAnsi="宋体" w:cs="宋体"/>
          <w:sz w:val="24"/>
        </w:rPr>
        <w:fldChar w:fldCharType="end"/>
      </w:r>
    </w:p>
    <w:p w14:paraId="232DDDBD">
      <w:pPr>
        <w:pStyle w:val="18"/>
        <w:ind w:firstLine="0"/>
      </w:pPr>
    </w:p>
    <w:p w14:paraId="727E4876">
      <w:pPr>
        <w:rPr>
          <w:rFonts w:ascii="黑体" w:hAnsi="黑体" w:eastAsia="黑体" w:cs="宋体"/>
          <w:b/>
          <w:color w:val="000000"/>
          <w:kern w:val="10"/>
          <w:sz w:val="36"/>
          <w:szCs w:val="36"/>
        </w:rPr>
      </w:pPr>
      <w:bookmarkStart w:id="2" w:name="_Toc13992"/>
      <w:bookmarkStart w:id="3" w:name="_Toc516499642"/>
      <w:bookmarkStart w:id="4" w:name="_Toc20852"/>
      <w:bookmarkStart w:id="5" w:name="_Toc99007039"/>
      <w:bookmarkStart w:id="6" w:name="_Toc57277876"/>
      <w:bookmarkStart w:id="7" w:name="_Toc13945"/>
      <w:bookmarkStart w:id="8" w:name="_Toc29843"/>
      <w:bookmarkStart w:id="9" w:name="_Toc16973"/>
      <w:bookmarkStart w:id="10" w:name="_Toc16504"/>
      <w:r>
        <w:rPr>
          <w:rFonts w:hint="eastAsia" w:ascii="黑体" w:hAnsi="黑体" w:eastAsia="黑体" w:cs="宋体"/>
          <w:b/>
          <w:color w:val="000000"/>
          <w:kern w:val="10"/>
          <w:sz w:val="36"/>
          <w:szCs w:val="36"/>
        </w:rPr>
        <w:br w:type="page"/>
      </w:r>
    </w:p>
    <w:p w14:paraId="1612A58F">
      <w:pPr>
        <w:spacing w:line="360" w:lineRule="auto"/>
        <w:jc w:val="center"/>
        <w:outlineLvl w:val="0"/>
        <w:rPr>
          <w:rFonts w:ascii="黑体" w:hAnsi="黑体" w:eastAsia="黑体" w:cs="宋体"/>
          <w:b/>
          <w:color w:val="000000"/>
          <w:kern w:val="10"/>
          <w:sz w:val="36"/>
          <w:szCs w:val="36"/>
        </w:rPr>
      </w:pPr>
      <w:r>
        <w:rPr>
          <w:rFonts w:hint="eastAsia" w:ascii="黑体" w:hAnsi="黑体" w:eastAsia="黑体" w:cs="宋体"/>
          <w:b/>
          <w:color w:val="000000"/>
          <w:kern w:val="10"/>
          <w:sz w:val="36"/>
          <w:szCs w:val="36"/>
        </w:rPr>
        <w:t>第一章  招标公告</w:t>
      </w:r>
      <w:bookmarkEnd w:id="1"/>
      <w:bookmarkEnd w:id="2"/>
      <w:bookmarkEnd w:id="3"/>
      <w:bookmarkEnd w:id="4"/>
      <w:bookmarkEnd w:id="5"/>
      <w:bookmarkEnd w:id="6"/>
      <w:bookmarkEnd w:id="7"/>
      <w:bookmarkEnd w:id="8"/>
      <w:bookmarkEnd w:id="9"/>
      <w:bookmarkEnd w:id="10"/>
      <w:bookmarkStart w:id="11" w:name="_Toc478929098"/>
    </w:p>
    <w:bookmarkEnd w:id="11"/>
    <w:p w14:paraId="3B38F700">
      <w:pPr>
        <w:jc w:val="center"/>
        <w:rPr>
          <w:b/>
          <w:bCs/>
          <w:sz w:val="32"/>
          <w:szCs w:val="32"/>
        </w:rPr>
      </w:pPr>
      <w:bookmarkStart w:id="12" w:name="_Toc16309"/>
      <w:bookmarkStart w:id="13" w:name="_Toc28510"/>
      <w:bookmarkStart w:id="14" w:name="_Toc19492"/>
      <w:bookmarkStart w:id="15" w:name="_Toc1996"/>
      <w:bookmarkStart w:id="16" w:name="_Toc516499644"/>
      <w:bookmarkStart w:id="17" w:name="_Toc10294"/>
      <w:r>
        <w:rPr>
          <w:rFonts w:hint="eastAsia"/>
          <w:b/>
          <w:bCs/>
          <w:sz w:val="32"/>
          <w:szCs w:val="32"/>
        </w:rPr>
        <w:t>灵宝市应急管理局森林防灭火装备购置项目</w:t>
      </w:r>
    </w:p>
    <w:p w14:paraId="573CA645">
      <w:pPr>
        <w:jc w:val="center"/>
      </w:pPr>
      <w:r>
        <w:rPr>
          <w:rFonts w:hint="eastAsia"/>
          <w:b/>
          <w:bCs/>
          <w:sz w:val="32"/>
          <w:szCs w:val="32"/>
        </w:rPr>
        <w:t>竞争性磋商公告</w:t>
      </w:r>
      <w:bookmarkEnd w:id="12"/>
    </w:p>
    <w:p w14:paraId="1A62666F">
      <w:pPr>
        <w:spacing w:line="360" w:lineRule="auto"/>
        <w:ind w:firstLine="480" w:firstLineChars="200"/>
        <w:rPr>
          <w:rFonts w:ascii="宋体" w:hAnsi="宋体" w:cs="宋体"/>
          <w:sz w:val="24"/>
        </w:rPr>
      </w:pPr>
      <w:r>
        <w:rPr>
          <w:rFonts w:hint="eastAsia" w:ascii="宋体" w:hAnsi="宋体" w:cs="宋体"/>
          <w:sz w:val="24"/>
        </w:rPr>
        <w:t>中诚祥顺工程管理咨询有限公司受灵宝市应急管理局的委托，就灵宝市应急管理局森林防灭火装备购置项目进行竞争性磋商，项目已由相关部门批准，资金来源为财政资金，资金已到位，欢迎符合资格条件的供应商参加磋商。</w:t>
      </w:r>
    </w:p>
    <w:p w14:paraId="2753EE75">
      <w:pPr>
        <w:spacing w:line="360" w:lineRule="auto"/>
        <w:ind w:firstLine="480" w:firstLineChars="200"/>
        <w:rPr>
          <w:rFonts w:ascii="宋体" w:hAnsi="宋体" w:cs="宋体"/>
          <w:sz w:val="24"/>
        </w:rPr>
      </w:pPr>
      <w:r>
        <w:rPr>
          <w:rFonts w:hint="eastAsia" w:ascii="宋体" w:hAnsi="宋体" w:cs="宋体"/>
          <w:sz w:val="24"/>
        </w:rPr>
        <w:t>一、项目基本情况</w:t>
      </w:r>
    </w:p>
    <w:p w14:paraId="0E95C55A">
      <w:pPr>
        <w:spacing w:line="360" w:lineRule="auto"/>
        <w:ind w:firstLine="480" w:firstLineChars="200"/>
        <w:rPr>
          <w:rFonts w:ascii="宋体" w:hAnsi="宋体" w:cs="宋体"/>
          <w:sz w:val="24"/>
        </w:rPr>
      </w:pPr>
      <w:r>
        <w:rPr>
          <w:rFonts w:hint="eastAsia" w:ascii="宋体" w:hAnsi="宋体" w:cs="宋体"/>
          <w:sz w:val="24"/>
        </w:rPr>
        <w:t>1、采购项目名称：灵宝市应急管理局森林防灭火装备购置项目</w:t>
      </w:r>
    </w:p>
    <w:p w14:paraId="2BAC1E68">
      <w:pPr>
        <w:spacing w:line="360" w:lineRule="auto"/>
        <w:ind w:firstLine="480" w:firstLineChars="200"/>
        <w:rPr>
          <w:rFonts w:ascii="宋体" w:hAnsi="宋体" w:cs="宋体"/>
          <w:sz w:val="24"/>
        </w:rPr>
      </w:pPr>
      <w:r>
        <w:rPr>
          <w:rFonts w:hint="eastAsia" w:ascii="宋体" w:hAnsi="宋体" w:cs="宋体"/>
          <w:sz w:val="24"/>
        </w:rPr>
        <w:t>2、采购项目编号：LBGZ[2025]091-ZC061；灵宝竞磋采购-2025-36</w:t>
      </w:r>
    </w:p>
    <w:p w14:paraId="4CA1DA1B">
      <w:pPr>
        <w:spacing w:line="360" w:lineRule="auto"/>
        <w:ind w:firstLine="480" w:firstLineChars="200"/>
        <w:rPr>
          <w:rFonts w:ascii="宋体" w:hAnsi="宋体" w:cs="宋体"/>
          <w:sz w:val="24"/>
        </w:rPr>
      </w:pPr>
      <w:r>
        <w:rPr>
          <w:rFonts w:hint="eastAsia" w:ascii="宋体" w:hAnsi="宋体" w:cs="宋体"/>
          <w:sz w:val="24"/>
        </w:rPr>
        <w:t>3、采购方式：竞争性磋商</w:t>
      </w:r>
    </w:p>
    <w:p w14:paraId="78C5CDAB">
      <w:pPr>
        <w:spacing w:line="360" w:lineRule="auto"/>
        <w:ind w:firstLine="480" w:firstLineChars="200"/>
        <w:rPr>
          <w:rFonts w:ascii="宋体" w:hAnsi="宋体" w:cs="宋体"/>
          <w:sz w:val="24"/>
        </w:rPr>
      </w:pPr>
      <w:r>
        <w:rPr>
          <w:rFonts w:hint="eastAsia" w:ascii="宋体" w:hAnsi="宋体" w:cs="宋体"/>
          <w:sz w:val="24"/>
        </w:rPr>
        <w:t>4、预算金额：1200000.00元</w:t>
      </w:r>
    </w:p>
    <w:p w14:paraId="3C38E62A">
      <w:pPr>
        <w:spacing w:line="360" w:lineRule="auto"/>
        <w:ind w:firstLine="480" w:firstLineChars="200"/>
        <w:rPr>
          <w:rFonts w:ascii="宋体" w:hAnsi="宋体" w:cs="宋体"/>
          <w:sz w:val="24"/>
        </w:rPr>
      </w:pPr>
      <w:r>
        <w:rPr>
          <w:rFonts w:hint="eastAsia" w:ascii="宋体" w:hAnsi="宋体" w:cs="宋体"/>
          <w:sz w:val="24"/>
        </w:rPr>
        <w:t>最高限价：1200000.00元</w:t>
      </w:r>
    </w:p>
    <w:p w14:paraId="4E1F8260">
      <w:pPr>
        <w:spacing w:line="360" w:lineRule="auto"/>
        <w:ind w:firstLine="480" w:firstLineChars="200"/>
        <w:rPr>
          <w:rFonts w:ascii="宋体" w:hAnsi="宋体" w:cs="宋体"/>
          <w:sz w:val="24"/>
        </w:rPr>
      </w:pPr>
      <w:r>
        <w:rPr>
          <w:rFonts w:hint="eastAsia" w:ascii="宋体" w:hAnsi="宋体" w:cs="宋体"/>
          <w:sz w:val="24"/>
        </w:rPr>
        <w:t>5、采购需求（包括但不限于标的的名称、数量、简要技术需求或服务要求等）</w:t>
      </w:r>
    </w:p>
    <w:p w14:paraId="639C6A8D">
      <w:pPr>
        <w:spacing w:line="360" w:lineRule="auto"/>
        <w:ind w:firstLine="480" w:firstLineChars="200"/>
        <w:rPr>
          <w:rFonts w:ascii="宋体" w:hAnsi="宋体" w:cs="宋体"/>
          <w:sz w:val="24"/>
        </w:rPr>
      </w:pPr>
      <w:r>
        <w:rPr>
          <w:rFonts w:hint="eastAsia" w:ascii="宋体" w:hAnsi="宋体" w:cs="宋体"/>
          <w:sz w:val="24"/>
        </w:rPr>
        <w:t>5.1采购内容：灵宝市应急管理局森林防灭火装备购置项目，采购1台指挥侦查无人机、5台植保无人机、1台卫星便携站，1台指挥通信箱。（具体内容详见磋商文件）；</w:t>
      </w:r>
    </w:p>
    <w:p w14:paraId="169328C0">
      <w:pPr>
        <w:spacing w:line="360" w:lineRule="auto"/>
        <w:ind w:firstLine="480" w:firstLineChars="200"/>
        <w:rPr>
          <w:rFonts w:ascii="宋体" w:hAnsi="宋体" w:cs="宋体"/>
          <w:sz w:val="24"/>
        </w:rPr>
      </w:pPr>
      <w:r>
        <w:rPr>
          <w:rFonts w:hint="eastAsia" w:ascii="宋体" w:hAnsi="宋体" w:cs="宋体"/>
          <w:sz w:val="24"/>
        </w:rPr>
        <w:t>5.2交货地点：采购人指定地点；</w:t>
      </w:r>
    </w:p>
    <w:p w14:paraId="1B4B8555">
      <w:pPr>
        <w:spacing w:line="360" w:lineRule="auto"/>
        <w:ind w:firstLine="480" w:firstLineChars="200"/>
        <w:rPr>
          <w:rFonts w:ascii="宋体" w:hAnsi="宋体" w:cs="宋体"/>
          <w:sz w:val="24"/>
        </w:rPr>
      </w:pPr>
      <w:r>
        <w:rPr>
          <w:rFonts w:hint="eastAsia" w:ascii="宋体" w:hAnsi="宋体" w:cs="宋体"/>
          <w:sz w:val="24"/>
        </w:rPr>
        <w:t>5.3质保期：质保期自验收合格之日起1年；</w:t>
      </w:r>
    </w:p>
    <w:p w14:paraId="0AFFBEF0">
      <w:pPr>
        <w:spacing w:line="360" w:lineRule="auto"/>
        <w:ind w:firstLine="480" w:firstLineChars="200"/>
        <w:rPr>
          <w:rFonts w:ascii="宋体" w:hAnsi="宋体" w:cs="宋体"/>
          <w:sz w:val="24"/>
        </w:rPr>
      </w:pPr>
      <w:r>
        <w:rPr>
          <w:rFonts w:hint="eastAsia" w:ascii="宋体" w:hAnsi="宋体" w:cs="宋体"/>
          <w:sz w:val="24"/>
        </w:rPr>
        <w:t>5.4质量要求：符合国家及行业标准需求并满足采购人要求。</w:t>
      </w:r>
    </w:p>
    <w:p w14:paraId="6E4867EF">
      <w:pPr>
        <w:spacing w:line="360" w:lineRule="auto"/>
        <w:ind w:firstLine="480" w:firstLineChars="200"/>
        <w:rPr>
          <w:rFonts w:ascii="宋体" w:hAnsi="宋体" w:cs="宋体"/>
          <w:sz w:val="24"/>
        </w:rPr>
      </w:pPr>
      <w:r>
        <w:rPr>
          <w:rFonts w:hint="eastAsia" w:ascii="宋体" w:hAnsi="宋体" w:cs="宋体"/>
          <w:sz w:val="24"/>
        </w:rPr>
        <w:t>6、交货期：合同签订后5天内完成</w:t>
      </w:r>
    </w:p>
    <w:p w14:paraId="358B227B">
      <w:pPr>
        <w:spacing w:line="360" w:lineRule="auto"/>
        <w:ind w:firstLine="480" w:firstLineChars="200"/>
        <w:rPr>
          <w:rFonts w:ascii="宋体" w:hAnsi="宋体" w:cs="宋体"/>
          <w:sz w:val="24"/>
        </w:rPr>
      </w:pPr>
      <w:r>
        <w:rPr>
          <w:rFonts w:hint="eastAsia" w:ascii="宋体" w:hAnsi="宋体" w:cs="宋体"/>
          <w:sz w:val="24"/>
        </w:rPr>
        <w:t>7、本项目是否接受联合体投标：否</w:t>
      </w:r>
    </w:p>
    <w:p w14:paraId="7E77A7FF">
      <w:pPr>
        <w:spacing w:line="360" w:lineRule="auto"/>
        <w:ind w:firstLine="480" w:firstLineChars="200"/>
        <w:rPr>
          <w:rFonts w:ascii="宋体" w:hAnsi="宋体" w:cs="宋体"/>
          <w:sz w:val="24"/>
        </w:rPr>
      </w:pPr>
      <w:r>
        <w:rPr>
          <w:rFonts w:hint="eastAsia" w:ascii="宋体" w:hAnsi="宋体" w:cs="宋体"/>
          <w:sz w:val="24"/>
        </w:rPr>
        <w:t>8、是否接受进口产品：是</w:t>
      </w:r>
    </w:p>
    <w:p w14:paraId="334DE9DB">
      <w:pPr>
        <w:spacing w:line="360" w:lineRule="auto"/>
        <w:ind w:firstLine="480" w:firstLineChars="200"/>
        <w:rPr>
          <w:rFonts w:ascii="宋体" w:hAnsi="宋体" w:cs="宋体"/>
          <w:sz w:val="24"/>
        </w:rPr>
      </w:pPr>
      <w:r>
        <w:rPr>
          <w:rFonts w:hint="eastAsia" w:ascii="宋体" w:hAnsi="宋体" w:cs="宋体"/>
          <w:sz w:val="24"/>
        </w:rPr>
        <w:t>9、是否专门面向中小企业：否</w:t>
      </w:r>
    </w:p>
    <w:p w14:paraId="6FF8152C">
      <w:pPr>
        <w:spacing w:line="360" w:lineRule="auto"/>
        <w:ind w:firstLine="480" w:firstLineChars="200"/>
        <w:rPr>
          <w:rFonts w:ascii="宋体" w:hAnsi="宋体" w:cs="宋体"/>
          <w:sz w:val="24"/>
        </w:rPr>
      </w:pPr>
      <w:r>
        <w:rPr>
          <w:rFonts w:hint="eastAsia" w:ascii="宋体" w:hAnsi="宋体" w:cs="宋体"/>
          <w:sz w:val="24"/>
        </w:rPr>
        <w:t>二、供应商资格要求：</w:t>
      </w:r>
    </w:p>
    <w:p w14:paraId="67AA3F62">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51C3B492">
      <w:pPr>
        <w:spacing w:line="360" w:lineRule="auto"/>
        <w:ind w:firstLine="480" w:firstLineChars="200"/>
        <w:rPr>
          <w:rFonts w:ascii="宋体" w:hAnsi="宋体" w:cs="宋体"/>
          <w:sz w:val="24"/>
        </w:rPr>
      </w:pPr>
      <w:r>
        <w:rPr>
          <w:rFonts w:hint="eastAsia" w:ascii="宋体" w:hAnsi="宋体" w:cs="宋体"/>
          <w:sz w:val="24"/>
        </w:rPr>
        <w:t>2、落实政府采购政策满足的资格要求：本项目非专门面向中小微企业采购项目，执行优先采购节能环保、环境标志性产品，促进中小企业（监狱企业、残疾人福利性企业）发展等政府采购政策。</w:t>
      </w:r>
    </w:p>
    <w:p w14:paraId="76CD7134">
      <w:pPr>
        <w:spacing w:line="360" w:lineRule="auto"/>
        <w:ind w:firstLine="480" w:firstLineChars="200"/>
        <w:rPr>
          <w:rFonts w:ascii="宋体" w:hAnsi="宋体" w:cs="宋体"/>
          <w:sz w:val="24"/>
        </w:rPr>
      </w:pPr>
      <w:r>
        <w:rPr>
          <w:rFonts w:hint="eastAsia" w:ascii="宋体" w:hAnsi="宋体" w:cs="宋体"/>
          <w:sz w:val="24"/>
        </w:rPr>
        <w:t>3、本项目的特定资格要求</w:t>
      </w:r>
    </w:p>
    <w:p w14:paraId="703FEBFB">
      <w:pPr>
        <w:spacing w:line="360" w:lineRule="auto"/>
        <w:ind w:firstLine="480" w:firstLineChars="200"/>
        <w:rPr>
          <w:rFonts w:ascii="宋体" w:hAnsi="宋体" w:cs="宋体"/>
          <w:sz w:val="24"/>
        </w:rPr>
      </w:pPr>
      <w:r>
        <w:rPr>
          <w:rFonts w:hint="eastAsia" w:ascii="宋体" w:hAnsi="宋体" w:cs="宋体"/>
          <w:sz w:val="24"/>
        </w:rPr>
        <w:t>3.1供应商须具有有效的营业执照；</w:t>
      </w:r>
    </w:p>
    <w:p w14:paraId="3CF4F957">
      <w:pPr>
        <w:spacing w:line="360" w:lineRule="auto"/>
        <w:ind w:firstLine="480" w:firstLineChars="200"/>
        <w:rPr>
          <w:rFonts w:ascii="宋体" w:hAnsi="宋体" w:cs="宋体"/>
          <w:sz w:val="24"/>
        </w:rPr>
      </w:pPr>
      <w:r>
        <w:rPr>
          <w:rFonts w:hint="eastAsia" w:ascii="宋体" w:hAnsi="宋体" w:cs="宋体"/>
          <w:sz w:val="24"/>
        </w:rPr>
        <w:t>3.2具有良好的商业信誉和健全的财务会计制度（自行作出承诺，格式自拟）；</w:t>
      </w:r>
    </w:p>
    <w:p w14:paraId="350CA5E5">
      <w:pPr>
        <w:spacing w:line="360" w:lineRule="auto"/>
        <w:ind w:firstLine="480" w:firstLineChars="200"/>
        <w:rPr>
          <w:rFonts w:ascii="宋体" w:hAnsi="宋体" w:cs="宋体"/>
          <w:sz w:val="24"/>
        </w:rPr>
      </w:pPr>
      <w:r>
        <w:rPr>
          <w:rFonts w:hint="eastAsia" w:ascii="宋体" w:hAnsi="宋体" w:cs="宋体"/>
          <w:sz w:val="24"/>
        </w:rPr>
        <w:t xml:space="preserve">3.3具有履行合同所必需的设备和专业技术能力（自行作出承诺，格式自拟）； </w:t>
      </w:r>
    </w:p>
    <w:p w14:paraId="5B41D9B9">
      <w:pPr>
        <w:spacing w:line="360" w:lineRule="auto"/>
        <w:ind w:firstLine="480" w:firstLineChars="200"/>
        <w:rPr>
          <w:rFonts w:ascii="宋体" w:hAnsi="宋体" w:cs="宋体"/>
          <w:sz w:val="24"/>
        </w:rPr>
      </w:pPr>
      <w:r>
        <w:rPr>
          <w:rFonts w:hint="eastAsia" w:ascii="宋体" w:hAnsi="宋体" w:cs="宋体"/>
          <w:sz w:val="24"/>
        </w:rPr>
        <w:t>3.4具有依法缴纳税收和社会保障资金的良好记录（自行作出承诺，格式自拟）；</w:t>
      </w:r>
    </w:p>
    <w:p w14:paraId="1E9FDDC6">
      <w:pPr>
        <w:spacing w:line="360" w:lineRule="auto"/>
        <w:ind w:firstLine="480" w:firstLineChars="200"/>
        <w:rPr>
          <w:rFonts w:ascii="宋体" w:hAnsi="宋体" w:cs="宋体"/>
          <w:sz w:val="24"/>
        </w:rPr>
      </w:pPr>
      <w:r>
        <w:rPr>
          <w:rFonts w:hint="eastAsia" w:ascii="宋体" w:hAnsi="宋体" w:cs="宋体"/>
          <w:sz w:val="24"/>
        </w:rPr>
        <w:t>3.5出具本单位无商业贿赂及无不正当竞争行为的承诺书（自行作出承诺，格式自拟）</w:t>
      </w:r>
    </w:p>
    <w:p w14:paraId="628DA4C8">
      <w:pPr>
        <w:spacing w:line="360" w:lineRule="auto"/>
        <w:ind w:firstLine="480" w:firstLineChars="200"/>
        <w:rPr>
          <w:rFonts w:ascii="宋体" w:hAnsi="宋体" w:cs="宋体"/>
          <w:sz w:val="24"/>
        </w:rPr>
      </w:pPr>
      <w:r>
        <w:rPr>
          <w:rFonts w:hint="eastAsia" w:ascii="宋体" w:hAnsi="宋体" w:cs="宋体"/>
          <w:sz w:val="24"/>
        </w:rPr>
        <w:t>3.6参加政府采购活动前3年内在经营活动中没有重大违法记录（提供供应商书面声明；供应商自行承诺并承担后果，声明函不实的，按《政府采购法》有关提供虚假材料的有关规定给予处罚）；</w:t>
      </w:r>
    </w:p>
    <w:p w14:paraId="1F359829">
      <w:pPr>
        <w:spacing w:line="360" w:lineRule="auto"/>
        <w:ind w:firstLine="480" w:firstLineChars="200"/>
        <w:rPr>
          <w:rFonts w:ascii="宋体" w:hAnsi="宋体" w:cs="宋体"/>
          <w:sz w:val="24"/>
        </w:rPr>
      </w:pPr>
      <w:r>
        <w:rPr>
          <w:rFonts w:hint="eastAsia" w:ascii="宋体" w:hAnsi="宋体" w:cs="宋体"/>
          <w:sz w:val="24"/>
        </w:rPr>
        <w:t>3.7根据《关于在政府采购活动中查询及使用信用记录有关问题的通知》(财库[2016]125号)和豫财购【2016】15号的规定，企业没有被列入“中国执行信息公开网”网站的“失信被执行人”、“信用中国”网站的“重大税收违法失信主体”“失信被执行人”及“中国政府采购网”网站的“政府采购严重违法失信行为记录名单”（查询渠道：“中国执行信息公开网”网站（http://zxgk.court.gov.cn/shixin）“信用中国”网站（www.creditchina.gov.cn）、中国政府采购网（www.ccgp.gov.cn）；提供网站的查询信息截图（提供“中国执行信息公开网”、“信用中国”和“中国政府采购网”网站的查询信息截图，加盖单位公章，截图需显示查询时间，查询时间：自公告发布之日起至投标截止时间前）；</w:t>
      </w:r>
    </w:p>
    <w:p w14:paraId="3D5541F4">
      <w:pPr>
        <w:spacing w:line="360" w:lineRule="auto"/>
        <w:ind w:firstLine="480" w:firstLineChars="200"/>
        <w:rPr>
          <w:rFonts w:ascii="宋体" w:hAnsi="宋体" w:cs="宋体"/>
          <w:sz w:val="24"/>
        </w:rPr>
      </w:pPr>
      <w:r>
        <w:rPr>
          <w:rFonts w:hint="eastAsia" w:ascii="宋体" w:hAnsi="宋体" w:cs="宋体"/>
          <w:sz w:val="24"/>
        </w:rPr>
        <w:t>3.8单位负责人为同一人或者存在控股、管理关系的不同单位，不得参加同一标段投标或者未划分标段的同一招标项目投标；（提供“国家企业信用信息公示系统”中查询打印的相关信息并加盖公章（查询信息需包含公司基本信息、股东信息及股权变更信息等相关信息，查询日期为本项目公告发布之后至开标截止时间止））。</w:t>
      </w:r>
    </w:p>
    <w:p w14:paraId="4830D4AC">
      <w:pPr>
        <w:spacing w:line="360" w:lineRule="auto"/>
        <w:ind w:firstLine="480" w:firstLineChars="200"/>
        <w:rPr>
          <w:rFonts w:ascii="宋体" w:hAnsi="宋体" w:cs="宋体"/>
          <w:sz w:val="24"/>
        </w:rPr>
      </w:pPr>
      <w:r>
        <w:rPr>
          <w:rFonts w:hint="eastAsia" w:ascii="宋体" w:hAnsi="宋体" w:cs="宋体"/>
          <w:sz w:val="24"/>
        </w:rPr>
        <w:t>4、本项目不接受联合体投标，提供非联合体投标承诺，格式自拟。</w:t>
      </w:r>
    </w:p>
    <w:p w14:paraId="273A6487">
      <w:pPr>
        <w:spacing w:line="360" w:lineRule="auto"/>
        <w:ind w:firstLine="480" w:firstLineChars="200"/>
      </w:pPr>
      <w:r>
        <w:rPr>
          <w:rFonts w:hint="eastAsia" w:ascii="宋体" w:hAnsi="宋体" w:cs="宋体"/>
          <w:sz w:val="24"/>
        </w:rPr>
        <w:t>5、本次磋商实行资格后审，资格审查的具体要求见磋商文件。</w:t>
      </w:r>
    </w:p>
    <w:p w14:paraId="7FA7DFF6">
      <w:pPr>
        <w:spacing w:line="360" w:lineRule="auto"/>
        <w:ind w:firstLine="480" w:firstLineChars="200"/>
        <w:rPr>
          <w:rFonts w:ascii="宋体" w:hAnsi="宋体" w:cs="宋体"/>
          <w:sz w:val="24"/>
        </w:rPr>
      </w:pPr>
      <w:r>
        <w:rPr>
          <w:rFonts w:hint="eastAsia" w:ascii="宋体" w:hAnsi="宋体" w:cs="宋体"/>
          <w:sz w:val="24"/>
        </w:rPr>
        <w:t>三、投标报名及文件的获取方式:</w:t>
      </w:r>
    </w:p>
    <w:p w14:paraId="4567DF00">
      <w:pPr>
        <w:wordWrap w:val="0"/>
        <w:spacing w:line="360" w:lineRule="auto"/>
        <w:ind w:firstLine="480" w:firstLineChars="200"/>
        <w:jc w:val="left"/>
        <w:rPr>
          <w:rFonts w:ascii="宋体" w:hAnsi="宋体" w:cs="宋体"/>
          <w:sz w:val="24"/>
        </w:rPr>
      </w:pPr>
      <w:r>
        <w:rPr>
          <w:rFonts w:hint="eastAsia" w:ascii="宋体" w:hAnsi="宋体" w:cs="宋体"/>
          <w:sz w:val="24"/>
        </w:rPr>
        <w:t>1、时间：2025年05月01日至2025年05月14日09时00分。（北京时间）。</w:t>
      </w:r>
    </w:p>
    <w:p w14:paraId="69E28DE7">
      <w:pPr>
        <w:wordWrap w:val="0"/>
        <w:spacing w:line="360" w:lineRule="auto"/>
        <w:ind w:firstLine="480" w:firstLineChars="200"/>
        <w:jc w:val="left"/>
        <w:rPr>
          <w:rFonts w:ascii="宋体" w:hAnsi="宋体" w:cs="宋体"/>
          <w:sz w:val="24"/>
        </w:rPr>
      </w:pPr>
      <w:r>
        <w:rPr>
          <w:rFonts w:hint="eastAsia" w:ascii="宋体" w:hAnsi="宋体" w:cs="宋体"/>
          <w:sz w:val="24"/>
        </w:rPr>
        <w:t>2、地点：三门峡市公共资源交易中心网（网址：http://gzjy.smx.gov.cn）；</w:t>
      </w:r>
    </w:p>
    <w:p w14:paraId="46FC9F9A">
      <w:pPr>
        <w:wordWrap w:val="0"/>
        <w:spacing w:line="360" w:lineRule="auto"/>
        <w:ind w:firstLine="480" w:firstLineChars="200"/>
        <w:jc w:val="left"/>
        <w:rPr>
          <w:rFonts w:ascii="宋体" w:hAnsi="宋体" w:cs="宋体"/>
          <w:sz w:val="24"/>
        </w:rPr>
      </w:pPr>
      <w:r>
        <w:rPr>
          <w:rFonts w:hint="eastAsia" w:ascii="宋体" w:hAnsi="宋体" w:cs="宋体"/>
          <w:sz w:val="24"/>
        </w:rPr>
        <w:t>3、方式：本项目没有报名环节，投标人凭CA数字证书通过三门峡市公共资源交易中心网（网址：http://gzjy.smx.gov.cn），点击交易平台选择“市场主体登录”，在所参与项目右侧点击参与投标，即可直接下载本项目竞争性磋商文件。</w:t>
      </w:r>
    </w:p>
    <w:p w14:paraId="0056C275">
      <w:pPr>
        <w:wordWrap w:val="0"/>
        <w:spacing w:line="360" w:lineRule="auto"/>
        <w:ind w:firstLine="480" w:firstLineChars="200"/>
        <w:jc w:val="left"/>
        <w:rPr>
          <w:rFonts w:ascii="宋体" w:hAnsi="宋体" w:cs="宋体"/>
          <w:sz w:val="24"/>
        </w:rPr>
      </w:pPr>
      <w:r>
        <w:rPr>
          <w:rFonts w:hint="eastAsia" w:ascii="宋体" w:hAnsi="宋体" w:cs="宋体"/>
          <w:sz w:val="24"/>
        </w:rPr>
        <w:t>三门峡市公共资源交易平台操作手册：</w:t>
      </w:r>
    </w:p>
    <w:p w14:paraId="6BCCE247">
      <w:pPr>
        <w:wordWrap w:val="0"/>
        <w:spacing w:line="360" w:lineRule="auto"/>
        <w:ind w:firstLine="480" w:firstLineChars="200"/>
        <w:jc w:val="left"/>
        <w:rPr>
          <w:rFonts w:ascii="宋体" w:hAnsi="宋体" w:cs="宋体"/>
          <w:sz w:val="24"/>
        </w:rPr>
      </w:pPr>
      <w:r>
        <w:rPr>
          <w:rFonts w:hint="eastAsia" w:ascii="宋体" w:hAnsi="宋体" w:cs="宋体"/>
          <w:sz w:val="24"/>
        </w:rPr>
        <w:t>http://gzjy.smx.gov.cn/bzzx/008001/20200325/1d4d9bd4-82a2-4284-b2f7-428c4c69ef58.html</w:t>
      </w:r>
    </w:p>
    <w:p w14:paraId="566F28BD">
      <w:pPr>
        <w:wordWrap w:val="0"/>
        <w:spacing w:line="360" w:lineRule="auto"/>
        <w:ind w:firstLine="480" w:firstLineChars="200"/>
        <w:jc w:val="left"/>
        <w:rPr>
          <w:rFonts w:ascii="宋体" w:hAnsi="宋体" w:cs="宋体"/>
          <w:sz w:val="24"/>
        </w:rPr>
      </w:pPr>
      <w:r>
        <w:rPr>
          <w:rFonts w:hint="eastAsia" w:ascii="宋体" w:hAnsi="宋体" w:cs="宋体"/>
          <w:sz w:val="24"/>
        </w:rPr>
        <w:t>办理CA证书链接：http://gzjy.smx.gov.cn/bzzx/008001/20211105/57b16af9-ab87-4395-a723-7758c628a3f8.html</w:t>
      </w:r>
    </w:p>
    <w:p w14:paraId="67FE98A1">
      <w:pPr>
        <w:wordWrap w:val="0"/>
        <w:spacing w:line="360" w:lineRule="auto"/>
        <w:ind w:firstLine="480" w:firstLineChars="200"/>
        <w:jc w:val="left"/>
        <w:rPr>
          <w:rFonts w:ascii="宋体" w:hAnsi="宋体" w:cs="宋体"/>
          <w:sz w:val="24"/>
        </w:rPr>
      </w:pPr>
      <w:r>
        <w:rPr>
          <w:rFonts w:hint="eastAsia" w:ascii="宋体" w:hAnsi="宋体" w:cs="宋体"/>
          <w:sz w:val="24"/>
        </w:rPr>
        <w:t>4、本项目为全电子招标，不再收取竞争性</w:t>
      </w:r>
      <w:r>
        <w:rPr>
          <w:rFonts w:hint="eastAsia" w:ascii="宋体" w:hAnsi="宋体" w:cs="宋体"/>
          <w:kern w:val="0"/>
          <w:sz w:val="24"/>
        </w:rPr>
        <w:t>磋商文件费。</w:t>
      </w:r>
    </w:p>
    <w:p w14:paraId="47D1EB27">
      <w:pPr>
        <w:wordWrap w:val="0"/>
        <w:spacing w:line="360" w:lineRule="auto"/>
        <w:ind w:firstLine="480" w:firstLineChars="200"/>
        <w:jc w:val="left"/>
        <w:rPr>
          <w:rFonts w:ascii="宋体" w:hAnsi="宋体" w:cs="宋体"/>
          <w:sz w:val="24"/>
        </w:rPr>
      </w:pPr>
      <w:r>
        <w:rPr>
          <w:rFonts w:hint="eastAsia" w:ascii="宋体" w:hAnsi="宋体" w:cs="宋体"/>
          <w:sz w:val="24"/>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1D008A86">
      <w:pPr>
        <w:spacing w:line="360" w:lineRule="auto"/>
        <w:ind w:firstLine="480" w:firstLineChars="200"/>
        <w:rPr>
          <w:rFonts w:ascii="宋体" w:hAnsi="宋体" w:cs="宋体"/>
          <w:sz w:val="24"/>
        </w:rPr>
      </w:pPr>
      <w:r>
        <w:rPr>
          <w:rFonts w:hint="eastAsia" w:ascii="宋体" w:hAnsi="宋体" w:cs="宋体"/>
          <w:sz w:val="24"/>
        </w:rPr>
        <w:t>四、响应文件提交</w:t>
      </w:r>
    </w:p>
    <w:p w14:paraId="76BED02C">
      <w:pPr>
        <w:spacing w:line="360" w:lineRule="auto"/>
        <w:ind w:firstLine="480" w:firstLineChars="200"/>
        <w:rPr>
          <w:rFonts w:ascii="宋体" w:hAnsi="宋体" w:cs="宋体"/>
          <w:sz w:val="24"/>
        </w:rPr>
      </w:pPr>
      <w:r>
        <w:rPr>
          <w:rFonts w:hint="eastAsia" w:ascii="宋体" w:hAnsi="宋体" w:cs="宋体"/>
          <w:sz w:val="24"/>
        </w:rPr>
        <w:t>1、截止时间</w:t>
      </w:r>
      <w:r>
        <w:rPr>
          <w:rFonts w:hint="eastAsia" w:ascii="宋体" w:hAnsi="宋体" w:cs="宋体"/>
          <w:color w:val="000000"/>
          <w:sz w:val="24"/>
        </w:rPr>
        <w:t>：</w:t>
      </w:r>
      <w:r>
        <w:rPr>
          <w:rFonts w:hint="eastAsia" w:ascii="宋体" w:hAnsi="宋体" w:cs="宋体"/>
          <w:sz w:val="24"/>
        </w:rPr>
        <w:t>2025年05月14日09时00分（北京时间）</w:t>
      </w:r>
    </w:p>
    <w:p w14:paraId="3D9E197F">
      <w:pPr>
        <w:spacing w:line="360" w:lineRule="auto"/>
        <w:ind w:firstLine="480" w:firstLineChars="200"/>
        <w:rPr>
          <w:rFonts w:ascii="宋体" w:hAnsi="宋体" w:cs="宋体"/>
          <w:sz w:val="24"/>
        </w:rPr>
      </w:pPr>
      <w:r>
        <w:rPr>
          <w:rFonts w:hint="eastAsia" w:ascii="宋体" w:hAnsi="宋体" w:cs="宋体"/>
          <w:sz w:val="24"/>
        </w:rPr>
        <w:t>2、地点：三门峡市公共资源交易中心网（网址：http://gzjy.smx.gov.cn/）</w:t>
      </w:r>
    </w:p>
    <w:p w14:paraId="3DE2B0CE">
      <w:pPr>
        <w:spacing w:line="360" w:lineRule="auto"/>
        <w:ind w:firstLine="480" w:firstLineChars="200"/>
        <w:rPr>
          <w:rFonts w:ascii="宋体" w:hAnsi="宋体" w:cs="宋体"/>
          <w:sz w:val="24"/>
        </w:rPr>
      </w:pPr>
      <w:r>
        <w:rPr>
          <w:rFonts w:hint="eastAsia" w:ascii="宋体" w:hAnsi="宋体" w:cs="宋体"/>
          <w:sz w:val="24"/>
        </w:rPr>
        <w:t>五、磋商时间和地点</w:t>
      </w:r>
    </w:p>
    <w:p w14:paraId="69E0EB4C">
      <w:pPr>
        <w:spacing w:line="360" w:lineRule="auto"/>
        <w:ind w:firstLine="480" w:firstLineChars="200"/>
        <w:rPr>
          <w:rFonts w:ascii="宋体" w:hAnsi="宋体" w:cs="宋体"/>
          <w:sz w:val="24"/>
        </w:rPr>
      </w:pPr>
      <w:r>
        <w:rPr>
          <w:rFonts w:hint="eastAsia" w:ascii="宋体" w:hAnsi="宋体" w:cs="宋体"/>
          <w:sz w:val="24"/>
        </w:rPr>
        <w:t>1.响应文件递交截止时间及磋商时间：2025年05月14日09时00分。</w:t>
      </w:r>
    </w:p>
    <w:p w14:paraId="441CD490">
      <w:pPr>
        <w:spacing w:line="360" w:lineRule="auto"/>
        <w:ind w:firstLine="480" w:firstLineChars="200"/>
        <w:rPr>
          <w:rFonts w:ascii="宋体" w:hAnsi="宋体" w:cs="宋体"/>
          <w:sz w:val="24"/>
        </w:rPr>
      </w:pPr>
      <w:r>
        <w:rPr>
          <w:rFonts w:hint="eastAsia" w:ascii="宋体" w:hAnsi="宋体" w:cs="宋体"/>
          <w:sz w:val="24"/>
        </w:rPr>
        <w:t>2.磋商地点：灵宝市公共资源交易中心开标二室、评标三室（灵宝市信用合作联社 12 楼）。</w:t>
      </w:r>
    </w:p>
    <w:p w14:paraId="5D4E1032">
      <w:pPr>
        <w:spacing w:line="360" w:lineRule="auto"/>
        <w:ind w:firstLine="480" w:firstLineChars="200"/>
        <w:rPr>
          <w:rFonts w:ascii="宋体" w:hAnsi="宋体" w:cs="宋体"/>
          <w:sz w:val="24"/>
        </w:rPr>
      </w:pPr>
      <w:r>
        <w:rPr>
          <w:rFonts w:hint="eastAsia" w:ascii="宋体" w:hAnsi="宋体" w:cs="宋体"/>
          <w:sz w:val="24"/>
        </w:rPr>
        <w:t>3、开标时，供应商必须持 CA 密钥在规定时间内对本单位的加密电子响应文件进行远程解密。本次项目实行远程不见面开标。</w:t>
      </w:r>
    </w:p>
    <w:p w14:paraId="4F4EF964">
      <w:pPr>
        <w:spacing w:line="360" w:lineRule="auto"/>
        <w:ind w:firstLine="480" w:firstLineChars="200"/>
        <w:rPr>
          <w:rFonts w:ascii="宋体" w:hAnsi="宋体" w:cs="宋体"/>
          <w:sz w:val="24"/>
        </w:rPr>
      </w:pPr>
      <w:r>
        <w:rPr>
          <w:rFonts w:hint="eastAsia" w:ascii="宋体" w:hAnsi="宋体" w:cs="宋体"/>
          <w:sz w:val="24"/>
        </w:rPr>
        <w:t>六、磋商保证金</w:t>
      </w:r>
    </w:p>
    <w:p w14:paraId="5C370BDA">
      <w:pPr>
        <w:spacing w:line="360" w:lineRule="auto"/>
        <w:ind w:firstLine="480" w:firstLineChars="200"/>
        <w:rPr>
          <w:rFonts w:ascii="宋体" w:hAnsi="宋体" w:cs="宋体"/>
          <w:sz w:val="24"/>
        </w:rPr>
      </w:pPr>
      <w:r>
        <w:rPr>
          <w:rFonts w:hint="eastAsia" w:ascii="宋体" w:hAnsi="宋体" w:cs="宋体"/>
          <w:sz w:val="24"/>
        </w:rPr>
        <w:t>按照《河南省财政厅关于优化政府采购营商环境有关问题的通知》（豫财购[2019]4 号文）的要求本项目不再收取磋商保证金。</w:t>
      </w:r>
    </w:p>
    <w:p w14:paraId="1A461C23">
      <w:pPr>
        <w:spacing w:line="360" w:lineRule="auto"/>
        <w:ind w:firstLine="480" w:firstLineChars="200"/>
        <w:rPr>
          <w:rFonts w:ascii="宋体" w:hAnsi="宋体" w:cs="宋体"/>
          <w:sz w:val="24"/>
        </w:rPr>
      </w:pPr>
      <w:r>
        <w:rPr>
          <w:rFonts w:hint="eastAsia" w:ascii="宋体" w:hAnsi="宋体" w:cs="宋体"/>
          <w:sz w:val="24"/>
        </w:rPr>
        <w:t>七、其他事项</w:t>
      </w:r>
    </w:p>
    <w:p w14:paraId="673B6375">
      <w:pPr>
        <w:spacing w:line="360" w:lineRule="auto"/>
        <w:ind w:firstLine="480" w:firstLineChars="200"/>
        <w:rPr>
          <w:rFonts w:ascii="宋体" w:hAnsi="宋体" w:cs="宋体"/>
          <w:sz w:val="24"/>
        </w:rPr>
      </w:pPr>
      <w:r>
        <w:rPr>
          <w:rFonts w:hint="eastAsia" w:ascii="宋体" w:hAnsi="宋体" w:cs="宋体"/>
          <w:sz w:val="24"/>
        </w:rPr>
        <w:t>1. 本项目为不见面开标项目。开标当日，磋商供应商无需到开标现场参加开标会议，磋商供应商应当在投标截止时间前，登陆不见面开标大厅选择登陆三门峡市公共资源电子招投标系统进行登陆（网址http://120.194.249.36:10094/BidOpening/bidopeninghallaction/hall/login）,在线准时参加开标活动并进行响应文件解密等。每位磋商供应商的解密时间为开标时间起30分钟内完成。因供应商原因未能解密、解密失败或解密超时的将被拒绝。</w:t>
      </w:r>
    </w:p>
    <w:p w14:paraId="77FDEEC9">
      <w:pPr>
        <w:spacing w:line="360" w:lineRule="auto"/>
        <w:ind w:firstLine="480" w:firstLineChars="200"/>
        <w:rPr>
          <w:rFonts w:ascii="宋体" w:hAnsi="宋体" w:cs="宋体"/>
          <w:sz w:val="24"/>
        </w:rPr>
      </w:pPr>
      <w:r>
        <w:rPr>
          <w:rFonts w:hint="eastAsia" w:ascii="宋体" w:hAnsi="宋体" w:cs="宋体"/>
          <w:sz w:val="24"/>
        </w:rPr>
        <w:t>2.本项目为电子化、无纸化交易项目，开标时不再接受任何纸质资料，为保证您能投标成功，请需仔细阅读竞争性磋商文件和三门峡市公共资源交易中心官网业务办理指南。</w:t>
      </w:r>
    </w:p>
    <w:p w14:paraId="17103828">
      <w:pPr>
        <w:spacing w:line="360" w:lineRule="auto"/>
        <w:ind w:firstLine="480" w:firstLineChars="200"/>
        <w:rPr>
          <w:rFonts w:ascii="宋体" w:hAnsi="宋体" w:cs="宋体"/>
          <w:sz w:val="24"/>
        </w:rPr>
      </w:pPr>
      <w:r>
        <w:rPr>
          <w:rFonts w:hint="eastAsia" w:ascii="宋体" w:hAnsi="宋体" w:cs="宋体"/>
          <w:sz w:val="24"/>
        </w:rPr>
        <w:t>3.根据《河南省财政厅关于优化政府采购营商环境有关问题的通知》（豫财购【2019】4号）第6条的规定，磋商保证金不再收取。</w:t>
      </w:r>
    </w:p>
    <w:p w14:paraId="7A985F28">
      <w:pPr>
        <w:spacing w:line="360" w:lineRule="auto"/>
        <w:ind w:firstLine="480" w:firstLineChars="200"/>
        <w:rPr>
          <w:rFonts w:ascii="宋体" w:hAnsi="宋体" w:cs="宋体"/>
          <w:sz w:val="24"/>
        </w:rPr>
      </w:pPr>
      <w:r>
        <w:rPr>
          <w:rFonts w:hint="eastAsia" w:ascii="宋体" w:hAnsi="宋体" w:cs="宋体"/>
          <w:sz w:val="24"/>
        </w:rPr>
        <w:t>4.资格评审部分：资格评以响应文件为准，其上传资料真实性由供应商自行承担，同时，供应商要完善主体库。</w:t>
      </w:r>
    </w:p>
    <w:p w14:paraId="7BC09EAD">
      <w:pPr>
        <w:spacing w:line="360" w:lineRule="auto"/>
        <w:ind w:firstLine="480" w:firstLineChars="200"/>
        <w:rPr>
          <w:rFonts w:ascii="宋体" w:hAnsi="宋体" w:cs="宋体"/>
          <w:sz w:val="24"/>
        </w:rPr>
      </w:pPr>
      <w:r>
        <w:rPr>
          <w:rFonts w:hint="eastAsia" w:ascii="宋体" w:hAnsi="宋体" w:cs="宋体"/>
          <w:sz w:val="24"/>
        </w:rPr>
        <w:t>5.评标打分部分：评标打分部分仍按照100分制原则进行，涉及到资格审查、企业荣誉、企业业绩等计分部分时，以投标单位自行上传到磋商响应文件中的相应内容为准。</w:t>
      </w:r>
    </w:p>
    <w:p w14:paraId="23A46C29">
      <w:pPr>
        <w:spacing w:line="360" w:lineRule="auto"/>
        <w:ind w:firstLine="480" w:firstLineChars="200"/>
        <w:rPr>
          <w:rFonts w:ascii="宋体" w:hAnsi="宋体" w:cs="宋体"/>
          <w:sz w:val="24"/>
        </w:rPr>
      </w:pPr>
      <w:r>
        <w:rPr>
          <w:rFonts w:hint="eastAsia" w:ascii="宋体" w:hAnsi="宋体" w:cs="宋体"/>
          <w:sz w:val="24"/>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5670DE5D">
      <w:pPr>
        <w:spacing w:line="360" w:lineRule="auto"/>
        <w:ind w:firstLine="480" w:firstLineChars="200"/>
        <w:rPr>
          <w:rFonts w:ascii="宋体" w:hAnsi="宋体" w:cs="宋体"/>
          <w:sz w:val="24"/>
        </w:rPr>
      </w:pPr>
      <w:r>
        <w:rPr>
          <w:rFonts w:hint="eastAsia" w:ascii="宋体" w:hAnsi="宋体" w:cs="宋体"/>
          <w:sz w:val="24"/>
        </w:rPr>
        <w:t>7.我单位（采购人）严格按三财购【2021】9号文要求的时限发布中标结果公告，发出中标通知书，签订采购合同，上传采购合同。</w:t>
      </w:r>
    </w:p>
    <w:p w14:paraId="111F41E0">
      <w:pPr>
        <w:spacing w:line="360" w:lineRule="auto"/>
        <w:ind w:firstLine="480" w:firstLineChars="200"/>
        <w:rPr>
          <w:rFonts w:ascii="宋体" w:hAnsi="宋体" w:cs="宋体"/>
          <w:sz w:val="24"/>
        </w:rPr>
      </w:pPr>
      <w:r>
        <w:rPr>
          <w:rFonts w:hint="eastAsia" w:ascii="宋体" w:hAnsi="宋体" w:cs="宋体"/>
          <w:sz w:val="24"/>
        </w:rPr>
        <w:t>八、发布竞争性磋商公告的媒介</w:t>
      </w:r>
    </w:p>
    <w:p w14:paraId="4430D066">
      <w:pPr>
        <w:spacing w:line="360" w:lineRule="auto"/>
        <w:ind w:firstLine="480" w:firstLineChars="200"/>
        <w:rPr>
          <w:rFonts w:ascii="宋体" w:hAnsi="宋体" w:cs="宋体"/>
          <w:sz w:val="24"/>
        </w:rPr>
      </w:pPr>
      <w:r>
        <w:rPr>
          <w:rFonts w:hint="eastAsia" w:ascii="宋体" w:hAnsi="宋体" w:cs="宋体"/>
          <w:sz w:val="24"/>
        </w:rPr>
        <w:t>本次磋商公告同时在《河南省政府采购网》、《中国采购与招标网》、《三门峡市公共资源交易中心网》上发布。</w:t>
      </w:r>
    </w:p>
    <w:p w14:paraId="3CDEE46C">
      <w:pPr>
        <w:spacing w:line="360" w:lineRule="auto"/>
        <w:ind w:firstLine="480" w:firstLineChars="200"/>
        <w:rPr>
          <w:rFonts w:ascii="宋体" w:hAnsi="宋体" w:cs="宋体"/>
          <w:sz w:val="24"/>
        </w:rPr>
      </w:pPr>
      <w:r>
        <w:rPr>
          <w:rFonts w:hint="eastAsia" w:ascii="宋体" w:hAnsi="宋体" w:cs="宋体"/>
          <w:sz w:val="24"/>
        </w:rPr>
        <w:t>九、联系方式：</w:t>
      </w:r>
    </w:p>
    <w:p w14:paraId="72BF3D62">
      <w:pPr>
        <w:spacing w:line="360" w:lineRule="auto"/>
        <w:ind w:firstLine="480" w:firstLineChars="200"/>
        <w:rPr>
          <w:rFonts w:ascii="宋体" w:hAnsi="宋体" w:cs="宋体"/>
          <w:sz w:val="24"/>
        </w:rPr>
      </w:pPr>
      <w:r>
        <w:rPr>
          <w:rFonts w:hint="eastAsia" w:ascii="宋体" w:hAnsi="宋体" w:cs="宋体"/>
          <w:sz w:val="24"/>
        </w:rPr>
        <w:t>监督部门：灵宝市财政局政府采购监督管理科</w:t>
      </w:r>
    </w:p>
    <w:p w14:paraId="7657C0FF">
      <w:pPr>
        <w:spacing w:line="360" w:lineRule="auto"/>
        <w:ind w:firstLine="480" w:firstLineChars="200"/>
        <w:rPr>
          <w:rFonts w:ascii="宋体" w:hAnsi="宋体" w:cs="宋体"/>
          <w:sz w:val="24"/>
        </w:rPr>
      </w:pPr>
      <w:r>
        <w:rPr>
          <w:rFonts w:hint="eastAsia" w:ascii="宋体" w:hAnsi="宋体" w:cs="宋体"/>
          <w:sz w:val="24"/>
        </w:rPr>
        <w:t>联系电话：0398-8852670</w:t>
      </w:r>
    </w:p>
    <w:p w14:paraId="0948AE35">
      <w:pPr>
        <w:spacing w:line="360" w:lineRule="auto"/>
        <w:ind w:firstLine="480" w:firstLineChars="200"/>
        <w:rPr>
          <w:rFonts w:ascii="宋体" w:hAnsi="宋体" w:cs="宋体"/>
          <w:sz w:val="24"/>
        </w:rPr>
      </w:pPr>
      <w:r>
        <w:rPr>
          <w:rFonts w:hint="eastAsia" w:ascii="宋体" w:hAnsi="宋体" w:cs="宋体"/>
          <w:sz w:val="24"/>
        </w:rPr>
        <w:t>采购人：灵宝市应急管理局</w:t>
      </w:r>
    </w:p>
    <w:p w14:paraId="72E0D54C">
      <w:pPr>
        <w:spacing w:line="360" w:lineRule="auto"/>
        <w:ind w:firstLine="480" w:firstLineChars="200"/>
        <w:rPr>
          <w:rFonts w:ascii="宋体" w:hAnsi="宋体" w:cs="宋体"/>
          <w:sz w:val="24"/>
        </w:rPr>
      </w:pPr>
      <w:r>
        <w:rPr>
          <w:rFonts w:hint="eastAsia" w:ascii="宋体" w:hAnsi="宋体" w:cs="宋体"/>
          <w:sz w:val="24"/>
        </w:rPr>
        <w:t>地址：灵宝市新华路西段和黄河路交叉口</w:t>
      </w:r>
    </w:p>
    <w:p w14:paraId="3685E2B4">
      <w:pPr>
        <w:spacing w:line="360" w:lineRule="auto"/>
        <w:ind w:firstLine="480" w:firstLineChars="200"/>
        <w:rPr>
          <w:rFonts w:ascii="宋体" w:hAnsi="宋体" w:cs="宋体"/>
          <w:sz w:val="24"/>
        </w:rPr>
      </w:pPr>
      <w:r>
        <w:rPr>
          <w:rFonts w:hint="eastAsia" w:ascii="宋体" w:hAnsi="宋体" w:cs="宋体"/>
          <w:sz w:val="24"/>
        </w:rPr>
        <w:t>联系人：张</w:t>
      </w:r>
      <w:r>
        <w:rPr>
          <w:rFonts w:hint="eastAsia" w:ascii="宋体" w:hAnsi="宋体"/>
          <w:bCs/>
          <w:color w:val="000000"/>
          <w:sz w:val="24"/>
        </w:rPr>
        <w:t>先生</w:t>
      </w:r>
    </w:p>
    <w:p w14:paraId="2E7B5DA7">
      <w:pPr>
        <w:spacing w:line="360" w:lineRule="auto"/>
        <w:ind w:firstLine="480" w:firstLineChars="200"/>
        <w:rPr>
          <w:rFonts w:ascii="宋体" w:hAnsi="宋体" w:cs="宋体"/>
          <w:sz w:val="24"/>
        </w:rPr>
      </w:pPr>
      <w:r>
        <w:rPr>
          <w:rFonts w:hint="eastAsia" w:ascii="宋体" w:hAnsi="宋体" w:cs="宋体"/>
          <w:sz w:val="24"/>
        </w:rPr>
        <w:t>联系电话：13623986918</w:t>
      </w:r>
    </w:p>
    <w:p w14:paraId="450FDBE5">
      <w:pPr>
        <w:spacing w:line="360" w:lineRule="auto"/>
        <w:ind w:firstLine="480" w:firstLineChars="200"/>
        <w:rPr>
          <w:rFonts w:ascii="宋体" w:hAnsi="宋体" w:cs="宋体"/>
          <w:sz w:val="24"/>
        </w:rPr>
      </w:pPr>
      <w:r>
        <w:rPr>
          <w:rFonts w:hint="eastAsia" w:ascii="宋体" w:hAnsi="宋体" w:cs="宋体"/>
          <w:sz w:val="24"/>
        </w:rPr>
        <w:t>代理机构：中诚祥顺工程管理咨询有限公司</w:t>
      </w:r>
    </w:p>
    <w:p w14:paraId="2950FBE0">
      <w:pPr>
        <w:spacing w:line="360" w:lineRule="auto"/>
        <w:ind w:firstLine="480" w:firstLineChars="200"/>
        <w:rPr>
          <w:rFonts w:ascii="宋体" w:hAnsi="宋体" w:cs="宋体"/>
          <w:sz w:val="24"/>
        </w:rPr>
      </w:pPr>
      <w:r>
        <w:rPr>
          <w:rFonts w:hint="eastAsia" w:ascii="宋体" w:hAnsi="宋体" w:cs="宋体"/>
          <w:sz w:val="24"/>
        </w:rPr>
        <w:t>公司地址：洛阳市洛龙区太康东路369号B-7幢2-101</w:t>
      </w:r>
    </w:p>
    <w:p w14:paraId="2D136B41">
      <w:pPr>
        <w:spacing w:line="360" w:lineRule="auto"/>
        <w:ind w:firstLine="480" w:firstLineChars="200"/>
        <w:rPr>
          <w:rFonts w:ascii="宋体" w:hAnsi="宋体" w:cs="宋体"/>
          <w:sz w:val="24"/>
        </w:rPr>
      </w:pPr>
      <w:r>
        <w:rPr>
          <w:rFonts w:hint="eastAsia" w:ascii="宋体" w:hAnsi="宋体" w:cs="宋体"/>
          <w:sz w:val="24"/>
        </w:rPr>
        <w:t>联 系 人：梁先生</w:t>
      </w:r>
    </w:p>
    <w:p w14:paraId="5B0F9CB8">
      <w:pPr>
        <w:spacing w:line="360" w:lineRule="auto"/>
        <w:ind w:firstLine="480" w:firstLineChars="200"/>
        <w:rPr>
          <w:rFonts w:ascii="宋体" w:hAnsi="宋体" w:cs="宋体"/>
          <w:sz w:val="24"/>
        </w:rPr>
      </w:pPr>
      <w:r>
        <w:rPr>
          <w:rFonts w:hint="eastAsia" w:ascii="宋体" w:hAnsi="宋体" w:cs="宋体"/>
          <w:sz w:val="24"/>
        </w:rPr>
        <w:t>联系电话：15936875123</w:t>
      </w:r>
    </w:p>
    <w:p w14:paraId="4F573B66">
      <w:pPr>
        <w:spacing w:line="360" w:lineRule="auto"/>
        <w:ind w:firstLine="480" w:firstLineChars="200"/>
        <w:rPr>
          <w:rFonts w:ascii="宋体" w:hAnsi="宋体" w:cs="宋体"/>
          <w:sz w:val="24"/>
        </w:rPr>
      </w:pPr>
    </w:p>
    <w:p w14:paraId="0BB085CB">
      <w:pPr>
        <w:spacing w:line="360" w:lineRule="auto"/>
        <w:jc w:val="center"/>
        <w:outlineLvl w:val="0"/>
        <w:rPr>
          <w:rFonts w:ascii="黑体" w:hAnsi="黑体" w:eastAsia="黑体"/>
          <w:b/>
          <w:color w:val="000000"/>
          <w:sz w:val="36"/>
          <w:szCs w:val="36"/>
        </w:rPr>
      </w:pPr>
      <w:bookmarkStart w:id="18" w:name="_Toc17501"/>
      <w:bookmarkStart w:id="19" w:name="_Toc24901"/>
      <w:bookmarkStart w:id="20" w:name="_Toc218"/>
      <w:bookmarkStart w:id="21" w:name="_Toc99007040"/>
      <w:bookmarkStart w:id="22" w:name="_Toc57277877"/>
    </w:p>
    <w:p w14:paraId="0EB82C93">
      <w:pPr>
        <w:rPr>
          <w:rFonts w:ascii="黑体" w:hAnsi="黑体" w:eastAsia="黑体"/>
          <w:b/>
          <w:color w:val="000000"/>
          <w:sz w:val="36"/>
          <w:szCs w:val="36"/>
        </w:rPr>
      </w:pPr>
      <w:r>
        <w:rPr>
          <w:rFonts w:hint="eastAsia" w:ascii="黑体" w:hAnsi="黑体" w:eastAsia="黑体"/>
          <w:b/>
          <w:color w:val="000000"/>
          <w:sz w:val="36"/>
          <w:szCs w:val="36"/>
        </w:rPr>
        <w:br w:type="page"/>
      </w:r>
    </w:p>
    <w:p w14:paraId="119B6D45">
      <w:pPr>
        <w:spacing w:line="360" w:lineRule="auto"/>
        <w:jc w:val="center"/>
        <w:outlineLvl w:val="0"/>
        <w:rPr>
          <w:rFonts w:ascii="黑体" w:hAnsi="黑体" w:eastAsia="黑体"/>
          <w:b/>
          <w:color w:val="000000"/>
          <w:sz w:val="36"/>
          <w:szCs w:val="36"/>
        </w:rPr>
      </w:pPr>
      <w:r>
        <w:rPr>
          <w:rFonts w:hint="eastAsia" w:ascii="黑体" w:hAnsi="黑体" w:eastAsia="黑体"/>
          <w:b/>
          <w:color w:val="000000"/>
          <w:sz w:val="36"/>
          <w:szCs w:val="36"/>
        </w:rPr>
        <w:t>第二章  投标须知</w:t>
      </w:r>
      <w:bookmarkEnd w:id="13"/>
      <w:bookmarkEnd w:id="14"/>
      <w:bookmarkEnd w:id="15"/>
      <w:bookmarkEnd w:id="16"/>
      <w:bookmarkEnd w:id="17"/>
      <w:bookmarkEnd w:id="18"/>
      <w:bookmarkEnd w:id="19"/>
      <w:bookmarkEnd w:id="20"/>
      <w:bookmarkEnd w:id="21"/>
      <w:bookmarkEnd w:id="22"/>
    </w:p>
    <w:p w14:paraId="017EBB06">
      <w:pPr>
        <w:spacing w:line="360" w:lineRule="auto"/>
        <w:jc w:val="center"/>
        <w:rPr>
          <w:rFonts w:ascii="宋体" w:hAnsi="宋体" w:cs="宋体"/>
          <w:b/>
          <w:bCs/>
          <w:color w:val="000000"/>
          <w:kern w:val="10"/>
          <w:sz w:val="28"/>
          <w:szCs w:val="28"/>
        </w:rPr>
      </w:pPr>
      <w:bookmarkStart w:id="23" w:name="_Toc99007041"/>
      <w:bookmarkStart w:id="24" w:name="_Toc5159"/>
      <w:bookmarkStart w:id="25" w:name="_Toc516499645"/>
      <w:bookmarkStart w:id="26" w:name="_Toc57277878"/>
      <w:bookmarkStart w:id="27" w:name="_Toc24144"/>
      <w:r>
        <w:rPr>
          <w:rFonts w:hint="eastAsia" w:ascii="宋体" w:hAnsi="宋体" w:cs="宋体"/>
          <w:b/>
          <w:bCs/>
          <w:color w:val="000000"/>
          <w:kern w:val="10"/>
          <w:sz w:val="28"/>
          <w:szCs w:val="28"/>
        </w:rPr>
        <w:t>投标人须知前附表</w:t>
      </w:r>
      <w:bookmarkEnd w:id="23"/>
      <w:bookmarkEnd w:id="24"/>
      <w:bookmarkEnd w:id="25"/>
      <w:bookmarkEnd w:id="26"/>
      <w:bookmarkEnd w:id="27"/>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719"/>
        <w:gridCol w:w="5714"/>
      </w:tblGrid>
      <w:tr w14:paraId="58E3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51A2F98F">
            <w:pPr>
              <w:spacing w:line="360" w:lineRule="auto"/>
              <w:jc w:val="center"/>
              <w:rPr>
                <w:rFonts w:ascii="宋体" w:hAnsi="宋体" w:cs="宋体"/>
                <w:color w:val="000000"/>
                <w:kern w:val="10"/>
                <w:sz w:val="24"/>
              </w:rPr>
            </w:pPr>
            <w:r>
              <w:rPr>
                <w:rFonts w:hint="eastAsia" w:ascii="宋体" w:hAnsi="宋体" w:cs="宋体"/>
                <w:color w:val="000000"/>
                <w:kern w:val="10"/>
                <w:sz w:val="24"/>
              </w:rPr>
              <w:t>序号</w:t>
            </w:r>
          </w:p>
        </w:tc>
        <w:tc>
          <w:tcPr>
            <w:tcW w:w="2719" w:type="dxa"/>
            <w:vAlign w:val="center"/>
          </w:tcPr>
          <w:p w14:paraId="55EFAF7D">
            <w:pPr>
              <w:spacing w:line="360" w:lineRule="auto"/>
              <w:jc w:val="center"/>
              <w:rPr>
                <w:rFonts w:ascii="宋体" w:hAnsi="宋体" w:cs="宋体"/>
                <w:color w:val="000000"/>
                <w:kern w:val="10"/>
                <w:sz w:val="24"/>
              </w:rPr>
            </w:pPr>
            <w:r>
              <w:rPr>
                <w:rFonts w:hint="eastAsia" w:ascii="宋体" w:hAnsi="宋体" w:cs="宋体"/>
                <w:color w:val="000000"/>
                <w:kern w:val="10"/>
                <w:sz w:val="24"/>
              </w:rPr>
              <w:t>条 款 名 称</w:t>
            </w:r>
          </w:p>
        </w:tc>
        <w:tc>
          <w:tcPr>
            <w:tcW w:w="5714" w:type="dxa"/>
            <w:vAlign w:val="center"/>
          </w:tcPr>
          <w:p w14:paraId="0DE02608">
            <w:pPr>
              <w:spacing w:line="360" w:lineRule="auto"/>
              <w:jc w:val="center"/>
              <w:rPr>
                <w:rFonts w:ascii="宋体" w:hAnsi="宋体" w:cs="宋体"/>
                <w:color w:val="000000"/>
                <w:kern w:val="10"/>
                <w:sz w:val="24"/>
              </w:rPr>
            </w:pPr>
            <w:r>
              <w:rPr>
                <w:rFonts w:hint="eastAsia" w:ascii="宋体" w:hAnsi="宋体" w:cs="宋体"/>
                <w:color w:val="000000"/>
                <w:kern w:val="10"/>
                <w:sz w:val="24"/>
              </w:rPr>
              <w:t>编  列  内  容</w:t>
            </w:r>
          </w:p>
        </w:tc>
      </w:tr>
      <w:tr w14:paraId="6A1E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86C4A90">
            <w:pPr>
              <w:numPr>
                <w:ilvl w:val="0"/>
                <w:numId w:val="1"/>
              </w:numPr>
              <w:spacing w:line="360" w:lineRule="auto"/>
              <w:jc w:val="center"/>
              <w:rPr>
                <w:rFonts w:ascii="宋体" w:hAnsi="宋体" w:cs="宋体"/>
                <w:color w:val="000000"/>
                <w:kern w:val="10"/>
                <w:sz w:val="24"/>
              </w:rPr>
            </w:pPr>
          </w:p>
        </w:tc>
        <w:tc>
          <w:tcPr>
            <w:tcW w:w="2719" w:type="dxa"/>
            <w:vAlign w:val="center"/>
          </w:tcPr>
          <w:p w14:paraId="001E6193">
            <w:pPr>
              <w:spacing w:line="360" w:lineRule="auto"/>
              <w:jc w:val="center"/>
              <w:rPr>
                <w:rFonts w:ascii="宋体" w:hAnsi="宋体" w:cs="宋体"/>
                <w:color w:val="000000"/>
                <w:kern w:val="10"/>
                <w:sz w:val="24"/>
              </w:rPr>
            </w:pPr>
            <w:r>
              <w:rPr>
                <w:rFonts w:hint="eastAsia" w:ascii="宋体" w:hAnsi="宋体" w:cs="宋体"/>
                <w:color w:val="000000"/>
                <w:kern w:val="10"/>
                <w:sz w:val="24"/>
              </w:rPr>
              <w:t>采购人</w:t>
            </w:r>
          </w:p>
        </w:tc>
        <w:tc>
          <w:tcPr>
            <w:tcW w:w="5714" w:type="dxa"/>
            <w:vAlign w:val="center"/>
          </w:tcPr>
          <w:p w14:paraId="4B91DCDB">
            <w:pPr>
              <w:spacing w:line="360" w:lineRule="auto"/>
              <w:rPr>
                <w:rFonts w:ascii="宋体" w:hAnsi="宋体"/>
                <w:bCs/>
                <w:color w:val="000000"/>
                <w:sz w:val="24"/>
              </w:rPr>
            </w:pPr>
            <w:r>
              <w:rPr>
                <w:rFonts w:hint="eastAsia" w:ascii="宋体" w:hAnsi="宋体"/>
                <w:bCs/>
                <w:color w:val="000000"/>
                <w:sz w:val="24"/>
              </w:rPr>
              <w:t>采购人：灵宝市应急管理局</w:t>
            </w:r>
          </w:p>
          <w:p w14:paraId="24C148F2">
            <w:pPr>
              <w:spacing w:line="360" w:lineRule="auto"/>
              <w:rPr>
                <w:rFonts w:ascii="宋体" w:hAnsi="宋体"/>
                <w:bCs/>
                <w:color w:val="000000"/>
                <w:sz w:val="24"/>
              </w:rPr>
            </w:pPr>
            <w:r>
              <w:rPr>
                <w:rFonts w:hint="eastAsia" w:ascii="宋体" w:hAnsi="宋体"/>
                <w:bCs/>
                <w:color w:val="000000"/>
                <w:sz w:val="24"/>
              </w:rPr>
              <w:t>地址：灵宝市新华路西段和黄河路交叉口</w:t>
            </w:r>
          </w:p>
          <w:p w14:paraId="183A824C">
            <w:pPr>
              <w:spacing w:line="360" w:lineRule="auto"/>
              <w:rPr>
                <w:rFonts w:ascii="宋体" w:hAnsi="宋体"/>
                <w:bCs/>
                <w:color w:val="000000"/>
                <w:sz w:val="24"/>
              </w:rPr>
            </w:pPr>
            <w:r>
              <w:rPr>
                <w:rFonts w:hint="eastAsia" w:ascii="宋体" w:hAnsi="宋体"/>
                <w:bCs/>
                <w:color w:val="000000"/>
                <w:sz w:val="24"/>
              </w:rPr>
              <w:t>联系人：张先生</w:t>
            </w:r>
          </w:p>
          <w:p w14:paraId="26BE0A8D">
            <w:pPr>
              <w:spacing w:line="360" w:lineRule="auto"/>
              <w:rPr>
                <w:rFonts w:ascii="宋体" w:hAnsi="宋体"/>
                <w:bCs/>
                <w:color w:val="000000"/>
                <w:sz w:val="24"/>
              </w:rPr>
            </w:pPr>
            <w:r>
              <w:rPr>
                <w:rFonts w:hint="eastAsia" w:ascii="宋体" w:hAnsi="宋体"/>
                <w:bCs/>
                <w:color w:val="000000"/>
                <w:sz w:val="24"/>
              </w:rPr>
              <w:t>联系电话：13623986918</w:t>
            </w:r>
          </w:p>
        </w:tc>
      </w:tr>
      <w:tr w14:paraId="39B8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14289DC">
            <w:pPr>
              <w:numPr>
                <w:ilvl w:val="0"/>
                <w:numId w:val="1"/>
              </w:numPr>
              <w:spacing w:line="360" w:lineRule="auto"/>
              <w:jc w:val="center"/>
              <w:rPr>
                <w:rFonts w:ascii="宋体" w:hAnsi="宋体" w:cs="宋体"/>
                <w:color w:val="000000"/>
                <w:kern w:val="10"/>
                <w:sz w:val="24"/>
              </w:rPr>
            </w:pPr>
          </w:p>
        </w:tc>
        <w:tc>
          <w:tcPr>
            <w:tcW w:w="2719" w:type="dxa"/>
            <w:vAlign w:val="center"/>
          </w:tcPr>
          <w:p w14:paraId="7DFF8AD3">
            <w:pPr>
              <w:spacing w:line="360" w:lineRule="auto"/>
              <w:jc w:val="center"/>
              <w:rPr>
                <w:rFonts w:ascii="宋体" w:hAnsi="宋体" w:cs="宋体"/>
                <w:color w:val="000000"/>
                <w:kern w:val="10"/>
                <w:sz w:val="24"/>
              </w:rPr>
            </w:pPr>
            <w:r>
              <w:rPr>
                <w:rFonts w:hint="eastAsia" w:ascii="宋体" w:hAnsi="宋体" w:cs="宋体"/>
                <w:color w:val="000000"/>
                <w:kern w:val="10"/>
                <w:sz w:val="24"/>
              </w:rPr>
              <w:t>代理机构</w:t>
            </w:r>
          </w:p>
        </w:tc>
        <w:tc>
          <w:tcPr>
            <w:tcW w:w="5714" w:type="dxa"/>
            <w:vAlign w:val="center"/>
          </w:tcPr>
          <w:p w14:paraId="5F4D1524">
            <w:pPr>
              <w:spacing w:line="360" w:lineRule="auto"/>
              <w:rPr>
                <w:rFonts w:ascii="宋体" w:hAnsi="宋体"/>
                <w:color w:val="000000"/>
                <w:sz w:val="24"/>
              </w:rPr>
            </w:pPr>
            <w:r>
              <w:rPr>
                <w:rFonts w:hint="eastAsia" w:ascii="宋体" w:hAnsi="宋体"/>
                <w:color w:val="000000"/>
                <w:sz w:val="24"/>
              </w:rPr>
              <w:t>代理机构：中诚祥顺工程管理咨询有限公司</w:t>
            </w:r>
          </w:p>
          <w:p w14:paraId="6DDBA94A">
            <w:pPr>
              <w:spacing w:line="360" w:lineRule="auto"/>
              <w:rPr>
                <w:rFonts w:ascii="宋体" w:hAnsi="宋体"/>
                <w:color w:val="000000"/>
                <w:sz w:val="24"/>
              </w:rPr>
            </w:pPr>
            <w:r>
              <w:rPr>
                <w:rFonts w:hint="eastAsia" w:ascii="宋体" w:hAnsi="宋体"/>
                <w:color w:val="000000"/>
                <w:sz w:val="24"/>
              </w:rPr>
              <w:t>公司地址：洛阳市洛龙区太康东路369号B-7幢2-101</w:t>
            </w:r>
          </w:p>
          <w:p w14:paraId="739A12C2">
            <w:pPr>
              <w:spacing w:line="360" w:lineRule="auto"/>
              <w:rPr>
                <w:rFonts w:ascii="宋体" w:hAnsi="宋体"/>
                <w:color w:val="000000"/>
                <w:sz w:val="24"/>
              </w:rPr>
            </w:pPr>
            <w:r>
              <w:rPr>
                <w:rFonts w:hint="eastAsia" w:ascii="宋体" w:hAnsi="宋体"/>
                <w:color w:val="000000"/>
                <w:sz w:val="24"/>
              </w:rPr>
              <w:t>联 系 人：梁先生</w:t>
            </w:r>
          </w:p>
          <w:p w14:paraId="63CCA35D">
            <w:pPr>
              <w:spacing w:line="360" w:lineRule="auto"/>
              <w:rPr>
                <w:rFonts w:ascii="宋体" w:hAnsi="宋体"/>
                <w:color w:val="000000"/>
                <w:sz w:val="24"/>
                <w:u w:val="single"/>
              </w:rPr>
            </w:pPr>
            <w:r>
              <w:rPr>
                <w:rFonts w:hint="eastAsia" w:ascii="宋体" w:hAnsi="宋体"/>
                <w:color w:val="000000"/>
                <w:sz w:val="24"/>
              </w:rPr>
              <w:t>联系电话：15936875123</w:t>
            </w:r>
          </w:p>
        </w:tc>
      </w:tr>
      <w:tr w14:paraId="5FCE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61D29AD">
            <w:pPr>
              <w:numPr>
                <w:ilvl w:val="0"/>
                <w:numId w:val="1"/>
              </w:numPr>
              <w:spacing w:line="360" w:lineRule="auto"/>
              <w:jc w:val="center"/>
              <w:rPr>
                <w:rFonts w:ascii="宋体" w:hAnsi="宋体" w:cs="宋体"/>
                <w:color w:val="000000"/>
                <w:kern w:val="10"/>
                <w:sz w:val="24"/>
              </w:rPr>
            </w:pPr>
          </w:p>
        </w:tc>
        <w:tc>
          <w:tcPr>
            <w:tcW w:w="2719" w:type="dxa"/>
            <w:vAlign w:val="center"/>
          </w:tcPr>
          <w:p w14:paraId="2D795436">
            <w:pPr>
              <w:spacing w:line="360" w:lineRule="auto"/>
              <w:jc w:val="center"/>
              <w:rPr>
                <w:rFonts w:ascii="宋体" w:hAnsi="宋体" w:cs="宋体"/>
                <w:color w:val="000000"/>
                <w:kern w:val="10"/>
                <w:sz w:val="24"/>
              </w:rPr>
            </w:pPr>
            <w:r>
              <w:rPr>
                <w:rFonts w:hint="eastAsia" w:ascii="宋体" w:hAnsi="宋体" w:cs="宋体"/>
                <w:color w:val="000000"/>
                <w:kern w:val="10"/>
                <w:sz w:val="24"/>
              </w:rPr>
              <w:t>项目名称</w:t>
            </w:r>
          </w:p>
        </w:tc>
        <w:tc>
          <w:tcPr>
            <w:tcW w:w="5714" w:type="dxa"/>
            <w:vAlign w:val="center"/>
          </w:tcPr>
          <w:p w14:paraId="74B4A8E2">
            <w:pPr>
              <w:spacing w:line="360" w:lineRule="auto"/>
              <w:rPr>
                <w:rFonts w:ascii="宋体" w:hAnsi="宋体" w:cs="宋体"/>
                <w:color w:val="000000"/>
                <w:kern w:val="10"/>
                <w:sz w:val="24"/>
              </w:rPr>
            </w:pPr>
            <w:r>
              <w:rPr>
                <w:rFonts w:hint="eastAsia" w:ascii="宋体" w:hAnsi="宋体" w:cs="宋体"/>
                <w:sz w:val="24"/>
              </w:rPr>
              <w:t>灵宝市应急管理局森林防灭火装备购置项目</w:t>
            </w:r>
          </w:p>
        </w:tc>
      </w:tr>
      <w:tr w14:paraId="3AA9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6" w:type="dxa"/>
            <w:vAlign w:val="center"/>
          </w:tcPr>
          <w:p w14:paraId="31428C4A">
            <w:pPr>
              <w:numPr>
                <w:ilvl w:val="0"/>
                <w:numId w:val="1"/>
              </w:numPr>
              <w:spacing w:line="360" w:lineRule="auto"/>
              <w:jc w:val="center"/>
              <w:rPr>
                <w:rFonts w:ascii="宋体" w:hAnsi="宋体" w:cs="宋体"/>
                <w:color w:val="000000"/>
                <w:kern w:val="10"/>
                <w:sz w:val="24"/>
              </w:rPr>
            </w:pPr>
          </w:p>
        </w:tc>
        <w:tc>
          <w:tcPr>
            <w:tcW w:w="2719" w:type="dxa"/>
            <w:vAlign w:val="center"/>
          </w:tcPr>
          <w:p w14:paraId="5182199E">
            <w:pPr>
              <w:spacing w:line="360" w:lineRule="auto"/>
              <w:jc w:val="center"/>
              <w:rPr>
                <w:rFonts w:ascii="宋体" w:hAnsi="宋体" w:cs="宋体"/>
                <w:color w:val="000000"/>
                <w:kern w:val="10"/>
                <w:sz w:val="24"/>
              </w:rPr>
            </w:pPr>
            <w:r>
              <w:rPr>
                <w:rFonts w:hint="eastAsia" w:ascii="宋体" w:hAnsi="宋体" w:cs="宋体"/>
                <w:color w:val="000000"/>
                <w:kern w:val="10"/>
                <w:sz w:val="24"/>
              </w:rPr>
              <w:t>资金来源</w:t>
            </w:r>
          </w:p>
        </w:tc>
        <w:tc>
          <w:tcPr>
            <w:tcW w:w="5714" w:type="dxa"/>
            <w:vAlign w:val="center"/>
          </w:tcPr>
          <w:p w14:paraId="4AB4A0AC">
            <w:pPr>
              <w:spacing w:line="360" w:lineRule="auto"/>
              <w:rPr>
                <w:rFonts w:ascii="宋体" w:hAnsi="宋体" w:cs="宋体"/>
                <w:color w:val="000000"/>
                <w:kern w:val="10"/>
                <w:sz w:val="24"/>
              </w:rPr>
            </w:pPr>
            <w:r>
              <w:rPr>
                <w:rFonts w:hint="eastAsia" w:cs="楷体"/>
                <w:sz w:val="24"/>
              </w:rPr>
              <w:t>财政资金</w:t>
            </w:r>
          </w:p>
        </w:tc>
      </w:tr>
      <w:tr w14:paraId="47F8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4BA7EF8">
            <w:pPr>
              <w:numPr>
                <w:ilvl w:val="0"/>
                <w:numId w:val="1"/>
              </w:numPr>
              <w:spacing w:line="360" w:lineRule="auto"/>
              <w:jc w:val="center"/>
              <w:rPr>
                <w:rFonts w:ascii="宋体" w:hAnsi="宋体" w:cs="宋体"/>
                <w:color w:val="000000"/>
                <w:kern w:val="10"/>
                <w:sz w:val="24"/>
              </w:rPr>
            </w:pPr>
          </w:p>
        </w:tc>
        <w:tc>
          <w:tcPr>
            <w:tcW w:w="2719" w:type="dxa"/>
            <w:vAlign w:val="center"/>
          </w:tcPr>
          <w:p w14:paraId="1E9E3128">
            <w:pPr>
              <w:spacing w:line="360" w:lineRule="auto"/>
              <w:jc w:val="center"/>
              <w:rPr>
                <w:rFonts w:ascii="宋体" w:hAnsi="宋体" w:cs="宋体"/>
                <w:color w:val="000000"/>
                <w:kern w:val="10"/>
                <w:sz w:val="24"/>
              </w:rPr>
            </w:pPr>
            <w:r>
              <w:rPr>
                <w:rFonts w:hint="eastAsia" w:ascii="宋体" w:hAnsi="宋体" w:cs="宋体"/>
                <w:color w:val="000000"/>
                <w:kern w:val="10"/>
                <w:sz w:val="24"/>
              </w:rPr>
              <w:t>出资比例</w:t>
            </w:r>
          </w:p>
        </w:tc>
        <w:tc>
          <w:tcPr>
            <w:tcW w:w="5714" w:type="dxa"/>
            <w:vAlign w:val="center"/>
          </w:tcPr>
          <w:p w14:paraId="2797A4FA">
            <w:pPr>
              <w:spacing w:line="360" w:lineRule="auto"/>
              <w:rPr>
                <w:rFonts w:cs="楷体"/>
                <w:sz w:val="24"/>
              </w:rPr>
            </w:pPr>
            <w:r>
              <w:rPr>
                <w:rFonts w:hint="eastAsia" w:cs="楷体"/>
                <w:sz w:val="24"/>
              </w:rPr>
              <w:t>100%</w:t>
            </w:r>
          </w:p>
        </w:tc>
      </w:tr>
      <w:tr w14:paraId="1DB5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ADFC15F">
            <w:pPr>
              <w:numPr>
                <w:ilvl w:val="0"/>
                <w:numId w:val="1"/>
              </w:numPr>
              <w:spacing w:line="360" w:lineRule="auto"/>
              <w:jc w:val="center"/>
              <w:rPr>
                <w:rFonts w:ascii="宋体" w:hAnsi="宋体" w:cs="宋体"/>
                <w:color w:val="000000"/>
                <w:kern w:val="10"/>
                <w:sz w:val="24"/>
              </w:rPr>
            </w:pPr>
          </w:p>
        </w:tc>
        <w:tc>
          <w:tcPr>
            <w:tcW w:w="2719" w:type="dxa"/>
            <w:vAlign w:val="center"/>
          </w:tcPr>
          <w:p w14:paraId="07F0DD12">
            <w:pPr>
              <w:spacing w:line="360" w:lineRule="auto"/>
              <w:jc w:val="center"/>
              <w:rPr>
                <w:rFonts w:ascii="宋体" w:hAnsi="宋体" w:cs="宋体"/>
                <w:color w:val="000000"/>
                <w:kern w:val="10"/>
                <w:sz w:val="24"/>
              </w:rPr>
            </w:pPr>
            <w:r>
              <w:rPr>
                <w:rFonts w:hint="eastAsia" w:ascii="宋体" w:hAnsi="宋体" w:cs="宋体"/>
                <w:color w:val="000000"/>
                <w:kern w:val="10"/>
                <w:sz w:val="24"/>
              </w:rPr>
              <w:t>资金落实情况</w:t>
            </w:r>
          </w:p>
        </w:tc>
        <w:tc>
          <w:tcPr>
            <w:tcW w:w="5714" w:type="dxa"/>
            <w:vAlign w:val="center"/>
          </w:tcPr>
          <w:p w14:paraId="22C92B07">
            <w:pPr>
              <w:spacing w:line="360" w:lineRule="auto"/>
              <w:rPr>
                <w:rFonts w:ascii="宋体" w:hAnsi="宋体" w:cs="宋体"/>
                <w:color w:val="000000"/>
                <w:kern w:val="10"/>
                <w:sz w:val="24"/>
              </w:rPr>
            </w:pPr>
            <w:r>
              <w:rPr>
                <w:rFonts w:hint="eastAsia" w:ascii="宋体" w:hAnsi="宋体" w:cs="宋体"/>
                <w:color w:val="000000"/>
                <w:kern w:val="10"/>
                <w:sz w:val="24"/>
              </w:rPr>
              <w:t>已落实</w:t>
            </w:r>
          </w:p>
        </w:tc>
      </w:tr>
      <w:tr w14:paraId="4507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D6EB5AA">
            <w:pPr>
              <w:numPr>
                <w:ilvl w:val="0"/>
                <w:numId w:val="1"/>
              </w:numPr>
              <w:spacing w:line="360" w:lineRule="auto"/>
              <w:jc w:val="center"/>
              <w:rPr>
                <w:rFonts w:ascii="宋体" w:hAnsi="宋体" w:cs="宋体"/>
                <w:color w:val="000000"/>
                <w:kern w:val="10"/>
                <w:sz w:val="24"/>
              </w:rPr>
            </w:pPr>
          </w:p>
        </w:tc>
        <w:tc>
          <w:tcPr>
            <w:tcW w:w="2719" w:type="dxa"/>
            <w:vAlign w:val="center"/>
          </w:tcPr>
          <w:p w14:paraId="3AE53269">
            <w:pPr>
              <w:spacing w:line="360" w:lineRule="auto"/>
              <w:jc w:val="center"/>
              <w:rPr>
                <w:rFonts w:ascii="宋体" w:hAnsi="宋体" w:cs="宋体"/>
                <w:color w:val="000000"/>
                <w:kern w:val="10"/>
                <w:sz w:val="24"/>
              </w:rPr>
            </w:pPr>
            <w:r>
              <w:rPr>
                <w:rFonts w:hint="eastAsia" w:ascii="宋体" w:hAnsi="宋体" w:cs="宋体"/>
                <w:sz w:val="24"/>
              </w:rPr>
              <w:t>采购内容</w:t>
            </w:r>
          </w:p>
        </w:tc>
        <w:tc>
          <w:tcPr>
            <w:tcW w:w="5714" w:type="dxa"/>
            <w:vAlign w:val="center"/>
          </w:tcPr>
          <w:p w14:paraId="3448DFF9">
            <w:pPr>
              <w:spacing w:line="360" w:lineRule="auto"/>
              <w:rPr>
                <w:rFonts w:ascii="宋体" w:hAnsi="宋体"/>
                <w:color w:val="000000"/>
                <w:sz w:val="24"/>
                <w:szCs w:val="20"/>
              </w:rPr>
            </w:pPr>
            <w:r>
              <w:rPr>
                <w:rFonts w:hint="eastAsia" w:ascii="宋体" w:hAnsi="宋体"/>
                <w:color w:val="000000"/>
                <w:sz w:val="24"/>
                <w:szCs w:val="20"/>
              </w:rPr>
              <w:t>灵宝市应急管理局森林防灭火装备购置项目，采购1台指挥侦查无人机、5台植保无人机、1台卫星便携站，1台指挥通信箱。（具体内容详见磋商文件）；</w:t>
            </w:r>
          </w:p>
        </w:tc>
      </w:tr>
      <w:tr w14:paraId="54D9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495314D">
            <w:pPr>
              <w:numPr>
                <w:ilvl w:val="0"/>
                <w:numId w:val="1"/>
              </w:numPr>
              <w:spacing w:line="360" w:lineRule="auto"/>
              <w:jc w:val="center"/>
              <w:rPr>
                <w:rFonts w:ascii="宋体" w:hAnsi="宋体" w:cs="宋体"/>
                <w:color w:val="000000"/>
                <w:kern w:val="10"/>
                <w:sz w:val="24"/>
              </w:rPr>
            </w:pPr>
          </w:p>
        </w:tc>
        <w:tc>
          <w:tcPr>
            <w:tcW w:w="2719" w:type="dxa"/>
            <w:vAlign w:val="center"/>
          </w:tcPr>
          <w:p w14:paraId="6E80FEAA">
            <w:pPr>
              <w:spacing w:line="360" w:lineRule="auto"/>
              <w:jc w:val="center"/>
              <w:rPr>
                <w:rFonts w:ascii="宋体" w:hAnsi="宋体" w:cs="宋体"/>
                <w:color w:val="000000"/>
                <w:kern w:val="10"/>
                <w:sz w:val="24"/>
              </w:rPr>
            </w:pPr>
            <w:r>
              <w:rPr>
                <w:rFonts w:hint="eastAsia" w:cs="楷体"/>
                <w:sz w:val="24"/>
              </w:rPr>
              <w:t>交货期</w:t>
            </w:r>
          </w:p>
        </w:tc>
        <w:tc>
          <w:tcPr>
            <w:tcW w:w="5714" w:type="dxa"/>
            <w:vAlign w:val="center"/>
          </w:tcPr>
          <w:p w14:paraId="75993CB7">
            <w:pPr>
              <w:spacing w:line="360" w:lineRule="auto"/>
              <w:rPr>
                <w:rFonts w:ascii="宋体" w:hAnsi="宋体"/>
                <w:color w:val="000000"/>
                <w:sz w:val="24"/>
                <w:szCs w:val="20"/>
              </w:rPr>
            </w:pPr>
            <w:r>
              <w:rPr>
                <w:rFonts w:hint="eastAsia" w:ascii="宋体" w:hAnsi="宋体" w:cs="宋体"/>
                <w:sz w:val="24"/>
              </w:rPr>
              <w:t>合同签订后5天内完成</w:t>
            </w:r>
          </w:p>
        </w:tc>
      </w:tr>
      <w:tr w14:paraId="4038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CE4126E">
            <w:pPr>
              <w:numPr>
                <w:ilvl w:val="0"/>
                <w:numId w:val="1"/>
              </w:numPr>
              <w:spacing w:line="360" w:lineRule="auto"/>
              <w:jc w:val="center"/>
              <w:rPr>
                <w:rFonts w:ascii="宋体" w:hAnsi="宋体" w:cs="宋体"/>
                <w:color w:val="000000"/>
                <w:kern w:val="10"/>
                <w:sz w:val="24"/>
              </w:rPr>
            </w:pPr>
          </w:p>
        </w:tc>
        <w:tc>
          <w:tcPr>
            <w:tcW w:w="2719" w:type="dxa"/>
            <w:vAlign w:val="center"/>
          </w:tcPr>
          <w:p w14:paraId="06F843B9">
            <w:pPr>
              <w:spacing w:line="360" w:lineRule="auto"/>
              <w:jc w:val="center"/>
              <w:rPr>
                <w:rFonts w:cs="楷体"/>
                <w:sz w:val="24"/>
              </w:rPr>
            </w:pPr>
            <w:r>
              <w:rPr>
                <w:rFonts w:hint="eastAsia" w:cs="楷体"/>
                <w:sz w:val="24"/>
              </w:rPr>
              <w:t>质保期</w:t>
            </w:r>
          </w:p>
        </w:tc>
        <w:tc>
          <w:tcPr>
            <w:tcW w:w="5714" w:type="dxa"/>
            <w:vAlign w:val="center"/>
          </w:tcPr>
          <w:p w14:paraId="51BC224C">
            <w:pPr>
              <w:spacing w:line="360" w:lineRule="auto"/>
              <w:rPr>
                <w:rFonts w:ascii="宋体" w:hAnsi="宋体"/>
                <w:color w:val="000000"/>
                <w:sz w:val="24"/>
                <w:szCs w:val="20"/>
              </w:rPr>
            </w:pPr>
            <w:r>
              <w:rPr>
                <w:rFonts w:hint="eastAsia" w:ascii="宋体" w:hAnsi="宋体"/>
                <w:color w:val="000000"/>
                <w:sz w:val="24"/>
                <w:szCs w:val="20"/>
              </w:rPr>
              <w:t>质保期自验收合格之日起1年</w:t>
            </w:r>
          </w:p>
        </w:tc>
      </w:tr>
      <w:tr w14:paraId="1540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1D97180">
            <w:pPr>
              <w:numPr>
                <w:ilvl w:val="0"/>
                <w:numId w:val="1"/>
              </w:numPr>
              <w:spacing w:line="360" w:lineRule="auto"/>
              <w:jc w:val="center"/>
              <w:rPr>
                <w:rFonts w:ascii="宋体" w:hAnsi="宋体" w:cs="宋体"/>
                <w:color w:val="000000"/>
                <w:kern w:val="10"/>
                <w:sz w:val="24"/>
              </w:rPr>
            </w:pPr>
          </w:p>
        </w:tc>
        <w:tc>
          <w:tcPr>
            <w:tcW w:w="2719" w:type="dxa"/>
            <w:vAlign w:val="center"/>
          </w:tcPr>
          <w:p w14:paraId="6A25D32F">
            <w:pPr>
              <w:spacing w:line="360" w:lineRule="auto"/>
              <w:jc w:val="center"/>
              <w:rPr>
                <w:rFonts w:cs="楷体"/>
                <w:sz w:val="24"/>
              </w:rPr>
            </w:pPr>
            <w:r>
              <w:rPr>
                <w:rFonts w:hint="eastAsia" w:ascii="宋体" w:hAnsi="宋体" w:cs="宋体"/>
                <w:sz w:val="24"/>
              </w:rPr>
              <w:t>质量要求</w:t>
            </w:r>
          </w:p>
        </w:tc>
        <w:tc>
          <w:tcPr>
            <w:tcW w:w="5714" w:type="dxa"/>
            <w:vAlign w:val="center"/>
          </w:tcPr>
          <w:p w14:paraId="1B7098D4">
            <w:pPr>
              <w:spacing w:line="360" w:lineRule="auto"/>
              <w:rPr>
                <w:rFonts w:ascii="宋体" w:hAnsi="宋体"/>
                <w:color w:val="000000"/>
                <w:sz w:val="24"/>
                <w:szCs w:val="20"/>
              </w:rPr>
            </w:pPr>
            <w:r>
              <w:rPr>
                <w:rFonts w:hint="eastAsia" w:ascii="宋体" w:hAnsi="宋体" w:cs="宋体"/>
                <w:sz w:val="24"/>
              </w:rPr>
              <w:t>符合国家及行业标准需求并满足采购人要求</w:t>
            </w:r>
          </w:p>
        </w:tc>
      </w:tr>
      <w:tr w14:paraId="216F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5DF8235B">
            <w:pPr>
              <w:numPr>
                <w:ilvl w:val="0"/>
                <w:numId w:val="1"/>
              </w:numPr>
              <w:spacing w:line="360" w:lineRule="auto"/>
              <w:jc w:val="center"/>
              <w:rPr>
                <w:rFonts w:ascii="宋体" w:hAnsi="宋体" w:cs="宋体"/>
                <w:color w:val="000000"/>
                <w:kern w:val="10"/>
                <w:sz w:val="24"/>
              </w:rPr>
            </w:pPr>
          </w:p>
        </w:tc>
        <w:tc>
          <w:tcPr>
            <w:tcW w:w="2719" w:type="dxa"/>
            <w:vAlign w:val="center"/>
          </w:tcPr>
          <w:p w14:paraId="0923222F">
            <w:pPr>
              <w:widowControl/>
              <w:jc w:val="center"/>
              <w:rPr>
                <w:rFonts w:ascii="宋体" w:hAnsi="宋体" w:cs="宋体"/>
                <w:sz w:val="24"/>
              </w:rPr>
            </w:pPr>
            <w:r>
              <w:rPr>
                <w:rFonts w:hint="eastAsia" w:ascii="宋体" w:hAnsi="宋体" w:cs="Calibri"/>
                <w:kern w:val="0"/>
                <w:sz w:val="24"/>
              </w:rPr>
              <w:t>质保期</w:t>
            </w:r>
          </w:p>
        </w:tc>
        <w:tc>
          <w:tcPr>
            <w:tcW w:w="5714" w:type="dxa"/>
            <w:vAlign w:val="center"/>
          </w:tcPr>
          <w:p w14:paraId="2103FFA0">
            <w:pPr>
              <w:widowControl/>
              <w:rPr>
                <w:rFonts w:ascii="宋体" w:hAnsi="宋体" w:cs="宋体"/>
                <w:sz w:val="24"/>
              </w:rPr>
            </w:pPr>
            <w:r>
              <w:rPr>
                <w:rFonts w:hint="eastAsia" w:ascii="宋体" w:hAnsi="宋体" w:cs="Calibri"/>
                <w:sz w:val="24"/>
              </w:rPr>
              <w:t>一年</w:t>
            </w:r>
          </w:p>
        </w:tc>
      </w:tr>
      <w:tr w14:paraId="2B7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5CB372CE">
            <w:pPr>
              <w:numPr>
                <w:ilvl w:val="0"/>
                <w:numId w:val="1"/>
              </w:numPr>
              <w:spacing w:line="360" w:lineRule="auto"/>
              <w:jc w:val="center"/>
              <w:rPr>
                <w:rFonts w:ascii="宋体" w:hAnsi="宋体" w:cs="宋体"/>
                <w:color w:val="000000"/>
                <w:kern w:val="10"/>
                <w:sz w:val="24"/>
              </w:rPr>
            </w:pPr>
          </w:p>
        </w:tc>
        <w:tc>
          <w:tcPr>
            <w:tcW w:w="2719" w:type="dxa"/>
            <w:vAlign w:val="center"/>
          </w:tcPr>
          <w:p w14:paraId="03DAD36D">
            <w:pPr>
              <w:spacing w:line="360" w:lineRule="auto"/>
              <w:jc w:val="center"/>
              <w:rPr>
                <w:rFonts w:ascii="宋体" w:hAnsi="宋体" w:cs="宋体"/>
                <w:color w:val="000000"/>
                <w:kern w:val="10"/>
                <w:sz w:val="24"/>
              </w:rPr>
            </w:pPr>
            <w:r>
              <w:rPr>
                <w:rFonts w:hint="eastAsia" w:ascii="宋体" w:hAnsi="宋体" w:cs="宋体"/>
                <w:color w:val="000000"/>
                <w:kern w:val="10"/>
                <w:sz w:val="24"/>
              </w:rPr>
              <w:t>投标人资格要求</w:t>
            </w:r>
          </w:p>
        </w:tc>
        <w:tc>
          <w:tcPr>
            <w:tcW w:w="5714" w:type="dxa"/>
            <w:vAlign w:val="center"/>
          </w:tcPr>
          <w:p w14:paraId="210ED5C6">
            <w:pPr>
              <w:spacing w:line="360" w:lineRule="auto"/>
              <w:rPr>
                <w:rFonts w:ascii="宋体" w:hAnsi="宋体" w:cs="宋体"/>
                <w:color w:val="000000"/>
                <w:kern w:val="10"/>
                <w:sz w:val="24"/>
              </w:rPr>
            </w:pPr>
            <w:r>
              <w:rPr>
                <w:rFonts w:hint="eastAsia" w:ascii="宋体" w:hAnsi="宋体" w:cs="宋体"/>
                <w:color w:val="000000"/>
                <w:kern w:val="10"/>
                <w:sz w:val="24"/>
              </w:rPr>
              <w:t>详见招标文件第一章招标公告“二、供应商资格要求”</w:t>
            </w:r>
          </w:p>
        </w:tc>
      </w:tr>
      <w:tr w14:paraId="4006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A84E4AE">
            <w:pPr>
              <w:numPr>
                <w:ilvl w:val="0"/>
                <w:numId w:val="1"/>
              </w:numPr>
              <w:spacing w:line="360" w:lineRule="auto"/>
              <w:jc w:val="center"/>
              <w:rPr>
                <w:rFonts w:ascii="宋体" w:hAnsi="宋体" w:cs="宋体"/>
                <w:color w:val="000000"/>
                <w:kern w:val="10"/>
                <w:sz w:val="24"/>
              </w:rPr>
            </w:pPr>
          </w:p>
        </w:tc>
        <w:tc>
          <w:tcPr>
            <w:tcW w:w="2719" w:type="dxa"/>
            <w:vAlign w:val="center"/>
          </w:tcPr>
          <w:p w14:paraId="6C9D7166">
            <w:pPr>
              <w:spacing w:line="360" w:lineRule="auto"/>
              <w:jc w:val="center"/>
              <w:rPr>
                <w:rFonts w:ascii="宋体" w:hAnsi="宋体" w:cs="宋体"/>
                <w:color w:val="000000"/>
                <w:kern w:val="10"/>
                <w:sz w:val="24"/>
              </w:rPr>
            </w:pPr>
            <w:r>
              <w:rPr>
                <w:rFonts w:hint="eastAsia" w:ascii="宋体" w:hAnsi="宋体" w:cs="宋体"/>
                <w:color w:val="000000"/>
                <w:kern w:val="10"/>
                <w:sz w:val="24"/>
              </w:rPr>
              <w:t>是否接受联合体投标</w:t>
            </w:r>
          </w:p>
        </w:tc>
        <w:tc>
          <w:tcPr>
            <w:tcW w:w="5714" w:type="dxa"/>
            <w:vAlign w:val="center"/>
          </w:tcPr>
          <w:p w14:paraId="666AC1A1">
            <w:pPr>
              <w:spacing w:line="360" w:lineRule="auto"/>
              <w:rPr>
                <w:rFonts w:ascii="宋体" w:hAnsi="宋体" w:cs="宋体"/>
                <w:color w:val="000000"/>
                <w:kern w:val="10"/>
                <w:sz w:val="24"/>
              </w:rPr>
            </w:pPr>
            <w:r>
              <w:rPr>
                <w:rFonts w:hint="eastAsia" w:ascii="宋体" w:hAnsi="宋体" w:cs="宋体"/>
                <w:color w:val="000000"/>
                <w:kern w:val="10"/>
                <w:sz w:val="24"/>
              </w:rPr>
              <w:t>不接受</w:t>
            </w:r>
          </w:p>
        </w:tc>
      </w:tr>
      <w:tr w14:paraId="170C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C33F325">
            <w:pPr>
              <w:numPr>
                <w:ilvl w:val="0"/>
                <w:numId w:val="1"/>
              </w:numPr>
              <w:spacing w:line="360" w:lineRule="auto"/>
              <w:jc w:val="center"/>
              <w:rPr>
                <w:rFonts w:ascii="宋体" w:hAnsi="宋体" w:cs="宋体"/>
                <w:color w:val="000000"/>
                <w:kern w:val="10"/>
                <w:sz w:val="24"/>
              </w:rPr>
            </w:pPr>
          </w:p>
        </w:tc>
        <w:tc>
          <w:tcPr>
            <w:tcW w:w="2719" w:type="dxa"/>
            <w:vAlign w:val="center"/>
          </w:tcPr>
          <w:p w14:paraId="0AAE7A21">
            <w:pPr>
              <w:spacing w:line="360" w:lineRule="auto"/>
              <w:jc w:val="center"/>
              <w:rPr>
                <w:rFonts w:ascii="宋体" w:hAnsi="宋体" w:cs="宋体"/>
                <w:color w:val="000000"/>
                <w:kern w:val="10"/>
                <w:sz w:val="24"/>
              </w:rPr>
            </w:pPr>
            <w:r>
              <w:rPr>
                <w:rFonts w:hint="eastAsia" w:ascii="宋体" w:hAnsi="宋体" w:cs="宋体"/>
                <w:color w:val="000000"/>
                <w:kern w:val="10"/>
                <w:sz w:val="24"/>
              </w:rPr>
              <w:t>投标预备会</w:t>
            </w:r>
          </w:p>
        </w:tc>
        <w:tc>
          <w:tcPr>
            <w:tcW w:w="5714" w:type="dxa"/>
            <w:vAlign w:val="center"/>
          </w:tcPr>
          <w:p w14:paraId="1522EF8F">
            <w:pPr>
              <w:spacing w:line="360" w:lineRule="auto"/>
              <w:rPr>
                <w:rFonts w:ascii="宋体" w:hAnsi="宋体" w:cs="宋体"/>
                <w:color w:val="000000"/>
                <w:kern w:val="10"/>
                <w:sz w:val="24"/>
              </w:rPr>
            </w:pPr>
            <w:r>
              <w:rPr>
                <w:rFonts w:hint="eastAsia" w:ascii="宋体" w:hAnsi="宋体" w:cs="宋体"/>
                <w:color w:val="000000"/>
                <w:kern w:val="10"/>
                <w:sz w:val="24"/>
              </w:rPr>
              <w:t>不召开</w:t>
            </w:r>
          </w:p>
        </w:tc>
      </w:tr>
      <w:tr w14:paraId="6F17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814129C">
            <w:pPr>
              <w:numPr>
                <w:ilvl w:val="0"/>
                <w:numId w:val="1"/>
              </w:numPr>
              <w:spacing w:line="360" w:lineRule="auto"/>
              <w:jc w:val="center"/>
              <w:rPr>
                <w:rFonts w:ascii="宋体" w:hAnsi="宋体" w:cs="宋体"/>
                <w:color w:val="000000"/>
                <w:kern w:val="10"/>
                <w:sz w:val="24"/>
              </w:rPr>
            </w:pPr>
          </w:p>
        </w:tc>
        <w:tc>
          <w:tcPr>
            <w:tcW w:w="2719" w:type="dxa"/>
            <w:vAlign w:val="center"/>
          </w:tcPr>
          <w:p w14:paraId="4A88159B">
            <w:pPr>
              <w:spacing w:line="360" w:lineRule="auto"/>
              <w:jc w:val="center"/>
              <w:rPr>
                <w:rFonts w:ascii="宋体" w:hAnsi="宋体" w:cs="宋体"/>
                <w:color w:val="000000"/>
                <w:kern w:val="10"/>
                <w:sz w:val="24"/>
              </w:rPr>
            </w:pPr>
            <w:r>
              <w:rPr>
                <w:rFonts w:hint="eastAsia" w:ascii="宋体" w:hAnsi="宋体" w:cs="宋体"/>
                <w:color w:val="000000"/>
                <w:kern w:val="10"/>
                <w:sz w:val="24"/>
              </w:rPr>
              <w:t>投标人提出问题的截止时间</w:t>
            </w:r>
          </w:p>
        </w:tc>
        <w:tc>
          <w:tcPr>
            <w:tcW w:w="5714" w:type="dxa"/>
            <w:vAlign w:val="center"/>
          </w:tcPr>
          <w:p w14:paraId="19FD36AE">
            <w:pPr>
              <w:spacing w:line="360" w:lineRule="auto"/>
              <w:rPr>
                <w:rFonts w:ascii="宋体" w:hAnsi="宋体" w:cs="宋体"/>
                <w:color w:val="000000"/>
                <w:kern w:val="10"/>
                <w:sz w:val="24"/>
              </w:rPr>
            </w:pPr>
            <w:r>
              <w:rPr>
                <w:rFonts w:hint="eastAsia" w:ascii="宋体" w:hAnsi="宋体" w:cs="宋体"/>
                <w:color w:val="000000"/>
                <w:kern w:val="10"/>
                <w:sz w:val="24"/>
              </w:rPr>
              <w:t>各投标人应将质疑问题以书面形式在投标截止5天前向采购代理机构提交</w:t>
            </w:r>
            <w:r>
              <w:rPr>
                <w:rFonts w:hint="eastAsia" w:ascii="宋体" w:hAnsi="宋体"/>
                <w:color w:val="000000"/>
                <w:kern w:val="0"/>
                <w:sz w:val="24"/>
              </w:rPr>
              <w:t>。采购人只对书面问题做出答复，并将答复内容以公告的形式发布</w:t>
            </w:r>
          </w:p>
        </w:tc>
      </w:tr>
      <w:tr w14:paraId="4B04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BCE0318">
            <w:pPr>
              <w:numPr>
                <w:ilvl w:val="0"/>
                <w:numId w:val="1"/>
              </w:numPr>
              <w:spacing w:line="360" w:lineRule="auto"/>
              <w:jc w:val="center"/>
              <w:rPr>
                <w:rFonts w:ascii="宋体" w:hAnsi="宋体" w:cs="宋体"/>
                <w:color w:val="000000"/>
                <w:kern w:val="10"/>
                <w:sz w:val="24"/>
              </w:rPr>
            </w:pPr>
          </w:p>
        </w:tc>
        <w:tc>
          <w:tcPr>
            <w:tcW w:w="2719" w:type="dxa"/>
            <w:vAlign w:val="center"/>
          </w:tcPr>
          <w:p w14:paraId="4D6DA26A">
            <w:pPr>
              <w:spacing w:line="360" w:lineRule="auto"/>
              <w:jc w:val="center"/>
              <w:rPr>
                <w:rFonts w:ascii="宋体" w:hAnsi="宋体" w:cs="宋体"/>
                <w:color w:val="000000"/>
                <w:kern w:val="10"/>
                <w:sz w:val="24"/>
              </w:rPr>
            </w:pPr>
            <w:r>
              <w:rPr>
                <w:rFonts w:hint="eastAsia" w:ascii="宋体" w:hAnsi="宋体" w:cs="宋体"/>
                <w:color w:val="000000"/>
                <w:kern w:val="10"/>
                <w:sz w:val="24"/>
              </w:rPr>
              <w:t>招标人书面澄清的时间</w:t>
            </w:r>
          </w:p>
        </w:tc>
        <w:tc>
          <w:tcPr>
            <w:tcW w:w="5714" w:type="dxa"/>
            <w:vAlign w:val="center"/>
          </w:tcPr>
          <w:p w14:paraId="52830BEE">
            <w:pPr>
              <w:spacing w:line="360" w:lineRule="auto"/>
              <w:rPr>
                <w:rFonts w:ascii="宋体" w:hAnsi="宋体" w:cs="宋体"/>
                <w:color w:val="000000"/>
                <w:kern w:val="10"/>
                <w:sz w:val="24"/>
              </w:rPr>
            </w:pPr>
            <w:r>
              <w:rPr>
                <w:rFonts w:hint="eastAsia" w:ascii="宋体" w:hAnsi="宋体" w:cs="宋体"/>
                <w:color w:val="000000"/>
                <w:kern w:val="10"/>
                <w:sz w:val="24"/>
              </w:rPr>
              <w:t>投标截止日5天前以书面形式（澄清文件）予以答复</w:t>
            </w:r>
          </w:p>
        </w:tc>
      </w:tr>
      <w:tr w14:paraId="7FE1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6" w:type="dxa"/>
            <w:vAlign w:val="center"/>
          </w:tcPr>
          <w:p w14:paraId="4795D361">
            <w:pPr>
              <w:numPr>
                <w:ilvl w:val="0"/>
                <w:numId w:val="1"/>
              </w:numPr>
              <w:spacing w:line="360" w:lineRule="auto"/>
              <w:jc w:val="center"/>
              <w:rPr>
                <w:rFonts w:ascii="宋体" w:hAnsi="宋体" w:cs="宋体"/>
                <w:color w:val="000000"/>
                <w:kern w:val="10"/>
                <w:sz w:val="24"/>
              </w:rPr>
            </w:pPr>
          </w:p>
        </w:tc>
        <w:tc>
          <w:tcPr>
            <w:tcW w:w="2719" w:type="dxa"/>
            <w:vAlign w:val="center"/>
          </w:tcPr>
          <w:p w14:paraId="68FDA8FC">
            <w:pPr>
              <w:spacing w:line="360" w:lineRule="auto"/>
              <w:jc w:val="center"/>
              <w:rPr>
                <w:rFonts w:ascii="宋体" w:hAnsi="宋体" w:cs="宋体"/>
                <w:color w:val="000000"/>
                <w:kern w:val="10"/>
                <w:sz w:val="24"/>
              </w:rPr>
            </w:pPr>
            <w:r>
              <w:rPr>
                <w:rFonts w:hint="eastAsia" w:ascii="宋体" w:hAnsi="宋体" w:cs="宋体"/>
                <w:color w:val="000000"/>
                <w:kern w:val="10"/>
                <w:sz w:val="24"/>
              </w:rPr>
              <w:t>分包</w:t>
            </w:r>
          </w:p>
        </w:tc>
        <w:tc>
          <w:tcPr>
            <w:tcW w:w="5714" w:type="dxa"/>
            <w:vAlign w:val="center"/>
          </w:tcPr>
          <w:p w14:paraId="79369FD5">
            <w:pPr>
              <w:spacing w:line="360" w:lineRule="auto"/>
              <w:rPr>
                <w:rFonts w:ascii="宋体" w:hAnsi="宋体" w:cs="宋体"/>
                <w:color w:val="000000"/>
                <w:kern w:val="10"/>
                <w:sz w:val="24"/>
              </w:rPr>
            </w:pPr>
            <w:r>
              <w:rPr>
                <w:rFonts w:hint="eastAsia" w:ascii="宋体" w:hAnsi="宋体" w:cs="宋体"/>
                <w:color w:val="000000"/>
                <w:kern w:val="10"/>
                <w:sz w:val="24"/>
              </w:rPr>
              <w:t>不允许（转包、分包均不允许）</w:t>
            </w:r>
          </w:p>
        </w:tc>
      </w:tr>
      <w:tr w14:paraId="7EDF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8D87DB2">
            <w:pPr>
              <w:numPr>
                <w:ilvl w:val="0"/>
                <w:numId w:val="1"/>
              </w:numPr>
              <w:spacing w:line="360" w:lineRule="auto"/>
              <w:jc w:val="center"/>
              <w:rPr>
                <w:rFonts w:ascii="宋体" w:hAnsi="宋体" w:cs="宋体"/>
                <w:color w:val="000000"/>
                <w:kern w:val="10"/>
                <w:sz w:val="24"/>
              </w:rPr>
            </w:pPr>
          </w:p>
        </w:tc>
        <w:tc>
          <w:tcPr>
            <w:tcW w:w="2719" w:type="dxa"/>
            <w:vAlign w:val="center"/>
          </w:tcPr>
          <w:p w14:paraId="0967DEC6">
            <w:pPr>
              <w:spacing w:line="360" w:lineRule="auto"/>
              <w:jc w:val="center"/>
              <w:rPr>
                <w:rFonts w:ascii="宋体" w:hAnsi="宋体" w:cs="宋体"/>
                <w:color w:val="000000"/>
                <w:kern w:val="10"/>
                <w:sz w:val="24"/>
              </w:rPr>
            </w:pPr>
            <w:r>
              <w:rPr>
                <w:rFonts w:hint="eastAsia" w:ascii="宋体" w:hAnsi="宋体" w:cs="宋体"/>
                <w:color w:val="000000"/>
                <w:kern w:val="10"/>
                <w:sz w:val="24"/>
              </w:rPr>
              <w:t>偏离</w:t>
            </w:r>
          </w:p>
        </w:tc>
        <w:tc>
          <w:tcPr>
            <w:tcW w:w="5714" w:type="dxa"/>
            <w:vAlign w:val="center"/>
          </w:tcPr>
          <w:p w14:paraId="2738434D">
            <w:pPr>
              <w:spacing w:line="360" w:lineRule="auto"/>
              <w:rPr>
                <w:rFonts w:ascii="宋体" w:hAnsi="宋体" w:cs="宋体"/>
                <w:color w:val="000000"/>
                <w:kern w:val="10"/>
                <w:sz w:val="24"/>
              </w:rPr>
            </w:pPr>
            <w:r>
              <w:rPr>
                <w:rFonts w:hint="eastAsia" w:ascii="宋体" w:hAnsi="宋体" w:cs="宋体"/>
                <w:color w:val="000000"/>
                <w:kern w:val="10"/>
                <w:sz w:val="24"/>
              </w:rPr>
              <w:t>允许</w:t>
            </w:r>
          </w:p>
        </w:tc>
      </w:tr>
      <w:tr w14:paraId="2DE2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7DBA41E">
            <w:pPr>
              <w:numPr>
                <w:ilvl w:val="0"/>
                <w:numId w:val="1"/>
              </w:numPr>
              <w:spacing w:line="360" w:lineRule="auto"/>
              <w:jc w:val="center"/>
              <w:rPr>
                <w:rFonts w:ascii="宋体" w:hAnsi="宋体" w:cs="宋体"/>
                <w:color w:val="000000"/>
                <w:kern w:val="10"/>
                <w:sz w:val="24"/>
              </w:rPr>
            </w:pPr>
          </w:p>
        </w:tc>
        <w:tc>
          <w:tcPr>
            <w:tcW w:w="2719" w:type="dxa"/>
            <w:vAlign w:val="center"/>
          </w:tcPr>
          <w:p w14:paraId="7734ABCD">
            <w:pPr>
              <w:spacing w:line="360" w:lineRule="auto"/>
              <w:jc w:val="center"/>
              <w:rPr>
                <w:rFonts w:ascii="宋体" w:hAnsi="宋体" w:cs="宋体"/>
                <w:color w:val="000000"/>
                <w:kern w:val="10"/>
                <w:sz w:val="24"/>
              </w:rPr>
            </w:pPr>
            <w:r>
              <w:rPr>
                <w:rFonts w:hint="eastAsia" w:ascii="宋体" w:hAnsi="宋体" w:cs="宋体"/>
                <w:color w:val="000000"/>
                <w:kern w:val="10"/>
                <w:sz w:val="24"/>
              </w:rPr>
              <w:t>构成竞争性磋商文件的其他材料</w:t>
            </w:r>
          </w:p>
        </w:tc>
        <w:tc>
          <w:tcPr>
            <w:tcW w:w="5714" w:type="dxa"/>
            <w:vAlign w:val="center"/>
          </w:tcPr>
          <w:p w14:paraId="6A0CDCC2">
            <w:pPr>
              <w:spacing w:line="360" w:lineRule="auto"/>
              <w:rPr>
                <w:rFonts w:ascii="宋体" w:hAnsi="宋体" w:cs="宋体"/>
                <w:color w:val="000000"/>
                <w:kern w:val="10"/>
                <w:sz w:val="24"/>
              </w:rPr>
            </w:pPr>
            <w:r>
              <w:rPr>
                <w:rFonts w:hint="eastAsia" w:ascii="宋体" w:hAnsi="宋体" w:cs="宋体"/>
                <w:color w:val="000000"/>
                <w:kern w:val="10"/>
                <w:sz w:val="24"/>
              </w:rPr>
              <w:t>采购人在招标期间发出的竞争性磋商文件修改、招标答疑纪要、澄清</w:t>
            </w:r>
          </w:p>
        </w:tc>
      </w:tr>
      <w:tr w14:paraId="11EE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0FE9B07">
            <w:pPr>
              <w:numPr>
                <w:ilvl w:val="0"/>
                <w:numId w:val="1"/>
              </w:numPr>
              <w:spacing w:line="360" w:lineRule="auto"/>
              <w:jc w:val="center"/>
              <w:rPr>
                <w:rFonts w:ascii="宋体" w:hAnsi="宋体" w:cs="宋体"/>
                <w:color w:val="000000"/>
                <w:kern w:val="10"/>
                <w:sz w:val="24"/>
              </w:rPr>
            </w:pPr>
          </w:p>
        </w:tc>
        <w:tc>
          <w:tcPr>
            <w:tcW w:w="2719" w:type="dxa"/>
            <w:vAlign w:val="center"/>
          </w:tcPr>
          <w:p w14:paraId="62EEF954">
            <w:pPr>
              <w:spacing w:line="360" w:lineRule="auto"/>
              <w:jc w:val="center"/>
              <w:rPr>
                <w:rFonts w:ascii="宋体" w:hAnsi="宋体" w:cs="宋体"/>
                <w:color w:val="000000"/>
                <w:kern w:val="10"/>
                <w:sz w:val="24"/>
              </w:rPr>
            </w:pPr>
            <w:r>
              <w:rPr>
                <w:rFonts w:hint="eastAsia" w:ascii="宋体" w:hAnsi="宋体" w:cs="宋体"/>
                <w:color w:val="000000"/>
                <w:kern w:val="10"/>
                <w:sz w:val="24"/>
              </w:rPr>
              <w:t>投标人要求澄清磋商文件的截止时间</w:t>
            </w:r>
          </w:p>
        </w:tc>
        <w:tc>
          <w:tcPr>
            <w:tcW w:w="5714" w:type="dxa"/>
            <w:vAlign w:val="center"/>
          </w:tcPr>
          <w:p w14:paraId="33832D44">
            <w:pPr>
              <w:spacing w:line="360" w:lineRule="auto"/>
              <w:rPr>
                <w:rFonts w:ascii="宋体" w:hAnsi="宋体" w:cs="宋体"/>
                <w:color w:val="000000"/>
                <w:kern w:val="10"/>
                <w:sz w:val="24"/>
              </w:rPr>
            </w:pPr>
            <w:r>
              <w:rPr>
                <w:rFonts w:hint="eastAsia" w:ascii="宋体" w:hAnsi="宋体" w:cs="宋体"/>
                <w:color w:val="000000"/>
                <w:kern w:val="10"/>
                <w:sz w:val="24"/>
              </w:rPr>
              <w:t>递交响应性文件截止之日5天前</w:t>
            </w:r>
          </w:p>
        </w:tc>
      </w:tr>
      <w:tr w14:paraId="69B8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370231C">
            <w:pPr>
              <w:numPr>
                <w:ilvl w:val="0"/>
                <w:numId w:val="1"/>
              </w:numPr>
              <w:spacing w:line="360" w:lineRule="auto"/>
              <w:jc w:val="center"/>
              <w:rPr>
                <w:rFonts w:ascii="宋体" w:hAnsi="宋体" w:cs="宋体"/>
                <w:color w:val="000000"/>
                <w:kern w:val="10"/>
                <w:sz w:val="24"/>
              </w:rPr>
            </w:pPr>
          </w:p>
        </w:tc>
        <w:tc>
          <w:tcPr>
            <w:tcW w:w="2719" w:type="dxa"/>
            <w:vAlign w:val="center"/>
          </w:tcPr>
          <w:p w14:paraId="65DC1C52">
            <w:pPr>
              <w:spacing w:line="360" w:lineRule="auto"/>
              <w:jc w:val="center"/>
              <w:rPr>
                <w:rFonts w:ascii="宋体" w:hAnsi="宋体" w:cs="宋体"/>
                <w:color w:val="000000"/>
                <w:kern w:val="10"/>
                <w:sz w:val="24"/>
              </w:rPr>
            </w:pPr>
            <w:r>
              <w:rPr>
                <w:rFonts w:hint="eastAsia" w:ascii="宋体" w:hAnsi="宋体" w:cs="宋体"/>
                <w:color w:val="000000"/>
                <w:kern w:val="10"/>
                <w:sz w:val="24"/>
              </w:rPr>
              <w:t>响应性文件递交截止时间及地点</w:t>
            </w:r>
          </w:p>
        </w:tc>
        <w:tc>
          <w:tcPr>
            <w:tcW w:w="5714" w:type="dxa"/>
            <w:vAlign w:val="center"/>
          </w:tcPr>
          <w:p w14:paraId="27CD174D">
            <w:pPr>
              <w:spacing w:line="360" w:lineRule="auto"/>
              <w:rPr>
                <w:rFonts w:ascii="宋体" w:hAnsi="宋体" w:cs="宋体"/>
                <w:color w:val="000000"/>
                <w:kern w:val="10"/>
                <w:sz w:val="24"/>
              </w:rPr>
            </w:pPr>
            <w:r>
              <w:rPr>
                <w:rFonts w:hint="eastAsia" w:ascii="宋体" w:hAnsi="宋体" w:cs="宋体"/>
                <w:color w:val="000000"/>
                <w:kern w:val="10"/>
                <w:sz w:val="24"/>
              </w:rPr>
              <w:t>2025年05月14日09时00分</w:t>
            </w:r>
          </w:p>
          <w:p w14:paraId="6579A1C2">
            <w:pPr>
              <w:pStyle w:val="2"/>
              <w:ind w:firstLine="0" w:firstLineChars="0"/>
            </w:pPr>
            <w:r>
              <w:rPr>
                <w:rFonts w:hint="eastAsia" w:ascii="宋体" w:hAnsi="宋体" w:eastAsia="宋体" w:cs="宋体"/>
                <w:color w:val="000000"/>
                <w:kern w:val="10"/>
                <w:sz w:val="24"/>
                <w:szCs w:val="24"/>
              </w:rPr>
              <w:t>上传至三门峡市公共资源交易中心系统</w:t>
            </w:r>
          </w:p>
        </w:tc>
      </w:tr>
      <w:tr w14:paraId="1BF6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03EDFD1">
            <w:pPr>
              <w:numPr>
                <w:ilvl w:val="0"/>
                <w:numId w:val="1"/>
              </w:numPr>
              <w:spacing w:line="360" w:lineRule="auto"/>
              <w:jc w:val="center"/>
              <w:rPr>
                <w:rFonts w:ascii="宋体" w:hAnsi="宋体" w:cs="宋体"/>
                <w:color w:val="000000"/>
                <w:kern w:val="10"/>
                <w:sz w:val="24"/>
              </w:rPr>
            </w:pPr>
          </w:p>
        </w:tc>
        <w:tc>
          <w:tcPr>
            <w:tcW w:w="2719" w:type="dxa"/>
            <w:vAlign w:val="center"/>
          </w:tcPr>
          <w:p w14:paraId="67C54C34">
            <w:pPr>
              <w:spacing w:line="360" w:lineRule="auto"/>
              <w:jc w:val="center"/>
              <w:rPr>
                <w:rFonts w:ascii="宋体" w:hAnsi="宋体" w:cs="宋体"/>
                <w:color w:val="000000"/>
                <w:kern w:val="10"/>
                <w:sz w:val="24"/>
              </w:rPr>
            </w:pPr>
            <w:r>
              <w:rPr>
                <w:rFonts w:hint="eastAsia" w:ascii="宋体" w:hAnsi="宋体" w:cs="宋体"/>
                <w:color w:val="000000"/>
                <w:kern w:val="10"/>
                <w:sz w:val="24"/>
              </w:rPr>
              <w:t>投标人确认收到竞争性磋商文件澄清的时间</w:t>
            </w:r>
          </w:p>
        </w:tc>
        <w:tc>
          <w:tcPr>
            <w:tcW w:w="5714" w:type="dxa"/>
            <w:vAlign w:val="center"/>
          </w:tcPr>
          <w:p w14:paraId="201C27B5">
            <w:pPr>
              <w:spacing w:line="360" w:lineRule="auto"/>
              <w:rPr>
                <w:rFonts w:ascii="宋体" w:hAnsi="宋体" w:cs="宋体"/>
                <w:color w:val="000000"/>
                <w:kern w:val="10"/>
                <w:sz w:val="24"/>
              </w:rPr>
            </w:pPr>
            <w:r>
              <w:rPr>
                <w:rFonts w:hint="eastAsia" w:ascii="宋体" w:hAnsi="宋体"/>
                <w:color w:val="000000"/>
                <w:sz w:val="24"/>
              </w:rPr>
              <w:t>收到竞争性磋商文件澄清24小时内</w:t>
            </w:r>
          </w:p>
        </w:tc>
      </w:tr>
      <w:tr w14:paraId="0ADB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0AD8C78">
            <w:pPr>
              <w:numPr>
                <w:ilvl w:val="0"/>
                <w:numId w:val="1"/>
              </w:numPr>
              <w:spacing w:line="360" w:lineRule="auto"/>
              <w:jc w:val="center"/>
              <w:rPr>
                <w:rFonts w:ascii="宋体" w:hAnsi="宋体" w:cs="宋体"/>
                <w:color w:val="000000"/>
                <w:kern w:val="10"/>
                <w:sz w:val="24"/>
              </w:rPr>
            </w:pPr>
          </w:p>
        </w:tc>
        <w:tc>
          <w:tcPr>
            <w:tcW w:w="2719" w:type="dxa"/>
            <w:vAlign w:val="center"/>
          </w:tcPr>
          <w:p w14:paraId="170DF45C">
            <w:pPr>
              <w:spacing w:line="360" w:lineRule="auto"/>
              <w:jc w:val="center"/>
              <w:rPr>
                <w:rFonts w:ascii="宋体" w:hAnsi="宋体" w:cs="宋体"/>
                <w:color w:val="000000"/>
                <w:kern w:val="10"/>
                <w:sz w:val="24"/>
              </w:rPr>
            </w:pPr>
            <w:r>
              <w:rPr>
                <w:rFonts w:hint="eastAsia" w:ascii="宋体" w:hAnsi="宋体" w:cs="宋体"/>
                <w:color w:val="000000"/>
                <w:kern w:val="10"/>
                <w:sz w:val="24"/>
              </w:rPr>
              <w:t>投标人确认收到竞争性磋商文件修改的时间</w:t>
            </w:r>
          </w:p>
        </w:tc>
        <w:tc>
          <w:tcPr>
            <w:tcW w:w="5714" w:type="dxa"/>
            <w:vAlign w:val="center"/>
          </w:tcPr>
          <w:p w14:paraId="56054EEC">
            <w:pPr>
              <w:spacing w:line="360" w:lineRule="auto"/>
              <w:rPr>
                <w:rFonts w:ascii="宋体" w:hAnsi="宋体" w:cs="宋体"/>
                <w:color w:val="000000"/>
                <w:kern w:val="10"/>
                <w:sz w:val="24"/>
              </w:rPr>
            </w:pPr>
            <w:r>
              <w:rPr>
                <w:rFonts w:hint="eastAsia" w:ascii="宋体" w:hAnsi="宋体"/>
                <w:color w:val="000000"/>
                <w:sz w:val="24"/>
              </w:rPr>
              <w:t>收到竞争性磋商文件澄清24小时内</w:t>
            </w:r>
          </w:p>
        </w:tc>
      </w:tr>
      <w:tr w14:paraId="4DB7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2379536">
            <w:pPr>
              <w:numPr>
                <w:ilvl w:val="0"/>
                <w:numId w:val="1"/>
              </w:numPr>
              <w:spacing w:line="360" w:lineRule="auto"/>
              <w:jc w:val="center"/>
              <w:rPr>
                <w:rFonts w:ascii="宋体" w:hAnsi="宋体" w:cs="宋体"/>
                <w:color w:val="000000"/>
                <w:kern w:val="10"/>
                <w:sz w:val="24"/>
              </w:rPr>
            </w:pPr>
          </w:p>
        </w:tc>
        <w:tc>
          <w:tcPr>
            <w:tcW w:w="2719" w:type="dxa"/>
            <w:vAlign w:val="center"/>
          </w:tcPr>
          <w:p w14:paraId="52A9E2F6">
            <w:pPr>
              <w:spacing w:line="360" w:lineRule="auto"/>
              <w:jc w:val="center"/>
              <w:rPr>
                <w:rFonts w:ascii="宋体" w:hAnsi="宋体" w:cs="宋体"/>
                <w:color w:val="000000"/>
                <w:kern w:val="10"/>
                <w:sz w:val="24"/>
              </w:rPr>
            </w:pPr>
            <w:r>
              <w:rPr>
                <w:rFonts w:hint="eastAsia" w:ascii="宋体" w:hAnsi="宋体" w:cs="宋体"/>
                <w:color w:val="000000"/>
                <w:kern w:val="10"/>
                <w:sz w:val="24"/>
              </w:rPr>
              <w:t>构成投标文件的</w:t>
            </w:r>
          </w:p>
          <w:p w14:paraId="2719CE95">
            <w:pPr>
              <w:spacing w:line="360" w:lineRule="auto"/>
              <w:jc w:val="center"/>
              <w:rPr>
                <w:rFonts w:ascii="宋体" w:hAnsi="宋体" w:cs="宋体"/>
                <w:color w:val="000000"/>
                <w:kern w:val="10"/>
                <w:sz w:val="24"/>
              </w:rPr>
            </w:pPr>
            <w:r>
              <w:rPr>
                <w:rFonts w:hint="eastAsia" w:ascii="宋体" w:hAnsi="宋体" w:cs="宋体"/>
                <w:color w:val="000000"/>
                <w:kern w:val="10"/>
                <w:sz w:val="24"/>
              </w:rPr>
              <w:t>其他材料</w:t>
            </w:r>
          </w:p>
        </w:tc>
        <w:tc>
          <w:tcPr>
            <w:tcW w:w="5714" w:type="dxa"/>
            <w:vAlign w:val="center"/>
          </w:tcPr>
          <w:p w14:paraId="30709872">
            <w:pPr>
              <w:spacing w:line="360" w:lineRule="auto"/>
              <w:rPr>
                <w:rFonts w:ascii="宋体" w:hAnsi="宋体" w:cs="宋体"/>
                <w:color w:val="000000"/>
                <w:kern w:val="10"/>
                <w:sz w:val="24"/>
              </w:rPr>
            </w:pPr>
            <w:r>
              <w:rPr>
                <w:rFonts w:hint="eastAsia" w:ascii="宋体" w:hAnsi="宋体" w:cs="宋体"/>
                <w:color w:val="000000"/>
                <w:kern w:val="10"/>
                <w:sz w:val="24"/>
              </w:rPr>
              <w:t>按竞争性磋商文件的要求</w:t>
            </w:r>
          </w:p>
        </w:tc>
      </w:tr>
      <w:tr w14:paraId="60BC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753E5D3">
            <w:pPr>
              <w:numPr>
                <w:ilvl w:val="0"/>
                <w:numId w:val="1"/>
              </w:numPr>
              <w:spacing w:line="360" w:lineRule="auto"/>
              <w:jc w:val="center"/>
              <w:rPr>
                <w:rFonts w:ascii="宋体" w:hAnsi="宋体" w:cs="宋体"/>
                <w:color w:val="000000"/>
                <w:kern w:val="10"/>
                <w:sz w:val="24"/>
              </w:rPr>
            </w:pPr>
          </w:p>
        </w:tc>
        <w:tc>
          <w:tcPr>
            <w:tcW w:w="2719" w:type="dxa"/>
            <w:vAlign w:val="center"/>
          </w:tcPr>
          <w:p w14:paraId="3D82DE5B">
            <w:pPr>
              <w:spacing w:line="360" w:lineRule="auto"/>
              <w:jc w:val="center"/>
              <w:rPr>
                <w:rFonts w:ascii="宋体" w:hAnsi="宋体" w:cs="宋体"/>
                <w:color w:val="000000"/>
                <w:kern w:val="10"/>
                <w:sz w:val="24"/>
              </w:rPr>
            </w:pPr>
            <w:r>
              <w:rPr>
                <w:rFonts w:hint="eastAsia" w:ascii="宋体" w:hAnsi="宋体" w:cs="宋体"/>
                <w:color w:val="000000"/>
                <w:kern w:val="10"/>
                <w:sz w:val="24"/>
              </w:rPr>
              <w:t>投标有效期</w:t>
            </w:r>
          </w:p>
        </w:tc>
        <w:tc>
          <w:tcPr>
            <w:tcW w:w="5714" w:type="dxa"/>
            <w:vAlign w:val="center"/>
          </w:tcPr>
          <w:p w14:paraId="45D1BA7D">
            <w:pPr>
              <w:spacing w:line="360" w:lineRule="auto"/>
              <w:rPr>
                <w:rFonts w:ascii="宋体" w:hAnsi="宋体" w:cs="宋体"/>
                <w:color w:val="000000"/>
                <w:kern w:val="10"/>
                <w:sz w:val="24"/>
              </w:rPr>
            </w:pPr>
            <w:r>
              <w:rPr>
                <w:rFonts w:hint="eastAsia" w:ascii="宋体" w:hAnsi="宋体" w:cs="宋体"/>
                <w:color w:val="000000"/>
                <w:kern w:val="10"/>
                <w:sz w:val="24"/>
              </w:rPr>
              <w:t xml:space="preserve">自投标截止之日起60日历天 </w:t>
            </w:r>
          </w:p>
        </w:tc>
      </w:tr>
      <w:tr w14:paraId="1C59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3276EB8">
            <w:pPr>
              <w:numPr>
                <w:ilvl w:val="0"/>
                <w:numId w:val="1"/>
              </w:numPr>
              <w:spacing w:line="360" w:lineRule="auto"/>
              <w:jc w:val="center"/>
              <w:rPr>
                <w:rFonts w:ascii="宋体" w:hAnsi="宋体" w:cs="宋体"/>
                <w:color w:val="000000"/>
                <w:kern w:val="10"/>
                <w:sz w:val="24"/>
              </w:rPr>
            </w:pPr>
          </w:p>
        </w:tc>
        <w:tc>
          <w:tcPr>
            <w:tcW w:w="2719" w:type="dxa"/>
            <w:vAlign w:val="center"/>
          </w:tcPr>
          <w:p w14:paraId="1E7E048D">
            <w:pPr>
              <w:spacing w:line="360" w:lineRule="auto"/>
              <w:jc w:val="center"/>
              <w:rPr>
                <w:rFonts w:ascii="宋体" w:hAnsi="宋体" w:cs="宋体"/>
                <w:color w:val="000000"/>
                <w:kern w:val="10"/>
                <w:sz w:val="24"/>
              </w:rPr>
            </w:pPr>
            <w:r>
              <w:rPr>
                <w:rFonts w:hint="eastAsia" w:ascii="宋体" w:hAnsi="宋体" w:cs="宋体"/>
                <w:color w:val="000000"/>
                <w:kern w:val="10"/>
                <w:sz w:val="24"/>
              </w:rPr>
              <w:t>磋商保证金</w:t>
            </w:r>
          </w:p>
        </w:tc>
        <w:tc>
          <w:tcPr>
            <w:tcW w:w="5714" w:type="dxa"/>
            <w:vAlign w:val="center"/>
          </w:tcPr>
          <w:p w14:paraId="3BC9C8ED">
            <w:pPr>
              <w:spacing w:line="360" w:lineRule="auto"/>
              <w:rPr>
                <w:rFonts w:ascii="宋体" w:hAnsi="宋体" w:cs="宋体"/>
                <w:bCs/>
                <w:color w:val="000000"/>
                <w:sz w:val="24"/>
              </w:rPr>
            </w:pPr>
            <w:r>
              <w:rPr>
                <w:rFonts w:hint="eastAsia" w:ascii="宋体" w:hAnsi="宋体" w:cs="宋体"/>
                <w:bCs/>
                <w:color w:val="000000"/>
                <w:sz w:val="24"/>
              </w:rPr>
              <w:t>根据《河南省财政厅关于优化政府采购营商环境有关问题的通知》（豫财购【2019】4号）第6条的规定，磋商保证金不再收取。</w:t>
            </w:r>
          </w:p>
          <w:p w14:paraId="7956269F">
            <w:pPr>
              <w:spacing w:line="360" w:lineRule="auto"/>
              <w:rPr>
                <w:rFonts w:ascii="宋体" w:hAnsi="宋体" w:cs="宋体"/>
                <w:bCs/>
                <w:color w:val="000000"/>
                <w:sz w:val="24"/>
              </w:rPr>
            </w:pPr>
            <w:r>
              <w:rPr>
                <w:rFonts w:hint="eastAsia" w:ascii="宋体" w:hAnsi="宋体" w:cs="宋体"/>
                <w:bCs/>
                <w:color w:val="000000"/>
                <w:sz w:val="24"/>
              </w:rPr>
              <w:t>以投标承诺函形式替代投标保证金。供应商应按附件格式进行投标承诺、违背承诺的责任追究。</w:t>
            </w:r>
          </w:p>
        </w:tc>
      </w:tr>
      <w:tr w14:paraId="517F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3676C89">
            <w:pPr>
              <w:numPr>
                <w:ilvl w:val="0"/>
                <w:numId w:val="1"/>
              </w:numPr>
              <w:spacing w:line="360" w:lineRule="auto"/>
              <w:jc w:val="center"/>
              <w:rPr>
                <w:rFonts w:ascii="宋体" w:hAnsi="宋体" w:cs="宋体"/>
                <w:color w:val="000000"/>
                <w:kern w:val="10"/>
                <w:sz w:val="24"/>
              </w:rPr>
            </w:pPr>
          </w:p>
        </w:tc>
        <w:tc>
          <w:tcPr>
            <w:tcW w:w="2719" w:type="dxa"/>
            <w:vAlign w:val="center"/>
          </w:tcPr>
          <w:p w14:paraId="70D0A247">
            <w:pPr>
              <w:spacing w:line="360" w:lineRule="auto"/>
              <w:jc w:val="center"/>
              <w:rPr>
                <w:rFonts w:ascii="宋体" w:hAnsi="宋体" w:cs="宋体"/>
                <w:color w:val="000000"/>
                <w:kern w:val="10"/>
                <w:sz w:val="24"/>
              </w:rPr>
            </w:pPr>
            <w:r>
              <w:rPr>
                <w:rFonts w:hint="eastAsia" w:ascii="宋体" w:hAnsi="宋体" w:cs="宋体"/>
                <w:color w:val="000000"/>
                <w:kern w:val="10"/>
                <w:sz w:val="24"/>
              </w:rPr>
              <w:t>是否允许递交备选投标方案</w:t>
            </w:r>
          </w:p>
        </w:tc>
        <w:tc>
          <w:tcPr>
            <w:tcW w:w="5714" w:type="dxa"/>
            <w:vAlign w:val="center"/>
          </w:tcPr>
          <w:p w14:paraId="3B09AB04">
            <w:pPr>
              <w:spacing w:line="360" w:lineRule="auto"/>
              <w:rPr>
                <w:rFonts w:ascii="宋体" w:hAnsi="宋体" w:cs="宋体"/>
                <w:color w:val="000000"/>
                <w:kern w:val="10"/>
                <w:sz w:val="24"/>
              </w:rPr>
            </w:pPr>
            <w:r>
              <w:rPr>
                <w:rFonts w:hint="eastAsia" w:ascii="宋体" w:hAnsi="宋体" w:cs="宋体"/>
                <w:color w:val="000000"/>
                <w:kern w:val="10"/>
                <w:sz w:val="24"/>
              </w:rPr>
              <w:t>不允许</w:t>
            </w:r>
          </w:p>
        </w:tc>
      </w:tr>
      <w:tr w14:paraId="18CC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C2CB248">
            <w:pPr>
              <w:numPr>
                <w:ilvl w:val="0"/>
                <w:numId w:val="1"/>
              </w:numPr>
              <w:spacing w:line="360" w:lineRule="auto"/>
              <w:jc w:val="center"/>
              <w:rPr>
                <w:rFonts w:ascii="宋体" w:hAnsi="宋体" w:cs="宋体"/>
                <w:color w:val="000000"/>
                <w:kern w:val="10"/>
                <w:sz w:val="24"/>
              </w:rPr>
            </w:pPr>
          </w:p>
        </w:tc>
        <w:tc>
          <w:tcPr>
            <w:tcW w:w="2719" w:type="dxa"/>
            <w:vAlign w:val="center"/>
          </w:tcPr>
          <w:p w14:paraId="47187F6D">
            <w:pPr>
              <w:spacing w:line="360" w:lineRule="auto"/>
              <w:jc w:val="center"/>
              <w:rPr>
                <w:rFonts w:ascii="宋体" w:hAnsi="宋体" w:cs="宋体"/>
                <w:color w:val="000000"/>
                <w:kern w:val="10"/>
                <w:sz w:val="24"/>
              </w:rPr>
            </w:pPr>
            <w:r>
              <w:rPr>
                <w:rFonts w:hint="eastAsia" w:ascii="宋体" w:hAnsi="宋体" w:cs="宋体"/>
                <w:color w:val="000000"/>
                <w:kern w:val="10"/>
                <w:sz w:val="24"/>
              </w:rPr>
              <w:t>签字或盖章要求</w:t>
            </w:r>
          </w:p>
        </w:tc>
        <w:tc>
          <w:tcPr>
            <w:tcW w:w="5714" w:type="dxa"/>
            <w:vAlign w:val="center"/>
          </w:tcPr>
          <w:p w14:paraId="359EF750">
            <w:pPr>
              <w:spacing w:line="360" w:lineRule="auto"/>
              <w:rPr>
                <w:rFonts w:ascii="宋体" w:hAnsi="宋体" w:cs="宋体"/>
                <w:color w:val="000000"/>
                <w:sz w:val="24"/>
              </w:rPr>
            </w:pPr>
            <w:r>
              <w:rPr>
                <w:rFonts w:hint="eastAsia" w:ascii="宋体" w:hAnsi="宋体" w:cs="宋体"/>
                <w:color w:val="000000"/>
                <w:sz w:val="24"/>
              </w:rPr>
              <w:t>1、本项目为电子化、无纸化交易项目，投标文件是投标人通过中心投标文件制作系统制作，并经过电子签章和加密后生成的电子化投标文件，未对电子化文件进行签章的视为无效投标。投标人投标时，将不再接受任何纸质文件资料。</w:t>
            </w:r>
          </w:p>
          <w:p w14:paraId="2FCEB43E">
            <w:pPr>
              <w:spacing w:line="360" w:lineRule="auto"/>
              <w:rPr>
                <w:rFonts w:ascii="宋体" w:hAnsi="宋体" w:cs="宋体"/>
                <w:color w:val="000000"/>
                <w:sz w:val="24"/>
              </w:rPr>
            </w:pPr>
            <w:r>
              <w:rPr>
                <w:rFonts w:hint="eastAsia" w:ascii="宋体" w:hAnsi="宋体" w:cs="宋体"/>
                <w:color w:val="000000"/>
                <w:sz w:val="24"/>
              </w:rPr>
              <w:t>2、投标人在进行电子化投标文件签章时，磋商文件中要求投标人盖章的，以签盖单位章为准；要求法定代表人或授权代理人签章的，以签盖法定代表人签章为准。</w:t>
            </w:r>
          </w:p>
          <w:p w14:paraId="7568F110">
            <w:pPr>
              <w:spacing w:line="360" w:lineRule="auto"/>
              <w:rPr>
                <w:rFonts w:ascii="宋体" w:hAnsi="宋体" w:cs="宋体"/>
                <w:color w:val="000000"/>
                <w:kern w:val="10"/>
                <w:sz w:val="24"/>
              </w:rPr>
            </w:pPr>
            <w:r>
              <w:rPr>
                <w:rFonts w:hint="eastAsia" w:ascii="宋体" w:hAnsi="宋体" w:cs="宋体"/>
                <w:color w:val="000000"/>
                <w:sz w:val="24"/>
              </w:rPr>
              <w:t>3、电子化投标文件工具请点击（</w:t>
            </w:r>
            <w:r>
              <w:rPr>
                <w:rFonts w:hint="eastAsia" w:ascii="宋体" w:hAnsi="宋体" w:cs="宋体"/>
                <w:spacing w:val="1"/>
                <w:kern w:val="0"/>
                <w:sz w:val="24"/>
              </w:rPr>
              <w:t>http://gzjy.smx.gov.cn/bzzx/008002/moreinfo.html</w:t>
            </w:r>
            <w:r>
              <w:rPr>
                <w:rFonts w:hint="eastAsia" w:ascii="宋体" w:hAnsi="宋体" w:cs="宋体"/>
                <w:color w:val="000000"/>
                <w:sz w:val="24"/>
              </w:rPr>
              <w:t>）进行下载。</w:t>
            </w:r>
          </w:p>
        </w:tc>
      </w:tr>
      <w:tr w14:paraId="17C5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24763B5">
            <w:pPr>
              <w:numPr>
                <w:ilvl w:val="0"/>
                <w:numId w:val="1"/>
              </w:numPr>
              <w:spacing w:line="360" w:lineRule="auto"/>
              <w:jc w:val="center"/>
              <w:rPr>
                <w:rFonts w:ascii="宋体" w:hAnsi="宋体" w:cs="宋体"/>
                <w:color w:val="000000"/>
                <w:kern w:val="10"/>
                <w:sz w:val="24"/>
              </w:rPr>
            </w:pPr>
          </w:p>
        </w:tc>
        <w:tc>
          <w:tcPr>
            <w:tcW w:w="2719" w:type="dxa"/>
            <w:vAlign w:val="center"/>
          </w:tcPr>
          <w:p w14:paraId="76E36598">
            <w:pPr>
              <w:spacing w:line="360" w:lineRule="auto"/>
              <w:jc w:val="center"/>
              <w:rPr>
                <w:rFonts w:ascii="宋体" w:hAnsi="宋体" w:cs="宋体"/>
                <w:color w:val="000000"/>
                <w:kern w:val="10"/>
                <w:sz w:val="24"/>
              </w:rPr>
            </w:pPr>
            <w:r>
              <w:rPr>
                <w:rFonts w:hint="eastAsia"/>
                <w:kern w:val="10"/>
                <w:sz w:val="24"/>
              </w:rPr>
              <w:t>开标时间</w:t>
            </w:r>
          </w:p>
        </w:tc>
        <w:tc>
          <w:tcPr>
            <w:tcW w:w="5714" w:type="dxa"/>
            <w:vAlign w:val="center"/>
          </w:tcPr>
          <w:p w14:paraId="66F7B64B">
            <w:pPr>
              <w:spacing w:line="360" w:lineRule="auto"/>
              <w:rPr>
                <w:kern w:val="10"/>
                <w:sz w:val="24"/>
              </w:rPr>
            </w:pPr>
            <w:r>
              <w:rPr>
                <w:rFonts w:hint="eastAsia"/>
                <w:kern w:val="10"/>
                <w:sz w:val="24"/>
              </w:rPr>
              <w:t>2025年05月14日09时00分</w:t>
            </w:r>
          </w:p>
        </w:tc>
      </w:tr>
      <w:tr w14:paraId="5FAC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6D0CD53">
            <w:pPr>
              <w:numPr>
                <w:ilvl w:val="0"/>
                <w:numId w:val="1"/>
              </w:numPr>
              <w:spacing w:line="360" w:lineRule="auto"/>
              <w:jc w:val="center"/>
              <w:rPr>
                <w:rFonts w:ascii="宋体" w:hAnsi="宋体" w:cs="宋体"/>
                <w:color w:val="000000"/>
                <w:kern w:val="10"/>
                <w:sz w:val="24"/>
              </w:rPr>
            </w:pPr>
          </w:p>
        </w:tc>
        <w:tc>
          <w:tcPr>
            <w:tcW w:w="2719" w:type="dxa"/>
            <w:vAlign w:val="center"/>
          </w:tcPr>
          <w:p w14:paraId="47651C8D">
            <w:pPr>
              <w:spacing w:line="360" w:lineRule="auto"/>
              <w:jc w:val="center"/>
              <w:rPr>
                <w:rFonts w:ascii="宋体" w:hAnsi="宋体" w:cs="宋体"/>
                <w:color w:val="000000"/>
                <w:kern w:val="10"/>
                <w:sz w:val="24"/>
              </w:rPr>
            </w:pPr>
            <w:r>
              <w:rPr>
                <w:rFonts w:hint="eastAsia" w:ascii="宋体" w:hAnsi="宋体" w:cs="宋体"/>
                <w:color w:val="000000"/>
                <w:kern w:val="10"/>
                <w:sz w:val="24"/>
              </w:rPr>
              <w:t>开标地点</w:t>
            </w:r>
          </w:p>
        </w:tc>
        <w:tc>
          <w:tcPr>
            <w:tcW w:w="5714" w:type="dxa"/>
            <w:vAlign w:val="center"/>
          </w:tcPr>
          <w:p w14:paraId="3E3BF281">
            <w:pPr>
              <w:spacing w:line="360" w:lineRule="auto"/>
              <w:rPr>
                <w:kern w:val="10"/>
                <w:sz w:val="24"/>
              </w:rPr>
            </w:pPr>
            <w:r>
              <w:rPr>
                <w:rFonts w:hint="eastAsia"/>
                <w:kern w:val="10"/>
                <w:sz w:val="24"/>
              </w:rPr>
              <w:t>灵宝市公共资源交易中心开标二室、评标三室</w:t>
            </w:r>
          </w:p>
        </w:tc>
      </w:tr>
      <w:tr w14:paraId="60E5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B74EDA4">
            <w:pPr>
              <w:numPr>
                <w:ilvl w:val="0"/>
                <w:numId w:val="1"/>
              </w:numPr>
              <w:spacing w:line="360" w:lineRule="auto"/>
              <w:jc w:val="center"/>
              <w:rPr>
                <w:rFonts w:ascii="宋体" w:hAnsi="宋体" w:cs="宋体"/>
                <w:color w:val="000000"/>
                <w:kern w:val="10"/>
                <w:sz w:val="24"/>
              </w:rPr>
            </w:pPr>
          </w:p>
        </w:tc>
        <w:tc>
          <w:tcPr>
            <w:tcW w:w="2719" w:type="dxa"/>
            <w:vAlign w:val="center"/>
          </w:tcPr>
          <w:p w14:paraId="26F16A95">
            <w:pPr>
              <w:spacing w:line="360" w:lineRule="auto"/>
              <w:jc w:val="center"/>
              <w:rPr>
                <w:rFonts w:ascii="宋体" w:hAnsi="宋体" w:cs="宋体"/>
                <w:color w:val="000000"/>
                <w:kern w:val="10"/>
                <w:sz w:val="24"/>
              </w:rPr>
            </w:pPr>
            <w:r>
              <w:rPr>
                <w:rFonts w:hint="eastAsia" w:ascii="宋体" w:hAnsi="宋体"/>
                <w:color w:val="000000"/>
                <w:kern w:val="0"/>
                <w:sz w:val="24"/>
              </w:rPr>
              <w:t>开标顺序</w:t>
            </w:r>
          </w:p>
        </w:tc>
        <w:tc>
          <w:tcPr>
            <w:tcW w:w="5714" w:type="dxa"/>
            <w:vAlign w:val="center"/>
          </w:tcPr>
          <w:p w14:paraId="4F12FD4B">
            <w:pPr>
              <w:spacing w:line="360" w:lineRule="auto"/>
              <w:jc w:val="left"/>
              <w:rPr>
                <w:rFonts w:ascii="宋体" w:hAnsi="宋体"/>
                <w:color w:val="000000"/>
                <w:sz w:val="24"/>
              </w:rPr>
            </w:pPr>
            <w:r>
              <w:rPr>
                <w:rFonts w:hint="eastAsia" w:ascii="宋体" w:hAnsi="宋体"/>
                <w:color w:val="000000"/>
                <w:sz w:val="24"/>
              </w:rPr>
              <w:t>1）开标当日，投标人无需到开标现场参加开标会议，投标人应当在投标截止时间前，登陆不见面开标大厅选择登陆三门峡市公共资源电子招投标系统进行登陆（网址为</w:t>
            </w:r>
            <w:r>
              <w:rPr>
                <w:rFonts w:ascii="宋体" w:hAnsi="宋体"/>
                <w:color w:val="000000"/>
                <w:sz w:val="24"/>
              </w:rPr>
              <w:t>http://120.194.249.36:10094/BidOpening/bidopeninghallaction/hall/login</w:t>
            </w:r>
            <w:r>
              <w:rPr>
                <w:rFonts w:hint="eastAsia" w:ascii="宋体" w:hAnsi="宋体"/>
                <w:color w:val="000000"/>
                <w:sz w:val="24"/>
              </w:rPr>
              <w:t>）,在线准时参加开标活动并进行响应性文件解密等</w:t>
            </w:r>
          </w:p>
          <w:p w14:paraId="2AAB4814">
            <w:pPr>
              <w:spacing w:line="360" w:lineRule="auto"/>
              <w:jc w:val="left"/>
              <w:rPr>
                <w:rFonts w:ascii="宋体" w:hAnsi="宋体"/>
                <w:color w:val="000000"/>
                <w:sz w:val="24"/>
              </w:rPr>
            </w:pPr>
            <w:r>
              <w:rPr>
                <w:rFonts w:hint="eastAsia" w:ascii="宋体" w:hAnsi="宋体"/>
                <w:color w:val="000000"/>
                <w:sz w:val="24"/>
              </w:rPr>
              <w:t>（2）电子化响应性文件采用一次加密方式。开标时，由投标人使用CA 证书，在规定时间内对其电子化响应性文件进行解密。每位投标人的解密时间为开标时间起30 分钟内，如在规定时间内未完成解密的，其响应性文件不予开标、唱标。</w:t>
            </w:r>
          </w:p>
          <w:p w14:paraId="49FC6D60">
            <w:pPr>
              <w:spacing w:line="360" w:lineRule="auto"/>
              <w:rPr>
                <w:rFonts w:ascii="宋体" w:hAnsi="宋体"/>
                <w:sz w:val="24"/>
              </w:rPr>
            </w:pPr>
            <w:r>
              <w:rPr>
                <w:rFonts w:hint="eastAsia" w:ascii="宋体" w:hAnsi="宋体"/>
                <w:color w:val="000000"/>
                <w:sz w:val="24"/>
              </w:rPr>
              <w:t>（3）开标结束后，采购人或采购代理机构应当依法对投标人的资格进行审查，合格的投标人不足三家的，不得评标。</w:t>
            </w:r>
          </w:p>
        </w:tc>
      </w:tr>
      <w:tr w14:paraId="7650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66EA839">
            <w:pPr>
              <w:numPr>
                <w:ilvl w:val="0"/>
                <w:numId w:val="1"/>
              </w:numPr>
              <w:spacing w:line="360" w:lineRule="auto"/>
              <w:jc w:val="center"/>
              <w:rPr>
                <w:rFonts w:ascii="宋体" w:hAnsi="宋体" w:cs="宋体"/>
                <w:color w:val="000000"/>
                <w:kern w:val="10"/>
                <w:sz w:val="24"/>
              </w:rPr>
            </w:pPr>
          </w:p>
        </w:tc>
        <w:tc>
          <w:tcPr>
            <w:tcW w:w="2719" w:type="dxa"/>
            <w:vAlign w:val="center"/>
          </w:tcPr>
          <w:p w14:paraId="7F810815">
            <w:pPr>
              <w:spacing w:line="360" w:lineRule="auto"/>
              <w:jc w:val="center"/>
              <w:rPr>
                <w:rFonts w:ascii="宋体" w:hAnsi="宋体" w:cs="宋体"/>
                <w:color w:val="000000"/>
                <w:kern w:val="10"/>
                <w:sz w:val="24"/>
              </w:rPr>
            </w:pPr>
            <w:r>
              <w:rPr>
                <w:rFonts w:hint="eastAsia" w:ascii="宋体" w:hAnsi="宋体" w:cs="宋体"/>
                <w:color w:val="000000"/>
                <w:kern w:val="10"/>
                <w:sz w:val="24"/>
              </w:rPr>
              <w:t>磋商小组的组建</w:t>
            </w:r>
          </w:p>
        </w:tc>
        <w:tc>
          <w:tcPr>
            <w:tcW w:w="5714" w:type="dxa"/>
            <w:vAlign w:val="center"/>
          </w:tcPr>
          <w:p w14:paraId="3098CB13">
            <w:pPr>
              <w:spacing w:line="360" w:lineRule="auto"/>
              <w:rPr>
                <w:rFonts w:ascii="宋体" w:hAnsi="宋体" w:cs="宋体"/>
                <w:color w:val="000000"/>
                <w:kern w:val="10"/>
                <w:sz w:val="24"/>
              </w:rPr>
            </w:pPr>
            <w:r>
              <w:rPr>
                <w:rFonts w:ascii="宋体" w:hAnsi="宋体" w:cs="宋体"/>
                <w:color w:val="000000"/>
                <w:kern w:val="10"/>
                <w:sz w:val="24"/>
              </w:rPr>
              <w:t>磋商小组</w:t>
            </w:r>
            <w:r>
              <w:rPr>
                <w:rFonts w:hint="eastAsia" w:ascii="宋体" w:hAnsi="宋体" w:cs="宋体"/>
                <w:color w:val="000000"/>
                <w:kern w:val="10"/>
                <w:sz w:val="24"/>
              </w:rPr>
              <w:t>构成：专家3人；</w:t>
            </w:r>
          </w:p>
          <w:p w14:paraId="3FD3DB54">
            <w:pPr>
              <w:spacing w:line="360" w:lineRule="auto"/>
              <w:rPr>
                <w:rFonts w:ascii="宋体" w:hAnsi="宋体" w:cs="宋体"/>
                <w:color w:val="000000"/>
                <w:kern w:val="10"/>
                <w:sz w:val="24"/>
              </w:rPr>
            </w:pPr>
            <w:r>
              <w:rPr>
                <w:rFonts w:hint="eastAsia" w:ascii="宋体" w:hAnsi="宋体" w:cs="宋体"/>
                <w:color w:val="000000"/>
                <w:kern w:val="10"/>
                <w:sz w:val="24"/>
              </w:rPr>
              <w:t>其中采购人代表1人，经济、技术专家2人；</w:t>
            </w:r>
          </w:p>
          <w:p w14:paraId="62F1230F">
            <w:pPr>
              <w:spacing w:line="360" w:lineRule="auto"/>
              <w:rPr>
                <w:rFonts w:ascii="宋体" w:hAnsi="宋体" w:cs="宋体"/>
                <w:color w:val="000000"/>
                <w:kern w:val="10"/>
                <w:sz w:val="24"/>
              </w:rPr>
            </w:pPr>
            <w:r>
              <w:rPr>
                <w:rFonts w:ascii="宋体" w:hAnsi="宋体" w:cs="宋体"/>
                <w:color w:val="000000"/>
                <w:kern w:val="10"/>
                <w:sz w:val="24"/>
              </w:rPr>
              <w:t>评标专家确定方式</w:t>
            </w:r>
            <w:r>
              <w:rPr>
                <w:rFonts w:hint="eastAsia" w:ascii="宋体" w:hAnsi="宋体" w:cs="宋体"/>
                <w:color w:val="000000"/>
                <w:kern w:val="10"/>
                <w:sz w:val="24"/>
              </w:rPr>
              <w:t>：开标当天从河南省政府采购网专家库随机抽取。</w:t>
            </w:r>
          </w:p>
        </w:tc>
      </w:tr>
      <w:tr w14:paraId="1246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4180549">
            <w:pPr>
              <w:numPr>
                <w:ilvl w:val="0"/>
                <w:numId w:val="1"/>
              </w:numPr>
              <w:spacing w:line="360" w:lineRule="auto"/>
              <w:jc w:val="center"/>
              <w:rPr>
                <w:rFonts w:ascii="宋体" w:hAnsi="宋体" w:cs="宋体"/>
                <w:color w:val="000000"/>
                <w:kern w:val="10"/>
                <w:sz w:val="24"/>
              </w:rPr>
            </w:pPr>
          </w:p>
        </w:tc>
        <w:tc>
          <w:tcPr>
            <w:tcW w:w="2719" w:type="dxa"/>
            <w:vAlign w:val="center"/>
          </w:tcPr>
          <w:p w14:paraId="5214B30D">
            <w:pPr>
              <w:spacing w:line="360" w:lineRule="auto"/>
              <w:jc w:val="center"/>
              <w:rPr>
                <w:rFonts w:ascii="宋体" w:hAnsi="宋体" w:cs="宋体"/>
                <w:color w:val="000000"/>
                <w:kern w:val="10"/>
                <w:sz w:val="24"/>
              </w:rPr>
            </w:pPr>
            <w:r>
              <w:rPr>
                <w:rFonts w:hint="eastAsia" w:ascii="宋体" w:hAnsi="宋体" w:cs="宋体"/>
                <w:color w:val="000000"/>
                <w:kern w:val="10"/>
                <w:sz w:val="24"/>
              </w:rPr>
              <w:t>是否授权磋商小组确定中标单位</w:t>
            </w:r>
          </w:p>
        </w:tc>
        <w:tc>
          <w:tcPr>
            <w:tcW w:w="5714" w:type="dxa"/>
            <w:vAlign w:val="center"/>
          </w:tcPr>
          <w:p w14:paraId="4E12877F">
            <w:pPr>
              <w:spacing w:line="360" w:lineRule="auto"/>
              <w:rPr>
                <w:rFonts w:ascii="宋体" w:hAnsi="宋体" w:cs="宋体"/>
                <w:color w:val="000000"/>
                <w:kern w:val="10"/>
                <w:sz w:val="24"/>
              </w:rPr>
            </w:pPr>
            <w:r>
              <w:rPr>
                <w:rFonts w:hint="eastAsia" w:ascii="宋体" w:hAnsi="宋体" w:cs="宋体"/>
                <w:color w:val="000000"/>
                <w:sz w:val="24"/>
              </w:rPr>
              <w:t>■否</w:t>
            </w:r>
            <w:r>
              <w:rPr>
                <w:rFonts w:hint="eastAsia" w:ascii="宋体" w:hAnsi="宋体" w:cs="宋体"/>
                <w:color w:val="000000"/>
                <w:kern w:val="10"/>
                <w:sz w:val="24"/>
              </w:rPr>
              <w:t>，</w:t>
            </w:r>
            <w:r>
              <w:rPr>
                <w:rFonts w:ascii="宋体" w:hAnsi="宋体" w:cs="宋体"/>
                <w:color w:val="000000"/>
                <w:kern w:val="10"/>
                <w:sz w:val="24"/>
              </w:rPr>
              <w:t>推荐</w:t>
            </w:r>
            <w:r>
              <w:rPr>
                <w:rFonts w:hint="eastAsia" w:ascii="宋体" w:hAnsi="宋体" w:cs="宋体"/>
                <w:color w:val="000000"/>
                <w:kern w:val="10"/>
                <w:sz w:val="24"/>
              </w:rPr>
              <w:t>3名</w:t>
            </w:r>
            <w:r>
              <w:rPr>
                <w:rFonts w:ascii="宋体" w:hAnsi="宋体" w:cs="宋体"/>
                <w:color w:val="000000"/>
                <w:kern w:val="10"/>
                <w:sz w:val="24"/>
              </w:rPr>
              <w:t>中标候选人</w:t>
            </w:r>
          </w:p>
          <w:p w14:paraId="6AE57418">
            <w:pPr>
              <w:spacing w:line="360" w:lineRule="auto"/>
              <w:rPr>
                <w:rFonts w:ascii="宋体" w:hAnsi="宋体" w:cs="宋体"/>
                <w:color w:val="000000"/>
                <w:kern w:val="10"/>
                <w:sz w:val="24"/>
              </w:rPr>
            </w:pPr>
            <w:r>
              <w:rPr>
                <w:rFonts w:hint="eastAsia" w:ascii="宋体" w:hAnsi="宋体" w:cs="宋体"/>
                <w:color w:val="000000"/>
                <w:kern w:val="10"/>
                <w:sz w:val="24"/>
              </w:rPr>
              <w:t>采购人确定磋商小组推荐的排名第一的中标候选人为中标人。排名第一的中标候选人放弃中标、因不可抗力不能履行合同，或者被查实存在影响中标结果的违法行为等情形，不符合中标条件的，采购人可以按照磋商小组提出的中标候选人名单排序依次确定其他中标候选人为中标人，也可以重新招标。</w:t>
            </w:r>
          </w:p>
        </w:tc>
      </w:tr>
      <w:tr w14:paraId="6533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F0ED544">
            <w:pPr>
              <w:numPr>
                <w:ilvl w:val="0"/>
                <w:numId w:val="1"/>
              </w:numPr>
              <w:spacing w:line="360" w:lineRule="auto"/>
              <w:jc w:val="center"/>
              <w:rPr>
                <w:rFonts w:ascii="宋体" w:hAnsi="宋体" w:cs="宋体"/>
                <w:color w:val="000000"/>
                <w:kern w:val="10"/>
                <w:sz w:val="24"/>
              </w:rPr>
            </w:pPr>
          </w:p>
        </w:tc>
        <w:tc>
          <w:tcPr>
            <w:tcW w:w="2719" w:type="dxa"/>
            <w:vAlign w:val="center"/>
          </w:tcPr>
          <w:p w14:paraId="722D7FD7">
            <w:pPr>
              <w:widowControl/>
              <w:spacing w:line="360" w:lineRule="auto"/>
              <w:jc w:val="center"/>
              <w:rPr>
                <w:rFonts w:ascii="宋体" w:hAnsi="宋体" w:cs="宋体"/>
                <w:color w:val="000000"/>
                <w:kern w:val="10"/>
                <w:sz w:val="24"/>
              </w:rPr>
            </w:pPr>
            <w:r>
              <w:rPr>
                <w:rFonts w:hint="eastAsia" w:ascii="宋体" w:hAnsi="宋体" w:cs="Calibri"/>
                <w:kern w:val="0"/>
                <w:sz w:val="24"/>
              </w:rPr>
              <w:t>结果公示</w:t>
            </w:r>
          </w:p>
        </w:tc>
        <w:tc>
          <w:tcPr>
            <w:tcW w:w="5714" w:type="dxa"/>
            <w:vAlign w:val="center"/>
          </w:tcPr>
          <w:p w14:paraId="050A9F92">
            <w:pPr>
              <w:widowControl/>
              <w:spacing w:line="360" w:lineRule="auto"/>
              <w:jc w:val="left"/>
              <w:rPr>
                <w:rFonts w:ascii="宋体" w:hAnsi="宋体" w:cs="宋体"/>
                <w:color w:val="000000"/>
                <w:kern w:val="10"/>
                <w:sz w:val="24"/>
              </w:rPr>
            </w:pPr>
            <w:r>
              <w:rPr>
                <w:rFonts w:hint="eastAsia" w:ascii="宋体" w:hAnsi="宋体" w:cs="Calibri"/>
                <w:kern w:val="0"/>
                <w:sz w:val="24"/>
              </w:rPr>
              <w:t>在与招标公告同一网站发布中标结果公告。</w:t>
            </w:r>
          </w:p>
        </w:tc>
      </w:tr>
      <w:tr w14:paraId="6827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3882519">
            <w:pPr>
              <w:numPr>
                <w:ilvl w:val="0"/>
                <w:numId w:val="1"/>
              </w:numPr>
              <w:spacing w:line="360" w:lineRule="auto"/>
              <w:jc w:val="center"/>
              <w:rPr>
                <w:rFonts w:ascii="宋体" w:hAnsi="宋体" w:cs="宋体"/>
                <w:color w:val="000000"/>
                <w:kern w:val="10"/>
                <w:sz w:val="24"/>
              </w:rPr>
            </w:pPr>
          </w:p>
        </w:tc>
        <w:tc>
          <w:tcPr>
            <w:tcW w:w="2719" w:type="dxa"/>
            <w:vAlign w:val="center"/>
          </w:tcPr>
          <w:p w14:paraId="64729E09">
            <w:pPr>
              <w:widowControl/>
              <w:spacing w:line="360" w:lineRule="auto"/>
              <w:jc w:val="center"/>
              <w:rPr>
                <w:rFonts w:ascii="宋体" w:hAnsi="宋体" w:cs="宋体"/>
                <w:color w:val="000000"/>
                <w:kern w:val="10"/>
                <w:sz w:val="24"/>
              </w:rPr>
            </w:pPr>
            <w:r>
              <w:rPr>
                <w:rFonts w:hint="eastAsia" w:ascii="宋体" w:hAnsi="宋体" w:cs="Calibri"/>
                <w:kern w:val="0"/>
                <w:sz w:val="24"/>
              </w:rPr>
              <w:t>签订合同时间</w:t>
            </w:r>
          </w:p>
        </w:tc>
        <w:tc>
          <w:tcPr>
            <w:tcW w:w="5714" w:type="dxa"/>
            <w:vAlign w:val="center"/>
          </w:tcPr>
          <w:p w14:paraId="316E2556">
            <w:pPr>
              <w:widowControl/>
              <w:spacing w:line="360" w:lineRule="auto"/>
              <w:jc w:val="left"/>
              <w:rPr>
                <w:rFonts w:ascii="宋体" w:hAnsi="宋体" w:cs="宋体"/>
                <w:color w:val="000000"/>
                <w:kern w:val="10"/>
                <w:sz w:val="24"/>
              </w:rPr>
            </w:pPr>
            <w:r>
              <w:rPr>
                <w:rFonts w:hint="eastAsia" w:ascii="宋体" w:hAnsi="宋体" w:cs="Calibri"/>
                <w:kern w:val="0"/>
                <w:sz w:val="24"/>
              </w:rPr>
              <w:t>中标通知书发出后30日内</w:t>
            </w:r>
          </w:p>
        </w:tc>
      </w:tr>
      <w:tr w14:paraId="1DC6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D807507">
            <w:pPr>
              <w:numPr>
                <w:ilvl w:val="0"/>
                <w:numId w:val="1"/>
              </w:numPr>
              <w:spacing w:line="360" w:lineRule="auto"/>
              <w:jc w:val="center"/>
              <w:rPr>
                <w:rFonts w:ascii="宋体" w:hAnsi="宋体" w:cs="宋体"/>
                <w:color w:val="000000"/>
                <w:kern w:val="10"/>
                <w:sz w:val="24"/>
              </w:rPr>
            </w:pPr>
          </w:p>
        </w:tc>
        <w:tc>
          <w:tcPr>
            <w:tcW w:w="2719" w:type="dxa"/>
            <w:vAlign w:val="center"/>
          </w:tcPr>
          <w:p w14:paraId="1F1B60D1">
            <w:pPr>
              <w:spacing w:line="560" w:lineRule="exact"/>
              <w:jc w:val="center"/>
              <w:rPr>
                <w:rFonts w:ascii="宋体" w:hAnsi="宋体" w:cs="宋体"/>
                <w:color w:val="000000"/>
                <w:kern w:val="10"/>
                <w:sz w:val="24"/>
              </w:rPr>
            </w:pPr>
            <w:r>
              <w:rPr>
                <w:rFonts w:hint="eastAsia" w:ascii="宋体" w:hAnsi="宋体" w:cs="Calibri"/>
                <w:sz w:val="24"/>
              </w:rPr>
              <w:t>报价及费用</w:t>
            </w:r>
          </w:p>
        </w:tc>
        <w:tc>
          <w:tcPr>
            <w:tcW w:w="5714" w:type="dxa"/>
            <w:vAlign w:val="center"/>
          </w:tcPr>
          <w:p w14:paraId="4F85E6BF">
            <w:pPr>
              <w:spacing w:line="420" w:lineRule="exact"/>
              <w:rPr>
                <w:rFonts w:ascii="宋体" w:hAnsi="宋体" w:cs="Calibri"/>
                <w:sz w:val="24"/>
              </w:rPr>
            </w:pPr>
            <w:r>
              <w:rPr>
                <w:rFonts w:hint="eastAsia" w:ascii="宋体" w:hAnsi="宋体" w:cs="Calibri"/>
                <w:sz w:val="24"/>
              </w:rPr>
              <w:t>1．本项目应以人民币报价，供应商应就该项目完整投标（报价、服务、税费、售后服务等综合费用），招标人不另外支付其他任何费用；</w:t>
            </w:r>
          </w:p>
          <w:p w14:paraId="0E4DDA19">
            <w:pPr>
              <w:spacing w:line="420" w:lineRule="exact"/>
              <w:rPr>
                <w:rFonts w:ascii="宋体" w:hAnsi="宋体" w:cs="宋体"/>
                <w:color w:val="000000"/>
                <w:kern w:val="10"/>
                <w:sz w:val="24"/>
              </w:rPr>
            </w:pPr>
            <w:r>
              <w:rPr>
                <w:rFonts w:hint="eastAsia" w:ascii="宋体" w:hAnsi="宋体" w:cs="Calibri"/>
                <w:sz w:val="24"/>
              </w:rPr>
              <w:t>2. 招标代理服务费按《河南省招标代理服务收费指导意见》豫招标（2023）002号向中标人收取。供应商的投标报价应当包含该代理费用。</w:t>
            </w:r>
          </w:p>
        </w:tc>
      </w:tr>
      <w:tr w14:paraId="75B7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5EE7F14">
            <w:pPr>
              <w:numPr>
                <w:ilvl w:val="0"/>
                <w:numId w:val="1"/>
              </w:numPr>
              <w:spacing w:line="360" w:lineRule="auto"/>
              <w:jc w:val="center"/>
              <w:rPr>
                <w:rFonts w:ascii="宋体" w:hAnsi="宋体" w:cs="宋体"/>
                <w:color w:val="000000"/>
                <w:kern w:val="10"/>
                <w:sz w:val="24"/>
              </w:rPr>
            </w:pPr>
          </w:p>
        </w:tc>
        <w:tc>
          <w:tcPr>
            <w:tcW w:w="2719" w:type="dxa"/>
            <w:vAlign w:val="center"/>
          </w:tcPr>
          <w:p w14:paraId="6636002D">
            <w:pPr>
              <w:spacing w:line="360" w:lineRule="auto"/>
              <w:jc w:val="center"/>
              <w:rPr>
                <w:rFonts w:ascii="宋体" w:hAnsi="宋体" w:cs="宋体"/>
                <w:color w:val="000000"/>
                <w:kern w:val="10"/>
                <w:sz w:val="24"/>
              </w:rPr>
            </w:pPr>
            <w:r>
              <w:rPr>
                <w:rFonts w:hint="eastAsia" w:ascii="宋体" w:hAnsi="宋体" w:cs="宋体"/>
                <w:color w:val="000000"/>
                <w:kern w:val="10"/>
                <w:sz w:val="24"/>
              </w:rPr>
              <w:t>付款方式及时间</w:t>
            </w:r>
          </w:p>
        </w:tc>
        <w:tc>
          <w:tcPr>
            <w:tcW w:w="5714" w:type="dxa"/>
            <w:vAlign w:val="center"/>
          </w:tcPr>
          <w:p w14:paraId="353F4D76">
            <w:pPr>
              <w:spacing w:line="360" w:lineRule="auto"/>
              <w:rPr>
                <w:rFonts w:ascii="宋体" w:hAnsi="宋体" w:cs="宋体"/>
                <w:color w:val="000000"/>
                <w:kern w:val="10"/>
                <w:sz w:val="24"/>
              </w:rPr>
            </w:pPr>
            <w:r>
              <w:rPr>
                <w:rFonts w:hint="eastAsia" w:ascii="宋体" w:hAnsi="宋体" w:cs="Calibri"/>
                <w:sz w:val="24"/>
              </w:rPr>
              <w:t>签订合同时双方协商</w:t>
            </w:r>
          </w:p>
        </w:tc>
      </w:tr>
      <w:tr w14:paraId="4B8F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0E493E1">
            <w:pPr>
              <w:numPr>
                <w:ilvl w:val="0"/>
                <w:numId w:val="1"/>
              </w:numPr>
              <w:spacing w:line="360" w:lineRule="auto"/>
              <w:jc w:val="center"/>
              <w:rPr>
                <w:rFonts w:ascii="宋体" w:hAnsi="宋体" w:cs="宋体"/>
                <w:color w:val="000000"/>
                <w:kern w:val="10"/>
                <w:sz w:val="24"/>
              </w:rPr>
            </w:pPr>
          </w:p>
        </w:tc>
        <w:tc>
          <w:tcPr>
            <w:tcW w:w="2719" w:type="dxa"/>
            <w:vAlign w:val="center"/>
          </w:tcPr>
          <w:p w14:paraId="68E3FA75">
            <w:pPr>
              <w:spacing w:line="360" w:lineRule="auto"/>
              <w:jc w:val="center"/>
              <w:rPr>
                <w:rFonts w:ascii="宋体" w:hAnsi="宋体" w:cs="宋体"/>
                <w:bCs/>
                <w:color w:val="000000"/>
                <w:spacing w:val="-6"/>
                <w:sz w:val="24"/>
              </w:rPr>
            </w:pPr>
            <w:r>
              <w:rPr>
                <w:rFonts w:hint="eastAsia" w:ascii="宋体" w:hAnsi="宋体" w:cs="宋体"/>
                <w:bCs/>
                <w:color w:val="000000"/>
                <w:spacing w:val="11"/>
                <w:sz w:val="24"/>
              </w:rPr>
              <w:t>履约担保</w:t>
            </w:r>
          </w:p>
        </w:tc>
        <w:tc>
          <w:tcPr>
            <w:tcW w:w="5714" w:type="dxa"/>
            <w:vAlign w:val="center"/>
          </w:tcPr>
          <w:p w14:paraId="6698FEF2">
            <w:pPr>
              <w:spacing w:line="360" w:lineRule="auto"/>
              <w:rPr>
                <w:rFonts w:ascii="宋体" w:hAnsi="宋体" w:cs="宋体"/>
                <w:color w:val="000000"/>
                <w:kern w:val="10"/>
                <w:sz w:val="24"/>
              </w:rPr>
            </w:pPr>
            <w:r>
              <w:rPr>
                <w:rFonts w:hint="eastAsia" w:ascii="宋体" w:hAnsi="宋体" w:cs="宋体"/>
                <w:color w:val="000000"/>
                <w:sz w:val="24"/>
              </w:rPr>
              <w:t>根据三门峡市财政局《关于进一步优化提升政府采购营商环境有关事项通知》三财购【2021】14号文件，该项目不收取履约保证金。</w:t>
            </w:r>
          </w:p>
        </w:tc>
      </w:tr>
      <w:tr w14:paraId="3D98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89A774D">
            <w:pPr>
              <w:numPr>
                <w:ilvl w:val="0"/>
                <w:numId w:val="1"/>
              </w:numPr>
              <w:spacing w:line="360" w:lineRule="auto"/>
              <w:jc w:val="center"/>
              <w:rPr>
                <w:rFonts w:ascii="宋体" w:hAnsi="宋体" w:cs="宋体"/>
                <w:color w:val="000000"/>
                <w:kern w:val="10"/>
                <w:sz w:val="24"/>
              </w:rPr>
            </w:pPr>
          </w:p>
        </w:tc>
        <w:tc>
          <w:tcPr>
            <w:tcW w:w="2719" w:type="dxa"/>
            <w:vAlign w:val="center"/>
          </w:tcPr>
          <w:p w14:paraId="0FF80DA0">
            <w:pPr>
              <w:spacing w:line="360" w:lineRule="auto"/>
              <w:jc w:val="center"/>
              <w:rPr>
                <w:rFonts w:ascii="宋体" w:hAnsi="宋体" w:cs="宋体"/>
                <w:color w:val="000000"/>
                <w:kern w:val="10"/>
                <w:sz w:val="24"/>
              </w:rPr>
            </w:pPr>
            <w:r>
              <w:rPr>
                <w:rFonts w:hint="eastAsia" w:ascii="宋体" w:hAnsi="宋体" w:cs="宋体"/>
                <w:color w:val="000000"/>
                <w:kern w:val="10"/>
                <w:sz w:val="24"/>
              </w:rPr>
              <w:t>采购预算价</w:t>
            </w:r>
          </w:p>
        </w:tc>
        <w:tc>
          <w:tcPr>
            <w:tcW w:w="5714" w:type="dxa"/>
            <w:vAlign w:val="center"/>
          </w:tcPr>
          <w:p w14:paraId="010BE09F">
            <w:pPr>
              <w:spacing w:line="360" w:lineRule="auto"/>
              <w:rPr>
                <w:rFonts w:ascii="宋体" w:hAnsi="宋体" w:cs="宋体"/>
                <w:color w:val="000000"/>
                <w:sz w:val="24"/>
              </w:rPr>
            </w:pPr>
            <w:r>
              <w:rPr>
                <w:rFonts w:hint="eastAsia" w:ascii="宋体" w:hAnsi="宋体" w:cs="宋体"/>
                <w:color w:val="000000"/>
                <w:sz w:val="24"/>
              </w:rPr>
              <w:t>预算金额：1200000.00元；</w:t>
            </w:r>
          </w:p>
          <w:p w14:paraId="35FC9E54">
            <w:pPr>
              <w:spacing w:line="360" w:lineRule="auto"/>
              <w:rPr>
                <w:rFonts w:ascii="宋体" w:hAnsi="宋体" w:cs="宋体"/>
                <w:color w:val="000000"/>
                <w:kern w:val="10"/>
                <w:sz w:val="24"/>
              </w:rPr>
            </w:pPr>
            <w:r>
              <w:rPr>
                <w:rFonts w:hint="eastAsia" w:ascii="宋体" w:hAnsi="宋体" w:cs="宋体"/>
                <w:color w:val="000000"/>
                <w:sz w:val="24"/>
              </w:rPr>
              <w:t>响应人投标报价超出采购预算价的，视为无效投标。</w:t>
            </w:r>
          </w:p>
        </w:tc>
      </w:tr>
      <w:tr w14:paraId="2C84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64E8860">
            <w:pPr>
              <w:numPr>
                <w:ilvl w:val="0"/>
                <w:numId w:val="1"/>
              </w:numPr>
              <w:spacing w:line="360" w:lineRule="auto"/>
              <w:jc w:val="center"/>
              <w:rPr>
                <w:rFonts w:ascii="宋体" w:hAnsi="宋体" w:cs="宋体"/>
                <w:color w:val="000000"/>
                <w:kern w:val="10"/>
                <w:sz w:val="24"/>
              </w:rPr>
            </w:pPr>
          </w:p>
        </w:tc>
        <w:tc>
          <w:tcPr>
            <w:tcW w:w="2719" w:type="dxa"/>
            <w:vAlign w:val="center"/>
          </w:tcPr>
          <w:p w14:paraId="332976EB">
            <w:pPr>
              <w:spacing w:line="360" w:lineRule="auto"/>
              <w:jc w:val="center"/>
              <w:rPr>
                <w:rFonts w:ascii="宋体" w:hAnsi="宋体" w:cs="宋体"/>
                <w:color w:val="000000"/>
                <w:kern w:val="10"/>
                <w:sz w:val="24"/>
              </w:rPr>
            </w:pPr>
            <w:r>
              <w:rPr>
                <w:rFonts w:hint="eastAsia" w:ascii="宋体" w:hAnsi="宋体" w:cs="宋体"/>
                <w:color w:val="000000"/>
                <w:kern w:val="10"/>
                <w:sz w:val="24"/>
              </w:rPr>
              <w:t>报价方式</w:t>
            </w:r>
          </w:p>
        </w:tc>
        <w:tc>
          <w:tcPr>
            <w:tcW w:w="5714" w:type="dxa"/>
            <w:vAlign w:val="center"/>
          </w:tcPr>
          <w:p w14:paraId="412FF479">
            <w:pPr>
              <w:snapToGrid w:val="0"/>
              <w:spacing w:line="360" w:lineRule="auto"/>
              <w:rPr>
                <w:rFonts w:ascii="宋体" w:hAnsi="宋体" w:cs="宋体"/>
                <w:color w:val="000000"/>
                <w:kern w:val="0"/>
                <w:sz w:val="24"/>
              </w:rPr>
            </w:pPr>
            <w:r>
              <w:rPr>
                <w:rFonts w:hint="eastAsia" w:ascii="宋体" w:hAnsi="宋体" w:cs="宋体"/>
                <w:color w:val="000000"/>
                <w:kern w:val="0"/>
                <w:sz w:val="24"/>
              </w:rPr>
              <w:t>1、本次磋商应以人民币报价。</w:t>
            </w:r>
          </w:p>
          <w:p w14:paraId="774BC58E">
            <w:pPr>
              <w:snapToGrid w:val="0"/>
              <w:spacing w:line="360" w:lineRule="auto"/>
              <w:rPr>
                <w:rFonts w:ascii="宋体" w:hAnsi="宋体" w:cs="宋体"/>
                <w:color w:val="000000"/>
                <w:kern w:val="0"/>
                <w:sz w:val="24"/>
              </w:rPr>
            </w:pPr>
            <w:r>
              <w:rPr>
                <w:rFonts w:hint="eastAsia" w:ascii="宋体" w:hAnsi="宋体" w:cs="宋体"/>
                <w:color w:val="000000"/>
                <w:kern w:val="0"/>
                <w:sz w:val="24"/>
              </w:rPr>
              <w:t>2、本次磋商中，磋商响应文件中的报价为第一次报价，</w:t>
            </w:r>
            <w:r>
              <w:rPr>
                <w:rFonts w:hint="eastAsia"/>
                <w:color w:val="000000"/>
                <w:sz w:val="24"/>
              </w:rPr>
              <w:t>不得高于项目预算金额且不公开；</w:t>
            </w:r>
          </w:p>
          <w:p w14:paraId="188ED66E">
            <w:pPr>
              <w:snapToGrid w:val="0"/>
              <w:spacing w:line="360" w:lineRule="auto"/>
              <w:rPr>
                <w:rFonts w:ascii="宋体" w:hAnsi="宋体" w:cs="宋体"/>
                <w:color w:val="000000"/>
                <w:kern w:val="0"/>
                <w:sz w:val="24"/>
              </w:rPr>
            </w:pPr>
            <w:r>
              <w:rPr>
                <w:rFonts w:hint="eastAsia" w:ascii="宋体" w:hAnsi="宋体" w:cs="宋体"/>
                <w:color w:val="000000"/>
                <w:kern w:val="0"/>
                <w:sz w:val="24"/>
              </w:rPr>
              <w:t>3、磋商投标人可以在磋商小组规定的时间内进行第二次报价，通过交易中心系统以电子形式递交，第二次报价为最终报价；</w:t>
            </w:r>
            <w:r>
              <w:rPr>
                <w:rFonts w:hint="eastAsia" w:ascii="宋体" w:hAnsi="宋体" w:cs="宋体"/>
                <w:bCs/>
                <w:color w:val="000000"/>
                <w:kern w:val="0"/>
                <w:sz w:val="24"/>
              </w:rPr>
              <w:t>第二轮报价不得高于第一轮报价。</w:t>
            </w:r>
          </w:p>
          <w:p w14:paraId="3C624422">
            <w:pPr>
              <w:spacing w:line="360" w:lineRule="auto"/>
              <w:rPr>
                <w:rFonts w:ascii="宋体" w:hAnsi="宋体" w:cs="宋体"/>
                <w:color w:val="000000"/>
                <w:kern w:val="10"/>
                <w:sz w:val="24"/>
              </w:rPr>
            </w:pPr>
            <w:r>
              <w:rPr>
                <w:rFonts w:hint="eastAsia" w:ascii="宋体" w:hAnsi="宋体" w:cs="宋体"/>
                <w:color w:val="000000"/>
                <w:kern w:val="0"/>
                <w:sz w:val="24"/>
              </w:rPr>
              <w:t>4、最后一轮报价超过磋商控制价的为无效报价。申请单位的最后一轮报价均超过磋商控制价，采购人不能支付的，本项目磋商废止。</w:t>
            </w:r>
          </w:p>
        </w:tc>
      </w:tr>
      <w:tr w14:paraId="5A4C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13614BE">
            <w:pPr>
              <w:numPr>
                <w:ilvl w:val="0"/>
                <w:numId w:val="1"/>
              </w:numPr>
              <w:spacing w:line="360" w:lineRule="auto"/>
              <w:jc w:val="center"/>
              <w:rPr>
                <w:rFonts w:ascii="宋体" w:hAnsi="宋体" w:cs="宋体"/>
                <w:color w:val="000000"/>
                <w:kern w:val="10"/>
                <w:sz w:val="24"/>
              </w:rPr>
            </w:pPr>
          </w:p>
        </w:tc>
        <w:tc>
          <w:tcPr>
            <w:tcW w:w="2719" w:type="dxa"/>
            <w:vAlign w:val="center"/>
          </w:tcPr>
          <w:p w14:paraId="77CCE840">
            <w:pPr>
              <w:spacing w:line="360" w:lineRule="auto"/>
              <w:jc w:val="center"/>
              <w:rPr>
                <w:rFonts w:ascii="宋体" w:hAnsi="宋体" w:cs="宋体"/>
                <w:color w:val="000000"/>
                <w:kern w:val="10"/>
                <w:sz w:val="24"/>
              </w:rPr>
            </w:pPr>
            <w:r>
              <w:rPr>
                <w:rFonts w:hint="eastAsia" w:ascii="宋体" w:hAnsi="宋体" w:cs="宋体"/>
                <w:color w:val="000000"/>
                <w:kern w:val="10"/>
                <w:sz w:val="24"/>
              </w:rPr>
              <w:t>是否提供样品</w:t>
            </w:r>
          </w:p>
        </w:tc>
        <w:tc>
          <w:tcPr>
            <w:tcW w:w="5714" w:type="dxa"/>
            <w:vAlign w:val="center"/>
          </w:tcPr>
          <w:p w14:paraId="2FD05E03">
            <w:pPr>
              <w:spacing w:line="360" w:lineRule="auto"/>
              <w:rPr>
                <w:rFonts w:ascii="宋体" w:hAnsi="宋体" w:cs="宋体"/>
                <w:color w:val="000000"/>
                <w:sz w:val="24"/>
              </w:rPr>
            </w:pPr>
            <w:r>
              <w:rPr>
                <w:rFonts w:hint="eastAsia" w:ascii="宋体" w:hAnsi="宋体"/>
                <w:color w:val="000000"/>
                <w:sz w:val="24"/>
              </w:rPr>
              <w:t>否</w:t>
            </w:r>
          </w:p>
        </w:tc>
      </w:tr>
      <w:tr w14:paraId="3EB4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4F78D42">
            <w:pPr>
              <w:numPr>
                <w:ilvl w:val="0"/>
                <w:numId w:val="1"/>
              </w:numPr>
              <w:spacing w:line="360" w:lineRule="auto"/>
              <w:jc w:val="center"/>
              <w:rPr>
                <w:rFonts w:ascii="宋体" w:hAnsi="宋体" w:cs="宋体"/>
                <w:color w:val="000000"/>
                <w:kern w:val="10"/>
                <w:sz w:val="24"/>
              </w:rPr>
            </w:pPr>
          </w:p>
        </w:tc>
        <w:tc>
          <w:tcPr>
            <w:tcW w:w="2719" w:type="dxa"/>
            <w:vAlign w:val="center"/>
          </w:tcPr>
          <w:p w14:paraId="43718733">
            <w:pPr>
              <w:spacing w:line="360" w:lineRule="auto"/>
              <w:jc w:val="center"/>
              <w:rPr>
                <w:rFonts w:ascii="宋体" w:hAnsi="宋体" w:cs="宋体"/>
                <w:color w:val="000000"/>
                <w:kern w:val="10"/>
                <w:sz w:val="24"/>
              </w:rPr>
            </w:pPr>
            <w:r>
              <w:rPr>
                <w:rFonts w:hint="eastAsia"/>
                <w:kern w:val="10"/>
                <w:sz w:val="24"/>
              </w:rPr>
              <w:t>代理服务费</w:t>
            </w:r>
          </w:p>
        </w:tc>
        <w:tc>
          <w:tcPr>
            <w:tcW w:w="5714" w:type="dxa"/>
            <w:vAlign w:val="center"/>
          </w:tcPr>
          <w:p w14:paraId="6CA7BB69">
            <w:pPr>
              <w:keepLines/>
              <w:spacing w:line="400" w:lineRule="exact"/>
              <w:rPr>
                <w:rFonts w:ascii="宋体" w:hAnsi="宋体" w:cs="宋体"/>
                <w:sz w:val="24"/>
              </w:rPr>
            </w:pPr>
            <w:r>
              <w:rPr>
                <w:rFonts w:hint="eastAsia" w:ascii="宋体" w:hAnsi="宋体" w:cs="宋体"/>
                <w:sz w:val="24"/>
              </w:rPr>
              <w:t>1. 招标代理服务费按《河南省招标代理服务收费指导意见》豫招标（2023）002号计取，由中标人领取中标通知书时以转账或现金的方式向代理公司缴纳。</w:t>
            </w:r>
          </w:p>
          <w:p w14:paraId="0D35A708">
            <w:pPr>
              <w:keepLines/>
              <w:spacing w:line="400" w:lineRule="exact"/>
              <w:rPr>
                <w:rFonts w:ascii="宋体" w:hAnsi="宋体" w:cs="宋体"/>
                <w:color w:val="000000"/>
                <w:kern w:val="0"/>
                <w:sz w:val="24"/>
              </w:rPr>
            </w:pPr>
            <w:r>
              <w:rPr>
                <w:rFonts w:hint="eastAsia" w:ascii="宋体" w:hAnsi="宋体" w:cs="宋体"/>
                <w:sz w:val="24"/>
              </w:rPr>
              <w:t>2.缴纳方式：现金或转账</w:t>
            </w:r>
          </w:p>
        </w:tc>
      </w:tr>
      <w:tr w14:paraId="2A4D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1B4F7B0">
            <w:pPr>
              <w:numPr>
                <w:ilvl w:val="0"/>
                <w:numId w:val="1"/>
              </w:numPr>
              <w:spacing w:line="360" w:lineRule="auto"/>
              <w:jc w:val="center"/>
              <w:rPr>
                <w:rFonts w:ascii="宋体" w:hAnsi="宋体" w:cs="宋体"/>
                <w:color w:val="000000"/>
                <w:kern w:val="10"/>
                <w:sz w:val="24"/>
              </w:rPr>
            </w:pPr>
          </w:p>
        </w:tc>
        <w:tc>
          <w:tcPr>
            <w:tcW w:w="2719" w:type="dxa"/>
            <w:vAlign w:val="center"/>
          </w:tcPr>
          <w:p w14:paraId="6A669F9B">
            <w:pPr>
              <w:spacing w:line="360" w:lineRule="auto"/>
              <w:jc w:val="center"/>
              <w:rPr>
                <w:rFonts w:ascii="宋体" w:hAnsi="宋体" w:cs="宋体"/>
                <w:color w:val="000000"/>
                <w:kern w:val="10"/>
                <w:sz w:val="24"/>
              </w:rPr>
            </w:pPr>
            <w:r>
              <w:rPr>
                <w:rFonts w:hint="eastAsia" w:ascii="宋体" w:hAnsi="宋体" w:cs="宋体"/>
                <w:color w:val="000000"/>
                <w:kern w:val="10"/>
                <w:sz w:val="24"/>
              </w:rPr>
              <w:t>投标无效条款</w:t>
            </w:r>
          </w:p>
        </w:tc>
        <w:tc>
          <w:tcPr>
            <w:tcW w:w="5714" w:type="dxa"/>
            <w:vAlign w:val="center"/>
          </w:tcPr>
          <w:p w14:paraId="78699F8D">
            <w:pPr>
              <w:spacing w:line="360" w:lineRule="auto"/>
              <w:rPr>
                <w:rFonts w:ascii="宋体" w:hAnsi="宋体"/>
                <w:color w:val="000000"/>
                <w:sz w:val="24"/>
              </w:rPr>
            </w:pPr>
            <w:r>
              <w:rPr>
                <w:rFonts w:hint="eastAsia" w:ascii="宋体" w:hAnsi="宋体"/>
                <w:color w:val="000000"/>
                <w:sz w:val="24"/>
              </w:rPr>
              <w:t>有下列情形之一的，投标无效：</w:t>
            </w:r>
          </w:p>
          <w:p w14:paraId="02170FC9">
            <w:pPr>
              <w:spacing w:line="360" w:lineRule="auto"/>
              <w:rPr>
                <w:rFonts w:ascii="宋体" w:hAnsi="宋体"/>
                <w:color w:val="000000"/>
                <w:sz w:val="24"/>
              </w:rPr>
            </w:pP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响应性文件未按照竞争性磋商文件规定要求签署、盖章的；</w:t>
            </w:r>
          </w:p>
          <w:p w14:paraId="62BC875B">
            <w:pPr>
              <w:spacing w:line="360" w:lineRule="auto"/>
              <w:rPr>
                <w:rFonts w:ascii="宋体" w:hAnsi="宋体"/>
                <w:color w:val="000000"/>
                <w:sz w:val="24"/>
              </w:rPr>
            </w:pP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报价超过竞争性磋商文件中规定的预算金额或者最高限价的；</w:t>
            </w:r>
          </w:p>
          <w:p w14:paraId="001ED20C">
            <w:pPr>
              <w:spacing w:line="360" w:lineRule="auto"/>
              <w:rPr>
                <w:rFonts w:ascii="宋体" w:hAnsi="宋体"/>
                <w:color w:val="000000"/>
                <w:sz w:val="24"/>
              </w:rPr>
            </w:pPr>
            <w:r>
              <w:rPr>
                <w:rFonts w:hint="eastAsia" w:ascii="宋体" w:hAnsi="宋体"/>
                <w:color w:val="000000"/>
                <w:sz w:val="24"/>
              </w:rPr>
              <w:t>(3)</w:t>
            </w:r>
            <w:r>
              <w:rPr>
                <w:rFonts w:hint="eastAsia" w:ascii="宋体" w:hAnsi="宋体"/>
                <w:color w:val="000000"/>
                <w:sz w:val="24"/>
              </w:rPr>
              <w:tab/>
            </w:r>
            <w:r>
              <w:rPr>
                <w:rFonts w:hint="eastAsia" w:ascii="宋体" w:hAnsi="宋体"/>
                <w:color w:val="000000"/>
                <w:sz w:val="24"/>
              </w:rPr>
              <w:t>响应性文件含有采购人不能接受的附加条件的；</w:t>
            </w:r>
          </w:p>
          <w:p w14:paraId="777A52A9">
            <w:pPr>
              <w:spacing w:line="360" w:lineRule="auto"/>
              <w:rPr>
                <w:rFonts w:ascii="宋体" w:hAnsi="宋体"/>
                <w:color w:val="000000"/>
                <w:sz w:val="24"/>
              </w:rPr>
            </w:pPr>
            <w:r>
              <w:rPr>
                <w:rFonts w:hint="eastAsia" w:ascii="宋体" w:hAnsi="宋体"/>
                <w:color w:val="000000"/>
                <w:sz w:val="24"/>
              </w:rPr>
              <w:t>(4)</w:t>
            </w:r>
            <w:r>
              <w:rPr>
                <w:rFonts w:hint="eastAsia" w:ascii="宋体" w:hAnsi="宋体"/>
                <w:color w:val="000000"/>
                <w:sz w:val="24"/>
              </w:rPr>
              <w:tab/>
            </w:r>
            <w:r>
              <w:rPr>
                <w:rFonts w:hint="eastAsia" w:ascii="宋体" w:hAnsi="宋体"/>
                <w:color w:val="000000"/>
                <w:sz w:val="24"/>
              </w:rPr>
              <w:t>拒绝接受磋商小组按竞争性磋商文件规定调整报价的；</w:t>
            </w:r>
          </w:p>
          <w:p w14:paraId="541BC145">
            <w:pPr>
              <w:spacing w:line="360" w:lineRule="auto"/>
              <w:rPr>
                <w:rFonts w:ascii="宋体" w:hAnsi="宋体"/>
                <w:color w:val="000000"/>
                <w:sz w:val="24"/>
              </w:rPr>
            </w:pPr>
            <w:r>
              <w:rPr>
                <w:rFonts w:hint="eastAsia" w:ascii="宋体" w:hAnsi="宋体"/>
                <w:color w:val="000000"/>
                <w:sz w:val="24"/>
              </w:rPr>
              <w:t>(5)</w:t>
            </w:r>
            <w:r>
              <w:rPr>
                <w:rFonts w:hint="eastAsia" w:ascii="宋体" w:hAnsi="宋体"/>
                <w:color w:val="000000"/>
                <w:sz w:val="24"/>
              </w:rPr>
              <w:tab/>
            </w:r>
            <w:r>
              <w:rPr>
                <w:rFonts w:hint="eastAsia" w:ascii="宋体" w:hAnsi="宋体"/>
                <w:color w:val="000000"/>
                <w:sz w:val="24"/>
              </w:rPr>
              <w:t>磋商小组认为投标人的报价明显低于其他通过符合性审查投标人的报价，有可能影响产品质量或者不能诚信履约，且投标人在规定时间内不能证明其报价合理性的；</w:t>
            </w:r>
          </w:p>
          <w:p w14:paraId="7FA140FD">
            <w:pPr>
              <w:spacing w:line="360" w:lineRule="auto"/>
              <w:rPr>
                <w:rFonts w:ascii="宋体" w:hAnsi="宋体"/>
                <w:color w:val="000000"/>
                <w:sz w:val="24"/>
              </w:rPr>
            </w:pPr>
            <w:r>
              <w:rPr>
                <w:rFonts w:hint="eastAsia" w:ascii="宋体" w:hAnsi="宋体"/>
                <w:color w:val="000000"/>
                <w:sz w:val="24"/>
              </w:rPr>
              <w:t>(6)</w:t>
            </w:r>
            <w:r>
              <w:rPr>
                <w:rFonts w:hint="eastAsia" w:ascii="宋体" w:hAnsi="宋体"/>
                <w:color w:val="000000"/>
                <w:sz w:val="24"/>
              </w:rPr>
              <w:tab/>
            </w:r>
            <w:r>
              <w:rPr>
                <w:rFonts w:hint="eastAsia" w:ascii="宋体" w:hAnsi="宋体"/>
                <w:color w:val="000000"/>
                <w:sz w:val="24"/>
              </w:rPr>
              <w:t>拒绝接受采购人延长磋商有效期要求的；</w:t>
            </w:r>
          </w:p>
          <w:p w14:paraId="10C593EE">
            <w:pPr>
              <w:spacing w:line="360" w:lineRule="auto"/>
              <w:rPr>
                <w:rFonts w:ascii="宋体" w:hAnsi="宋体"/>
                <w:color w:val="000000"/>
                <w:sz w:val="24"/>
              </w:rPr>
            </w:pPr>
            <w:r>
              <w:rPr>
                <w:rFonts w:hint="eastAsia" w:ascii="宋体" w:hAnsi="宋体"/>
                <w:color w:val="000000"/>
                <w:sz w:val="24"/>
              </w:rPr>
              <w:t>(7)</w:t>
            </w:r>
            <w:r>
              <w:rPr>
                <w:rFonts w:hint="eastAsia" w:ascii="宋体" w:hAnsi="宋体"/>
                <w:color w:val="000000"/>
                <w:sz w:val="24"/>
              </w:rPr>
              <w:tab/>
            </w:r>
            <w:r>
              <w:rPr>
                <w:rFonts w:hint="eastAsia" w:ascii="宋体" w:hAnsi="宋体"/>
                <w:color w:val="000000"/>
                <w:sz w:val="24"/>
              </w:rPr>
              <w:t>响应性文件“文件制作机器码”、“文件创建标识码”一致的；</w:t>
            </w:r>
          </w:p>
          <w:p w14:paraId="09CEF6AC">
            <w:pPr>
              <w:spacing w:line="360" w:lineRule="auto"/>
              <w:rPr>
                <w:rFonts w:ascii="宋体" w:hAnsi="宋体"/>
                <w:sz w:val="24"/>
              </w:rPr>
            </w:pPr>
            <w:r>
              <w:rPr>
                <w:rFonts w:hint="eastAsia" w:ascii="宋体" w:hAnsi="宋体"/>
                <w:color w:val="000000"/>
                <w:sz w:val="24"/>
              </w:rPr>
              <w:t>(8)</w:t>
            </w:r>
            <w:r>
              <w:rPr>
                <w:rFonts w:hint="eastAsia" w:ascii="宋体" w:hAnsi="宋体"/>
                <w:color w:val="000000"/>
                <w:sz w:val="24"/>
              </w:rPr>
              <w:tab/>
            </w:r>
            <w:r>
              <w:rPr>
                <w:rFonts w:hint="eastAsia" w:ascii="宋体" w:hAnsi="宋体"/>
                <w:color w:val="000000"/>
                <w:sz w:val="24"/>
              </w:rPr>
              <w:t>法律、法规和竞争性磋商文件规定的其他无效情形。</w:t>
            </w:r>
          </w:p>
        </w:tc>
      </w:tr>
      <w:tr w14:paraId="38C2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7F7F3D3">
            <w:pPr>
              <w:numPr>
                <w:ilvl w:val="0"/>
                <w:numId w:val="1"/>
              </w:numPr>
              <w:spacing w:line="360" w:lineRule="auto"/>
              <w:jc w:val="center"/>
              <w:rPr>
                <w:rFonts w:ascii="宋体" w:hAnsi="宋体" w:cs="宋体"/>
                <w:color w:val="000000"/>
                <w:kern w:val="10"/>
                <w:sz w:val="24"/>
              </w:rPr>
            </w:pPr>
          </w:p>
        </w:tc>
        <w:tc>
          <w:tcPr>
            <w:tcW w:w="2719" w:type="dxa"/>
            <w:vAlign w:val="center"/>
          </w:tcPr>
          <w:p w14:paraId="3FB3398A">
            <w:pPr>
              <w:spacing w:line="360" w:lineRule="auto"/>
              <w:jc w:val="center"/>
              <w:rPr>
                <w:rFonts w:ascii="宋体" w:hAnsi="宋体" w:cs="宋体"/>
                <w:color w:val="000000"/>
                <w:kern w:val="10"/>
                <w:sz w:val="24"/>
              </w:rPr>
            </w:pPr>
            <w:r>
              <w:rPr>
                <w:rFonts w:hint="eastAsia" w:ascii="宋体" w:hAnsi="宋体" w:cs="宋体"/>
                <w:color w:val="000000"/>
                <w:sz w:val="24"/>
              </w:rPr>
              <w:t>政府采购政策</w:t>
            </w:r>
          </w:p>
        </w:tc>
        <w:tc>
          <w:tcPr>
            <w:tcW w:w="5714" w:type="dxa"/>
            <w:vAlign w:val="center"/>
          </w:tcPr>
          <w:p w14:paraId="1B9186BD">
            <w:pPr>
              <w:spacing w:line="360" w:lineRule="auto"/>
              <w:rPr>
                <w:rFonts w:ascii="宋体" w:hAnsi="宋体" w:cs="宋体"/>
                <w:color w:val="000000"/>
                <w:kern w:val="10"/>
                <w:sz w:val="24"/>
              </w:rPr>
            </w:pPr>
            <w:r>
              <w:rPr>
                <w:rFonts w:hint="eastAsia" w:ascii="宋体" w:hAnsi="宋体" w:cs="宋体"/>
                <w:color w:val="000000"/>
                <w:kern w:val="10"/>
                <w:sz w:val="24"/>
              </w:rPr>
              <w:t>1、投标人应优先采购“节能产品政府采购清单”中的产品，投标人应当列明本项目中所投的“节能产品清单”并提供相关有效证明材料,否则不予认可。评标时涉及节能产品的将按《节能产品政府采购实施意见》(财库【2004】185号)的规定执行。“节能产品政府采购清单”在中国政府采购网、中国环境资源信息网、中国节能节水认证网发布，属于清单内的产品，投标人优先采用该产品。</w:t>
            </w:r>
          </w:p>
          <w:p w14:paraId="68E56865">
            <w:pPr>
              <w:spacing w:line="360" w:lineRule="auto"/>
              <w:rPr>
                <w:rFonts w:ascii="宋体" w:hAnsi="宋体" w:cs="宋体"/>
                <w:color w:val="000000"/>
                <w:kern w:val="10"/>
                <w:sz w:val="24"/>
              </w:rPr>
            </w:pPr>
            <w:r>
              <w:rPr>
                <w:rFonts w:hint="eastAsia" w:ascii="宋体" w:hAnsi="宋体" w:cs="宋体"/>
                <w:color w:val="000000"/>
                <w:kern w:val="10"/>
                <w:sz w:val="24"/>
              </w:rPr>
              <w:t>2、关于计算机办公设备，必须执行国家版权局、信息产业部、财政部等部门规定，投标人所投货物必须是国家信息部、版权局、商务部等部门认可的预装正版操作系统软件的计算机产品。</w:t>
            </w:r>
          </w:p>
          <w:p w14:paraId="6CF19CF8">
            <w:pPr>
              <w:spacing w:line="360" w:lineRule="auto"/>
              <w:rPr>
                <w:rFonts w:ascii="宋体" w:hAnsi="宋体" w:cs="宋体"/>
                <w:color w:val="000000"/>
                <w:kern w:val="10"/>
                <w:sz w:val="24"/>
              </w:rPr>
            </w:pPr>
            <w:r>
              <w:rPr>
                <w:rFonts w:hint="eastAsia" w:ascii="宋体" w:hAnsi="宋体" w:cs="宋体"/>
                <w:color w:val="000000"/>
                <w:kern w:val="10"/>
                <w:sz w:val="24"/>
              </w:rPr>
              <w:t>3、优先采购本国产品。采购进口产品应符合《中华人民共和国政府采购法》并依法办理论证、公示、审批手续。</w:t>
            </w:r>
          </w:p>
          <w:p w14:paraId="2996546C">
            <w:pPr>
              <w:spacing w:line="360" w:lineRule="auto"/>
              <w:rPr>
                <w:rFonts w:ascii="宋体" w:hAnsi="宋体" w:cs="宋体"/>
                <w:color w:val="000000"/>
                <w:kern w:val="10"/>
                <w:sz w:val="24"/>
              </w:rPr>
            </w:pPr>
            <w:r>
              <w:rPr>
                <w:rFonts w:hint="eastAsia" w:ascii="宋体" w:hAnsi="宋体" w:cs="宋体"/>
                <w:color w:val="000000"/>
                <w:kern w:val="10"/>
                <w:sz w:val="24"/>
              </w:rPr>
              <w:t>4、投标人应优先采购“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环境标志产品政府采购清单”在中国政府采购网、中国绿色采购网、国家环境保护总局网发布，属于清单内的产品，投标人优先采用该产品。</w:t>
            </w:r>
          </w:p>
          <w:p w14:paraId="3791767E">
            <w:pPr>
              <w:spacing w:line="360" w:lineRule="auto"/>
              <w:rPr>
                <w:rFonts w:ascii="宋体" w:hAnsi="宋体" w:cs="宋体"/>
                <w:color w:val="000000"/>
                <w:kern w:val="10"/>
                <w:sz w:val="24"/>
              </w:rPr>
            </w:pPr>
            <w:r>
              <w:rPr>
                <w:rFonts w:hint="eastAsia" w:ascii="宋体" w:hAnsi="宋体" w:cs="宋体"/>
                <w:color w:val="000000"/>
                <w:kern w:val="10"/>
                <w:sz w:val="24"/>
              </w:rPr>
              <w:t>5、落实政府采购政策，对小型、微型企业、监狱企业及残疾人福利性单位产品价格给予20%的扣除（同一投标人，中小微企业产品和监狱企业产品价格扣除优惠只享受一次，不得重复享受），用扣除后的价格参与评审，参加政府采购活动的中小企业应当提供《中小企业声明函》并提供证明材料，未填写中小企业声明函的在评标过程中不予认可；参加政府采购活动的残疾人福利性企业应当提供《残疾人福利性单位声明函》并提供证明材料，未填写残疾人福利性单位声明函的在评标过程中不予认可。中标人如为小型和微型企业的，并在投标时填写了中小企业声明函，若不能提供或提供的材料与投标时做出的声明不符，招标人有权取消该中标人的中标资格，并对因其造成的损失进行追责。</w:t>
            </w:r>
          </w:p>
          <w:p w14:paraId="21312223">
            <w:pPr>
              <w:spacing w:line="400" w:lineRule="exact"/>
              <w:rPr>
                <w:rFonts w:ascii="宋体" w:hAnsi="宋体" w:cs="宋体"/>
                <w:color w:val="000000"/>
                <w:kern w:val="10"/>
                <w:sz w:val="24"/>
              </w:rPr>
            </w:pPr>
            <w:r>
              <w:rPr>
                <w:rFonts w:hint="eastAsia" w:ascii="宋体" w:hAnsi="宋体" w:cs="Calibri"/>
                <w:sz w:val="24"/>
              </w:rPr>
              <w:t>本项目采购标：属于</w:t>
            </w:r>
            <w:r>
              <w:rPr>
                <w:rFonts w:hint="eastAsia" w:ascii="宋体" w:hAnsi="宋体" w:cs="Calibri"/>
                <w:b/>
                <w:sz w:val="24"/>
              </w:rPr>
              <w:t>工业。</w:t>
            </w:r>
          </w:p>
        </w:tc>
      </w:tr>
      <w:tr w14:paraId="63DD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189736A">
            <w:pPr>
              <w:numPr>
                <w:ilvl w:val="0"/>
                <w:numId w:val="1"/>
              </w:numPr>
              <w:spacing w:line="360" w:lineRule="auto"/>
              <w:jc w:val="center"/>
              <w:rPr>
                <w:rFonts w:ascii="宋体" w:hAnsi="宋体" w:cs="宋体"/>
                <w:color w:val="000000"/>
                <w:kern w:val="10"/>
                <w:sz w:val="24"/>
              </w:rPr>
            </w:pPr>
          </w:p>
        </w:tc>
        <w:tc>
          <w:tcPr>
            <w:tcW w:w="2719" w:type="dxa"/>
            <w:vAlign w:val="center"/>
          </w:tcPr>
          <w:p w14:paraId="4D712845">
            <w:pPr>
              <w:keepLines/>
              <w:spacing w:line="360" w:lineRule="auto"/>
              <w:jc w:val="center"/>
              <w:rPr>
                <w:rFonts w:ascii="宋体" w:hAnsi="宋体" w:cs="宋体"/>
                <w:color w:val="000000"/>
                <w:sz w:val="24"/>
              </w:rPr>
            </w:pPr>
            <w:r>
              <w:rPr>
                <w:rFonts w:hint="eastAsia" w:ascii="宋体" w:hAnsi="宋体" w:cs="宋体"/>
                <w:kern w:val="0"/>
                <w:sz w:val="24"/>
              </w:rPr>
              <w:t>质疑和投诉</w:t>
            </w:r>
          </w:p>
        </w:tc>
        <w:tc>
          <w:tcPr>
            <w:tcW w:w="5714" w:type="dxa"/>
            <w:vAlign w:val="center"/>
          </w:tcPr>
          <w:p w14:paraId="045FAB4C">
            <w:pPr>
              <w:keepLines/>
              <w:spacing w:line="400" w:lineRule="exact"/>
              <w:rPr>
                <w:rFonts w:ascii="宋体" w:hAnsi="宋体" w:cs="宋体"/>
                <w:sz w:val="24"/>
              </w:rPr>
            </w:pPr>
            <w:r>
              <w:rPr>
                <w:rFonts w:hint="eastAsia" w:ascii="宋体" w:hAnsi="宋体" w:cs="宋体"/>
                <w:sz w:val="24"/>
              </w:rPr>
              <w:t>1.供应商认为采购文件、采购过程和中标或者成交结果使自己的权益受到损害的，可以在知道或者应知其权益受到损害之日起7个工作日内，以书面形式向采购人、采购代理机构提出质疑。</w:t>
            </w:r>
          </w:p>
          <w:p w14:paraId="0F39ACD2">
            <w:pPr>
              <w:keepLines/>
              <w:spacing w:line="400" w:lineRule="exact"/>
              <w:rPr>
                <w:rFonts w:ascii="宋体" w:hAnsi="宋体" w:cs="宋体"/>
                <w:sz w:val="24"/>
              </w:rPr>
            </w:pPr>
            <w:r>
              <w:rPr>
                <w:rFonts w:hint="eastAsia" w:ascii="宋体" w:hAnsi="宋体" w:cs="宋体"/>
                <w:sz w:val="24"/>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003AF164">
            <w:pPr>
              <w:keepLines/>
              <w:spacing w:line="400" w:lineRule="exact"/>
              <w:rPr>
                <w:rFonts w:ascii="宋体" w:hAnsi="宋体" w:cs="宋体"/>
                <w:sz w:val="24"/>
              </w:rPr>
            </w:pPr>
            <w:r>
              <w:rPr>
                <w:rFonts w:hint="eastAsia" w:ascii="宋体" w:hAnsi="宋体" w:cs="宋体"/>
                <w:sz w:val="24"/>
              </w:rPr>
              <w:t>超出法定质疑期的、重复提出的、分次提出的或内容、形式不符合《政府采购质疑和投诉办法》的，提出质疑的供应商将依法承担不利后果。</w:t>
            </w:r>
          </w:p>
          <w:p w14:paraId="428FFE45">
            <w:pPr>
              <w:keepLines/>
              <w:spacing w:line="400" w:lineRule="exact"/>
              <w:rPr>
                <w:rFonts w:ascii="宋体" w:hAnsi="宋体" w:cs="宋体"/>
                <w:sz w:val="24"/>
              </w:rPr>
            </w:pPr>
            <w:r>
              <w:rPr>
                <w:rFonts w:hint="eastAsia" w:ascii="宋体" w:hAnsi="宋体" w:cs="宋体"/>
                <w:sz w:val="24"/>
              </w:rPr>
              <w:t>3.质疑函接收部门、联系电话和通讯地址,见供应商须知前附表</w:t>
            </w:r>
          </w:p>
          <w:p w14:paraId="5DC6AD9A">
            <w:pPr>
              <w:keepLines/>
              <w:spacing w:line="400" w:lineRule="exact"/>
              <w:rPr>
                <w:rFonts w:ascii="宋体" w:hAnsi="宋体" w:cs="宋体"/>
                <w:sz w:val="24"/>
              </w:rPr>
            </w:pPr>
            <w:r>
              <w:rPr>
                <w:rFonts w:hint="eastAsia" w:ascii="宋体" w:hAnsi="宋体" w:cs="宋体"/>
                <w:sz w:val="24"/>
              </w:rPr>
              <w:t>4.质疑供应商对采购人、采购代理机构的答复不满意，或者采购人、采购代理机构未在规定时间内作出答复的，可以在答复期满后15个工作日内向财政部门提起投诉。</w:t>
            </w:r>
          </w:p>
          <w:p w14:paraId="2AA69E57">
            <w:pPr>
              <w:keepLines/>
              <w:spacing w:line="400" w:lineRule="exact"/>
              <w:rPr>
                <w:rFonts w:ascii="宋体" w:hAnsi="宋体" w:cs="Calibri"/>
                <w:sz w:val="24"/>
              </w:rPr>
            </w:pPr>
            <w:r>
              <w:rPr>
                <w:rFonts w:hint="eastAsia" w:ascii="宋体" w:hAnsi="宋体" w:cs="宋体"/>
                <w:sz w:val="24"/>
              </w:rPr>
              <w:t>5.投诉人投诉时,应当提交投诉书和必要的证明材料，并按照被投诉采购人、采购代理机构（以下简称被投诉人）和与投诉事项有关的供应商数量提供投诉书的副本。</w:t>
            </w:r>
          </w:p>
        </w:tc>
      </w:tr>
      <w:tr w14:paraId="3C06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33B5958">
            <w:pPr>
              <w:numPr>
                <w:ilvl w:val="0"/>
                <w:numId w:val="1"/>
              </w:numPr>
              <w:spacing w:line="360" w:lineRule="auto"/>
              <w:jc w:val="center"/>
              <w:rPr>
                <w:rFonts w:ascii="宋体" w:hAnsi="宋体" w:cs="宋体"/>
                <w:color w:val="000000"/>
                <w:kern w:val="10"/>
                <w:sz w:val="24"/>
              </w:rPr>
            </w:pPr>
          </w:p>
        </w:tc>
        <w:tc>
          <w:tcPr>
            <w:tcW w:w="2719" w:type="dxa"/>
            <w:vAlign w:val="center"/>
          </w:tcPr>
          <w:p w14:paraId="63B4E933">
            <w:pPr>
              <w:keepLines/>
              <w:spacing w:line="360" w:lineRule="auto"/>
              <w:jc w:val="center"/>
              <w:rPr>
                <w:rFonts w:ascii="宋体" w:hAnsi="宋体" w:cs="宋体"/>
                <w:color w:val="000000"/>
                <w:sz w:val="24"/>
              </w:rPr>
            </w:pPr>
            <w:r>
              <w:rPr>
                <w:rFonts w:hint="eastAsia" w:ascii="宋体" w:hAnsi="宋体" w:cs="宋体"/>
                <w:kern w:val="0"/>
                <w:sz w:val="24"/>
              </w:rPr>
              <w:t>招标文件解释</w:t>
            </w:r>
          </w:p>
        </w:tc>
        <w:tc>
          <w:tcPr>
            <w:tcW w:w="5714" w:type="dxa"/>
            <w:vAlign w:val="center"/>
          </w:tcPr>
          <w:p w14:paraId="29C375F1">
            <w:pPr>
              <w:keepLines/>
              <w:spacing w:line="400" w:lineRule="exact"/>
              <w:rPr>
                <w:rFonts w:ascii="宋体" w:hAnsi="宋体" w:cs="Calibri"/>
                <w:sz w:val="24"/>
              </w:rPr>
            </w:pPr>
            <w:r>
              <w:rPr>
                <w:rFonts w:hint="eastAsia" w:ascii="宋体" w:hAnsi="宋体" w:cs="宋体"/>
                <w:sz w:val="24"/>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F34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8346237">
            <w:pPr>
              <w:numPr>
                <w:ilvl w:val="0"/>
                <w:numId w:val="1"/>
              </w:numPr>
              <w:spacing w:line="360" w:lineRule="auto"/>
              <w:jc w:val="center"/>
              <w:rPr>
                <w:rFonts w:ascii="宋体" w:hAnsi="宋体" w:cs="宋体"/>
                <w:color w:val="000000"/>
                <w:kern w:val="10"/>
                <w:sz w:val="24"/>
              </w:rPr>
            </w:pPr>
          </w:p>
        </w:tc>
        <w:tc>
          <w:tcPr>
            <w:tcW w:w="2719" w:type="dxa"/>
            <w:vAlign w:val="center"/>
          </w:tcPr>
          <w:p w14:paraId="01BADC12">
            <w:pPr>
              <w:spacing w:line="560" w:lineRule="exact"/>
              <w:jc w:val="center"/>
              <w:rPr>
                <w:rFonts w:ascii="宋体" w:hAnsi="宋体" w:cs="宋体"/>
                <w:color w:val="000000"/>
                <w:sz w:val="24"/>
              </w:rPr>
            </w:pPr>
            <w:r>
              <w:rPr>
                <w:rFonts w:hint="eastAsia" w:ascii="等线" w:hAnsi="等线" w:cs="等线"/>
                <w:sz w:val="24"/>
                <w:szCs w:val="28"/>
              </w:rPr>
              <w:t>监督</w:t>
            </w:r>
          </w:p>
        </w:tc>
        <w:tc>
          <w:tcPr>
            <w:tcW w:w="5714" w:type="dxa"/>
            <w:vAlign w:val="center"/>
          </w:tcPr>
          <w:p w14:paraId="29E14817">
            <w:pPr>
              <w:spacing w:line="560" w:lineRule="exact"/>
              <w:rPr>
                <w:rFonts w:ascii="宋体" w:hAnsi="宋体" w:cs="Calibri"/>
                <w:sz w:val="24"/>
              </w:rPr>
            </w:pPr>
            <w:r>
              <w:rPr>
                <w:rFonts w:hint="eastAsia" w:ascii="宋体" w:hAnsi="宋体" w:cs="宋体"/>
                <w:sz w:val="24"/>
                <w:szCs w:val="28"/>
              </w:rPr>
              <w:t>本项目的招标投标活动及其相关当事人应当接受有管辖权的行政监督部门依法实施的监督。</w:t>
            </w:r>
          </w:p>
        </w:tc>
      </w:tr>
      <w:tr w14:paraId="1640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58C45EF">
            <w:pPr>
              <w:numPr>
                <w:ilvl w:val="0"/>
                <w:numId w:val="1"/>
              </w:numPr>
              <w:spacing w:line="360" w:lineRule="auto"/>
              <w:jc w:val="center"/>
              <w:rPr>
                <w:rFonts w:ascii="宋体" w:hAnsi="宋体" w:cs="宋体"/>
                <w:color w:val="000000"/>
                <w:kern w:val="10"/>
                <w:sz w:val="24"/>
              </w:rPr>
            </w:pPr>
          </w:p>
        </w:tc>
        <w:tc>
          <w:tcPr>
            <w:tcW w:w="2719" w:type="dxa"/>
            <w:vAlign w:val="center"/>
          </w:tcPr>
          <w:p w14:paraId="2C26FE56">
            <w:pPr>
              <w:keepLines/>
              <w:spacing w:line="360" w:lineRule="auto"/>
              <w:jc w:val="center"/>
              <w:rPr>
                <w:rFonts w:ascii="等线" w:hAnsi="等线" w:cs="等线"/>
                <w:sz w:val="24"/>
                <w:szCs w:val="28"/>
              </w:rPr>
            </w:pPr>
            <w:r>
              <w:rPr>
                <w:rFonts w:hint="eastAsia" w:ascii="宋体" w:hAnsi="宋体" w:cs="宋体"/>
                <w:kern w:val="0"/>
                <w:sz w:val="24"/>
              </w:rPr>
              <w:t>其他</w:t>
            </w:r>
          </w:p>
        </w:tc>
        <w:tc>
          <w:tcPr>
            <w:tcW w:w="5714" w:type="dxa"/>
            <w:vAlign w:val="center"/>
          </w:tcPr>
          <w:p w14:paraId="7479B9EB">
            <w:pPr>
              <w:keepLines/>
              <w:spacing w:line="400" w:lineRule="exact"/>
              <w:rPr>
                <w:rFonts w:ascii="宋体" w:hAnsi="宋体" w:cs="宋体"/>
                <w:sz w:val="24"/>
              </w:rPr>
            </w:pPr>
            <w:r>
              <w:rPr>
                <w:rFonts w:ascii="宋体" w:hAnsi="宋体" w:cs="宋体"/>
                <w:sz w:val="24"/>
              </w:rPr>
              <w:t>1</w:t>
            </w:r>
            <w:r>
              <w:rPr>
                <w:rFonts w:hint="eastAsia" w:ascii="宋体" w:hAnsi="宋体" w:cs="宋体"/>
                <w:sz w:val="24"/>
              </w:rPr>
              <w:t>.本项目实行资格后审，审查内容以投标文件为准，其上传资料真实性由供应商自行承担，同时，供应商请完善主体库。</w:t>
            </w:r>
            <w:r>
              <w:rPr>
                <w:rFonts w:hint="eastAsia" w:ascii="宋体" w:hAnsi="宋体" w:cs="宋体"/>
                <w:b/>
                <w:bCs/>
                <w:sz w:val="24"/>
              </w:rPr>
              <w:t>（注：评标过程中若主体库资料显示不全面，不得作为废标的依据）</w:t>
            </w:r>
          </w:p>
          <w:p w14:paraId="3DB5EEB9">
            <w:pPr>
              <w:keepLines/>
              <w:spacing w:line="400" w:lineRule="exact"/>
              <w:rPr>
                <w:rFonts w:ascii="宋体" w:hAnsi="宋体" w:cs="宋体"/>
                <w:sz w:val="24"/>
              </w:rPr>
            </w:pPr>
            <w:r>
              <w:rPr>
                <w:rFonts w:ascii="宋体" w:hAnsi="宋体" w:cs="宋体"/>
                <w:sz w:val="24"/>
              </w:rPr>
              <w:t>2</w:t>
            </w:r>
            <w:r>
              <w:rPr>
                <w:rFonts w:hint="eastAsia" w:ascii="宋体" w:hAnsi="宋体" w:cs="宋体"/>
                <w:sz w:val="24"/>
              </w:rPr>
              <w:t>.评标打分部分：评标打分部分仍按照100分制原则进行，涉及到资格审查、企业荣誉、企业业绩等计分部分时，以投标单位自行上传到投标文件中的相应内容为准。</w:t>
            </w:r>
          </w:p>
          <w:p w14:paraId="19950FF3">
            <w:pPr>
              <w:keepLines/>
              <w:spacing w:line="400" w:lineRule="exact"/>
              <w:rPr>
                <w:rFonts w:ascii="宋体" w:hAnsi="宋体" w:cs="宋体"/>
                <w:sz w:val="24"/>
              </w:rPr>
            </w:pPr>
            <w:r>
              <w:rPr>
                <w:rFonts w:ascii="宋体" w:hAnsi="宋体" w:cs="宋体"/>
                <w:sz w:val="24"/>
              </w:rPr>
              <w:t>3</w:t>
            </w:r>
            <w:r>
              <w:rPr>
                <w:rFonts w:hint="eastAsia" w:ascii="宋体" w:hAnsi="宋体" w:cs="宋体"/>
                <w:sz w:val="24"/>
              </w:rPr>
              <w:t>.在招标文件中要求供应商按照投标文件格式进行投标文件编制，在投标文件编制时，应明确将供应商企业基本情况、人员情况、财务情况、业绩情况编入投标文件，便于进行资格审查及评标打分。</w:t>
            </w:r>
          </w:p>
          <w:p w14:paraId="62A43F49">
            <w:pPr>
              <w:keepLines/>
              <w:spacing w:line="400" w:lineRule="exact"/>
              <w:rPr>
                <w:rFonts w:ascii="宋体" w:hAnsi="宋体" w:cs="宋体"/>
                <w:sz w:val="24"/>
                <w:szCs w:val="28"/>
              </w:rPr>
            </w:pPr>
            <w:r>
              <w:rPr>
                <w:rFonts w:ascii="宋体" w:hAnsi="宋体" w:cs="宋体"/>
                <w:sz w:val="24"/>
              </w:rPr>
              <w:t>4</w:t>
            </w:r>
            <w:r>
              <w:rPr>
                <w:rFonts w:hint="eastAsia" w:ascii="宋体" w:hAnsi="宋体" w:cs="宋体"/>
                <w:sz w:val="24"/>
              </w:rPr>
              <w:t>.我单位（采购人）严格按三财购【2021】9号文要求的时限发布中标结果公告，发出中标通知书，签订采购合同，上传采购合同。</w:t>
            </w:r>
          </w:p>
        </w:tc>
      </w:tr>
      <w:tr w14:paraId="580C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5907EC1">
            <w:pPr>
              <w:numPr>
                <w:ilvl w:val="0"/>
                <w:numId w:val="1"/>
              </w:numPr>
              <w:spacing w:line="360" w:lineRule="auto"/>
              <w:jc w:val="center"/>
              <w:rPr>
                <w:rFonts w:ascii="宋体" w:hAnsi="宋体" w:cs="宋体"/>
                <w:color w:val="000000"/>
                <w:kern w:val="10"/>
                <w:sz w:val="24"/>
              </w:rPr>
            </w:pPr>
          </w:p>
        </w:tc>
        <w:tc>
          <w:tcPr>
            <w:tcW w:w="2719" w:type="dxa"/>
            <w:vAlign w:val="center"/>
          </w:tcPr>
          <w:p w14:paraId="65E5353E">
            <w:pPr>
              <w:spacing w:line="360" w:lineRule="auto"/>
              <w:jc w:val="center"/>
              <w:rPr>
                <w:rFonts w:ascii="宋体" w:hAnsi="宋体"/>
                <w:color w:val="000000"/>
                <w:kern w:val="0"/>
                <w:sz w:val="24"/>
              </w:rPr>
            </w:pPr>
            <w:r>
              <w:rPr>
                <w:rFonts w:hint="eastAsia" w:ascii="宋体" w:hAnsi="宋体"/>
                <w:color w:val="000000"/>
                <w:kern w:val="0"/>
                <w:sz w:val="24"/>
              </w:rPr>
              <w:t>电子化交易</w:t>
            </w:r>
          </w:p>
          <w:p w14:paraId="025B575C">
            <w:pPr>
              <w:spacing w:line="360" w:lineRule="auto"/>
              <w:jc w:val="center"/>
              <w:rPr>
                <w:rFonts w:ascii="宋体" w:hAnsi="宋体"/>
                <w:color w:val="000000"/>
                <w:kern w:val="0"/>
                <w:sz w:val="24"/>
              </w:rPr>
            </w:pPr>
            <w:r>
              <w:rPr>
                <w:rFonts w:hint="eastAsia" w:ascii="宋体" w:hAnsi="宋体"/>
                <w:color w:val="000000"/>
                <w:kern w:val="0"/>
                <w:sz w:val="24"/>
              </w:rPr>
              <w:t>注意事项</w:t>
            </w:r>
          </w:p>
        </w:tc>
        <w:tc>
          <w:tcPr>
            <w:tcW w:w="5714" w:type="dxa"/>
            <w:vAlign w:val="center"/>
          </w:tcPr>
          <w:p w14:paraId="51C37692">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具体要求：本项目为电子化、无纸化交易项目，投标文件是</w:t>
            </w:r>
            <w:r>
              <w:rPr>
                <w:rFonts w:hint="eastAsia" w:ascii="宋体" w:hAnsi="宋体" w:cs="宋体"/>
                <w:sz w:val="24"/>
              </w:rPr>
              <w:t>投标人</w:t>
            </w:r>
            <w:r>
              <w:rPr>
                <w:rFonts w:hint="eastAsia" w:ascii="宋体" w:hAnsi="宋体" w:cs="宋体"/>
                <w:spacing w:val="1"/>
                <w:kern w:val="0"/>
                <w:sz w:val="24"/>
              </w:rPr>
              <w:t>通过中心投标文件制作系统制作，并经过签章和加密后生成的电子版投标文件。</w:t>
            </w:r>
          </w:p>
          <w:p w14:paraId="6C709417">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电子化投标文件具体制作文件请点击http://gzjy.smx.gov.cn/bzzx/008002/moreinfo.html进行下载。</w:t>
            </w:r>
          </w:p>
          <w:p w14:paraId="75D89B6A">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温馨提示：本项目为电子化、无纸化交易项目，为保证您能投标成功，请需仔细阅读以下条款。</w:t>
            </w:r>
          </w:p>
          <w:p w14:paraId="261D34E5">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一、电子化投标</w:t>
            </w:r>
          </w:p>
          <w:p w14:paraId="607A9A01">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（一）网上投标保证金的缴纳（如有）</w:t>
            </w:r>
          </w:p>
          <w:p w14:paraId="7A0B247F">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 xml:space="preserve">1、递交形式: </w:t>
            </w:r>
            <w:r>
              <w:rPr>
                <w:rFonts w:hint="eastAsia" w:ascii="宋体" w:hAnsi="宋体" w:cs="宋体"/>
                <w:sz w:val="24"/>
              </w:rPr>
              <w:t>投标人</w:t>
            </w:r>
            <w:r>
              <w:rPr>
                <w:rFonts w:hint="eastAsia" w:ascii="宋体" w:hAnsi="宋体" w:cs="宋体"/>
                <w:spacing w:val="1"/>
                <w:kern w:val="0"/>
                <w:sz w:val="24"/>
              </w:rPr>
              <w:t>的投标保证金必须通过投标人基本账户以转账或电汇的形式缴纳（账户必须是已加入三门峡市公共资源交易</w:t>
            </w:r>
            <w:r>
              <w:rPr>
                <w:rFonts w:hint="eastAsia" w:ascii="宋体" w:hAnsi="宋体" w:cs="宋体"/>
                <w:sz w:val="24"/>
              </w:rPr>
              <w:t>投标人投标人））</w:t>
            </w:r>
            <w:r>
              <w:rPr>
                <w:rFonts w:hint="eastAsia" w:ascii="宋体" w:hAnsi="宋体" w:cs="宋体"/>
                <w:spacing w:val="1"/>
                <w:kern w:val="0"/>
                <w:sz w:val="24"/>
              </w:rPr>
              <w:t>或</w:t>
            </w:r>
            <w:r>
              <w:rPr>
                <w:rFonts w:hint="eastAsia" w:ascii="宋体" w:hAnsi="宋体" w:cs="宋体"/>
                <w:sz w:val="24"/>
              </w:rPr>
              <w:t>投标人</w:t>
            </w:r>
            <w:r>
              <w:rPr>
                <w:rFonts w:hint="eastAsia" w:ascii="宋体" w:hAnsi="宋体" w:cs="宋体"/>
                <w:spacing w:val="1"/>
                <w:kern w:val="0"/>
                <w:sz w:val="24"/>
              </w:rPr>
              <w:t>主体库中的账户）。</w:t>
            </w:r>
          </w:p>
          <w:p w14:paraId="2DCDE008">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3、</w:t>
            </w:r>
            <w:r>
              <w:rPr>
                <w:rFonts w:hint="eastAsia" w:ascii="宋体" w:hAnsi="宋体" w:cs="宋体"/>
                <w:sz w:val="24"/>
              </w:rPr>
              <w:t>投标人</w:t>
            </w:r>
            <w:r>
              <w:rPr>
                <w:rFonts w:hint="eastAsia" w:ascii="宋体" w:hAnsi="宋体" w:cs="宋体"/>
                <w:spacing w:val="1"/>
                <w:kern w:val="0"/>
                <w:sz w:val="24"/>
              </w:rPr>
              <w:t>在成功缴纳后，可以将银行回单制作在投标文件中，作为缴纳保证金的依据。</w:t>
            </w:r>
          </w:p>
          <w:p w14:paraId="59D87B1F">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4、投标人应仔细阅读操作手册并充分考虑异地跨行转账到账时间等因素，因投标人操作不当或银行到账时间等问题造成开标时间未到达指定账户影响投标的，由投标人自行承担后果。</w:t>
            </w:r>
          </w:p>
          <w:p w14:paraId="3D3657A6">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5、未中标投标人的投标保证金在项目结束后，将通过中心交易平台退还。</w:t>
            </w:r>
          </w:p>
          <w:p w14:paraId="6DE98CD3">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（二）电子化投标文件的签章</w:t>
            </w:r>
          </w:p>
          <w:p w14:paraId="3953DB13">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1、投标人在生成电子化投标文件后，应对电子化投标文件进行签章，未进行签章的视为无效投标。</w:t>
            </w:r>
          </w:p>
          <w:p w14:paraId="44A838EC">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2、磋商文件中要求法定代表人或授权委托人签字或盖章的，投标人在进行电子化投标文件签章时，以签盖法定代表人签章为准。</w:t>
            </w:r>
          </w:p>
          <w:p w14:paraId="2D203AE4">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（三）电子化投标文件的格式及上传投标</w:t>
            </w:r>
          </w:p>
          <w:p w14:paraId="5D51870B">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1、投标人所上传的电子化投标文件，应是通过中心投标文件制作系统制作的，投标文件制作工具下载地址：http://gzjy.smx.gov.cn/bzzx/008002/moreinfo.html），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3B53153E">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2、待所有投标人投标文件解密完成后，由中介服务机构操作，对所有已解密投标文件进行唱标。</w:t>
            </w:r>
          </w:p>
          <w:p w14:paraId="03D52855">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投标人应保证在开标期间电话、电脑、网络能够正常工作，投标人因停电、电脑病毒、网络堵塞等原因，未在规定的解密时间内对投标文件进行解密的，其投标文件不予接收、唱标。</w:t>
            </w:r>
          </w:p>
          <w:p w14:paraId="4D960EA3">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3、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5E1A2D1B">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4、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303C621F">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5、如评标委员会对需要回复的投标人连续三次致电未接通的，视为投标人放弃回复，评标委员会将自行对需要回复的内容进行认定。</w:t>
            </w:r>
          </w:p>
          <w:p w14:paraId="010C642C">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二、相关证书原件的提交</w:t>
            </w:r>
          </w:p>
          <w:p w14:paraId="1275E0F9">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本项目招标文件中要求投标人提交相关资料原件的，投标人需将原件扫描件制作到电子投标文件中，同时将该原件扫描件上传至三门峡市公共资源交易投标人（投标人主体库。评标委员会对原件的核验工作按以下条款进行：</w:t>
            </w:r>
          </w:p>
          <w:p w14:paraId="60F21515">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一）评标时，评委先查阅投标文件中是否具有该资料的原件扫描件，再对照审查该资料原件是否已在三门峡市公共资源交易投标人主体库中上传且内容一致。投标文件中相关原件资料未在主体库中上传或上传内容不一致的，</w:t>
            </w:r>
            <w:r>
              <w:rPr>
                <w:rFonts w:hint="eastAsia" w:ascii="宋体" w:hAnsi="宋体" w:cs="宋体"/>
                <w:color w:val="000000"/>
                <w:sz w:val="24"/>
              </w:rPr>
              <w:t>评审中资格审查、评审打分以投标文件为准</w:t>
            </w:r>
            <w:r>
              <w:rPr>
                <w:rFonts w:hint="eastAsia" w:ascii="宋体" w:hAnsi="宋体" w:cs="宋体"/>
                <w:spacing w:val="1"/>
                <w:kern w:val="0"/>
                <w:sz w:val="24"/>
              </w:rPr>
              <w:t>。</w:t>
            </w:r>
          </w:p>
          <w:p w14:paraId="34DCE9D9">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（二）项目评标结果公示时，将同时公示中标候选人主体库信息，接受社会监督。</w:t>
            </w:r>
          </w:p>
          <w:p w14:paraId="1CAD1255">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（三）投标人需应仔细阅读操作手册，保证上传内容齐全，真实有效，原件扫描件清晰可辨。因投标人上传原因导致应得分项而未得分或资格审查不合格等情况的，由投标人自行承担责任。</w:t>
            </w:r>
          </w:p>
          <w:p w14:paraId="017B6F0C">
            <w:pPr>
              <w:autoSpaceDE w:val="0"/>
              <w:autoSpaceDN w:val="0"/>
              <w:adjustRightInd w:val="0"/>
              <w:spacing w:line="420" w:lineRule="exact"/>
              <w:jc w:val="left"/>
              <w:rPr>
                <w:rFonts w:ascii="宋体" w:hAnsi="宋体" w:cs="宋体"/>
                <w:spacing w:val="1"/>
                <w:kern w:val="0"/>
                <w:szCs w:val="21"/>
              </w:rPr>
            </w:pPr>
            <w:r>
              <w:rPr>
                <w:rFonts w:hint="eastAsia" w:ascii="宋体" w:hAnsi="宋体" w:cs="宋体"/>
                <w:b/>
                <w:bCs/>
                <w:spacing w:val="1"/>
                <w:kern w:val="0"/>
                <w:sz w:val="24"/>
              </w:rPr>
              <w:t>提示：本项目为电子化、无纸化交易项目，为保证您能投标成功，请需仔细阅读以上条款。</w:t>
            </w:r>
          </w:p>
        </w:tc>
      </w:tr>
      <w:tr w14:paraId="3BEE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53456A2">
            <w:pPr>
              <w:numPr>
                <w:ilvl w:val="0"/>
                <w:numId w:val="1"/>
              </w:numPr>
              <w:spacing w:line="360" w:lineRule="auto"/>
              <w:jc w:val="center"/>
              <w:rPr>
                <w:rFonts w:ascii="宋体" w:hAnsi="宋体" w:cs="宋体"/>
                <w:color w:val="000000"/>
                <w:kern w:val="10"/>
                <w:sz w:val="24"/>
              </w:rPr>
            </w:pPr>
          </w:p>
        </w:tc>
        <w:tc>
          <w:tcPr>
            <w:tcW w:w="2719" w:type="dxa"/>
            <w:vAlign w:val="center"/>
          </w:tcPr>
          <w:p w14:paraId="198093CD">
            <w:pPr>
              <w:spacing w:line="360" w:lineRule="auto"/>
              <w:jc w:val="center"/>
              <w:rPr>
                <w:rFonts w:ascii="宋体" w:hAnsi="宋体" w:cs="宋体"/>
                <w:color w:val="000000"/>
                <w:kern w:val="10"/>
                <w:sz w:val="24"/>
              </w:rPr>
            </w:pPr>
            <w:r>
              <w:rPr>
                <w:rFonts w:hint="eastAsia" w:ascii="宋体" w:hAnsi="宋体" w:cs="宋体"/>
                <w:color w:val="000000"/>
                <w:kern w:val="10"/>
                <w:sz w:val="24"/>
              </w:rPr>
              <w:t>需要补充的其他内容：</w:t>
            </w:r>
          </w:p>
        </w:tc>
        <w:tc>
          <w:tcPr>
            <w:tcW w:w="5714" w:type="dxa"/>
            <w:vAlign w:val="center"/>
          </w:tcPr>
          <w:p w14:paraId="0E6B6868">
            <w:pPr>
              <w:spacing w:line="360" w:lineRule="auto"/>
              <w:rPr>
                <w:rFonts w:ascii="宋体" w:hAnsi="宋体"/>
                <w:color w:val="000000"/>
                <w:sz w:val="24"/>
              </w:rPr>
            </w:pPr>
            <w:r>
              <w:rPr>
                <w:rFonts w:hint="eastAsia" w:ascii="宋体" w:hAnsi="宋体"/>
                <w:color w:val="000000"/>
                <w:sz w:val="24"/>
              </w:rPr>
              <w:t>2、本项目采用全过程电子化投标，投标人需用 CA 在电子平台上传电子响应性文件，开标时不再递交纸质响应性文件，中标单位领取中标通知书时提交叁套纸质响应性文件及电子版一份；</w:t>
            </w:r>
          </w:p>
          <w:p w14:paraId="7669DAF3">
            <w:pPr>
              <w:spacing w:line="360" w:lineRule="auto"/>
              <w:rPr>
                <w:rFonts w:ascii="宋体" w:hAnsi="宋体"/>
                <w:sz w:val="24"/>
              </w:rPr>
            </w:pPr>
            <w:r>
              <w:rPr>
                <w:rFonts w:hint="eastAsia" w:ascii="宋体" w:hAnsi="宋体"/>
                <w:color w:val="000000"/>
                <w:sz w:val="24"/>
              </w:rPr>
              <w:t>3、竞争性磋商文件的最终解释权归采购人。</w:t>
            </w:r>
          </w:p>
        </w:tc>
      </w:tr>
    </w:tbl>
    <w:p w14:paraId="0B6CFC3B">
      <w:pPr>
        <w:rPr>
          <w:rFonts w:ascii="宋体" w:hAnsi="宋体" w:cs="宋体"/>
          <w:color w:val="000000"/>
          <w:kern w:val="10"/>
          <w:sz w:val="24"/>
        </w:rPr>
      </w:pPr>
    </w:p>
    <w:p w14:paraId="23722BB1">
      <w:pPr>
        <w:rPr>
          <w:rFonts w:ascii="宋体" w:hAnsi="宋体" w:cs="宋体"/>
          <w:color w:val="000000"/>
          <w:kern w:val="10"/>
          <w:sz w:val="28"/>
          <w:szCs w:val="28"/>
        </w:rPr>
      </w:pPr>
      <w:bookmarkStart w:id="28" w:name="_Toc516499646"/>
      <w:bookmarkStart w:id="29" w:name="_Toc5115"/>
      <w:bookmarkStart w:id="30" w:name="_Toc9231"/>
      <w:bookmarkStart w:id="31" w:name="_Toc18842"/>
      <w:bookmarkStart w:id="32" w:name="_Toc15368"/>
      <w:r>
        <w:rPr>
          <w:rFonts w:hint="eastAsia" w:ascii="宋体" w:hAnsi="宋体" w:cs="宋体"/>
          <w:color w:val="000000"/>
          <w:kern w:val="10"/>
          <w:sz w:val="28"/>
          <w:szCs w:val="28"/>
        </w:rPr>
        <w:br w:type="page"/>
      </w:r>
    </w:p>
    <w:p w14:paraId="3B72FECF">
      <w:pPr>
        <w:spacing w:line="360" w:lineRule="auto"/>
        <w:ind w:firstLine="560" w:firstLineChars="200"/>
        <w:rPr>
          <w:rFonts w:ascii="宋体" w:hAnsi="宋体" w:cs="宋体"/>
          <w:color w:val="000000"/>
          <w:kern w:val="10"/>
          <w:sz w:val="28"/>
          <w:szCs w:val="28"/>
        </w:rPr>
      </w:pPr>
      <w:r>
        <w:rPr>
          <w:rFonts w:hint="eastAsia" w:ascii="宋体" w:hAnsi="宋体" w:cs="宋体"/>
          <w:color w:val="000000"/>
          <w:kern w:val="10"/>
          <w:sz w:val="28"/>
          <w:szCs w:val="28"/>
        </w:rPr>
        <w:t>1、总则</w:t>
      </w:r>
      <w:bookmarkEnd w:id="28"/>
    </w:p>
    <w:p w14:paraId="26A7579D">
      <w:pPr>
        <w:spacing w:line="360" w:lineRule="auto"/>
        <w:ind w:firstLine="480" w:firstLineChars="200"/>
        <w:rPr>
          <w:rFonts w:ascii="宋体" w:hAnsi="宋体"/>
          <w:color w:val="000000"/>
          <w:sz w:val="24"/>
        </w:rPr>
      </w:pPr>
      <w:bookmarkStart w:id="33" w:name="_Toc144974499"/>
      <w:bookmarkStart w:id="34" w:name="_Toc152045531"/>
      <w:bookmarkStart w:id="35" w:name="_Toc152042307"/>
      <w:bookmarkStart w:id="36" w:name="_Toc179632548"/>
      <w:r>
        <w:rPr>
          <w:rFonts w:hint="eastAsia" w:ascii="宋体" w:hAnsi="宋体"/>
          <w:color w:val="000000"/>
          <w:sz w:val="24"/>
        </w:rPr>
        <w:t>1.1 项目概况</w:t>
      </w:r>
    </w:p>
    <w:p w14:paraId="7799016B">
      <w:pPr>
        <w:spacing w:line="360" w:lineRule="auto"/>
        <w:ind w:firstLine="480" w:firstLineChars="200"/>
        <w:rPr>
          <w:rFonts w:ascii="宋体" w:hAnsi="宋体"/>
          <w:color w:val="000000"/>
          <w:sz w:val="24"/>
        </w:rPr>
      </w:pPr>
      <w:r>
        <w:rPr>
          <w:rFonts w:hint="eastAsia" w:ascii="宋体" w:hAnsi="宋体"/>
          <w:color w:val="000000"/>
          <w:sz w:val="24"/>
        </w:rPr>
        <w:t>1.1.1 根据</w:t>
      </w:r>
      <w:r>
        <w:rPr>
          <w:rFonts w:ascii="宋体" w:hAnsi="宋体"/>
          <w:color w:val="000000"/>
          <w:sz w:val="24"/>
        </w:rPr>
        <w:t>根据《中华人民共和国政府采购法》等有关法律、法规和规章的规定，本招标项目已具备</w:t>
      </w:r>
      <w:r>
        <w:rPr>
          <w:rFonts w:hint="eastAsia" w:ascii="宋体" w:hAnsi="宋体"/>
          <w:color w:val="000000"/>
          <w:sz w:val="24"/>
        </w:rPr>
        <w:t>磋商</w:t>
      </w:r>
      <w:r>
        <w:rPr>
          <w:rFonts w:ascii="宋体" w:hAnsi="宋体"/>
          <w:color w:val="000000"/>
          <w:sz w:val="24"/>
        </w:rPr>
        <w:t>条件，现对本项目进行</w:t>
      </w:r>
      <w:r>
        <w:rPr>
          <w:rFonts w:hint="eastAsia" w:ascii="宋体" w:hAnsi="宋体"/>
          <w:color w:val="000000"/>
          <w:sz w:val="24"/>
        </w:rPr>
        <w:t>磋商。</w:t>
      </w:r>
    </w:p>
    <w:p w14:paraId="5761A93C">
      <w:pPr>
        <w:spacing w:line="360" w:lineRule="auto"/>
        <w:ind w:firstLine="480" w:firstLineChars="200"/>
        <w:rPr>
          <w:rFonts w:ascii="宋体" w:hAnsi="宋体"/>
          <w:color w:val="000000"/>
          <w:sz w:val="24"/>
        </w:rPr>
      </w:pPr>
      <w:r>
        <w:rPr>
          <w:rFonts w:hint="eastAsia" w:ascii="宋体" w:hAnsi="宋体"/>
          <w:color w:val="000000"/>
          <w:sz w:val="24"/>
        </w:rPr>
        <w:t>1.1.2 本项目采购人：见投标人须知前附表。</w:t>
      </w:r>
    </w:p>
    <w:p w14:paraId="6E290ABE">
      <w:pPr>
        <w:spacing w:line="360" w:lineRule="auto"/>
        <w:ind w:firstLine="480" w:firstLineChars="200"/>
        <w:rPr>
          <w:rFonts w:ascii="宋体" w:hAnsi="宋体"/>
          <w:color w:val="000000"/>
          <w:sz w:val="24"/>
        </w:rPr>
      </w:pPr>
      <w:r>
        <w:rPr>
          <w:rFonts w:hint="eastAsia" w:ascii="宋体" w:hAnsi="宋体"/>
          <w:color w:val="000000"/>
          <w:sz w:val="24"/>
        </w:rPr>
        <w:t>1.1.3 本项目招标代理机构：见投标人须知前附表。</w:t>
      </w:r>
    </w:p>
    <w:p w14:paraId="14294868">
      <w:pPr>
        <w:spacing w:line="360" w:lineRule="auto"/>
        <w:ind w:firstLine="480" w:firstLineChars="200"/>
        <w:rPr>
          <w:rFonts w:ascii="宋体" w:hAnsi="宋体"/>
          <w:color w:val="000000"/>
          <w:sz w:val="24"/>
        </w:rPr>
      </w:pPr>
      <w:r>
        <w:rPr>
          <w:rFonts w:hint="eastAsia" w:ascii="宋体" w:hAnsi="宋体"/>
          <w:color w:val="000000"/>
          <w:sz w:val="24"/>
        </w:rPr>
        <w:t>1.1.4 本项目名称：见投标人须知前附表。</w:t>
      </w:r>
    </w:p>
    <w:bookmarkEnd w:id="33"/>
    <w:bookmarkEnd w:id="34"/>
    <w:bookmarkEnd w:id="35"/>
    <w:bookmarkEnd w:id="36"/>
    <w:p w14:paraId="7829E806">
      <w:pPr>
        <w:spacing w:line="360" w:lineRule="auto"/>
        <w:ind w:firstLine="480" w:firstLineChars="200"/>
        <w:rPr>
          <w:rFonts w:ascii="宋体" w:hAnsi="宋体"/>
          <w:color w:val="000000"/>
          <w:sz w:val="24"/>
        </w:rPr>
      </w:pPr>
      <w:r>
        <w:rPr>
          <w:rFonts w:hint="eastAsia" w:ascii="宋体" w:hAnsi="宋体"/>
          <w:color w:val="000000"/>
          <w:sz w:val="24"/>
        </w:rPr>
        <w:t>1.2 资金来源和落实情况</w:t>
      </w:r>
    </w:p>
    <w:p w14:paraId="1DF46AD1">
      <w:pPr>
        <w:spacing w:line="360" w:lineRule="auto"/>
        <w:ind w:firstLine="480" w:firstLineChars="200"/>
        <w:rPr>
          <w:rFonts w:ascii="宋体" w:hAnsi="宋体"/>
          <w:color w:val="000000"/>
          <w:sz w:val="24"/>
        </w:rPr>
      </w:pPr>
      <w:r>
        <w:rPr>
          <w:rFonts w:hint="eastAsia" w:ascii="宋体" w:hAnsi="宋体"/>
          <w:color w:val="000000"/>
          <w:sz w:val="24"/>
        </w:rPr>
        <w:t>1.2.1 本项目的资金来源：见投标人须知前附表。</w:t>
      </w:r>
    </w:p>
    <w:p w14:paraId="53A0BDFD">
      <w:pPr>
        <w:spacing w:line="360" w:lineRule="auto"/>
        <w:ind w:firstLine="480" w:firstLineChars="200"/>
        <w:rPr>
          <w:rFonts w:ascii="宋体" w:hAnsi="宋体"/>
          <w:color w:val="000000"/>
          <w:sz w:val="24"/>
        </w:rPr>
      </w:pPr>
      <w:r>
        <w:rPr>
          <w:rFonts w:hint="eastAsia" w:ascii="宋体" w:hAnsi="宋体"/>
          <w:color w:val="000000"/>
          <w:sz w:val="24"/>
        </w:rPr>
        <w:t>1.2.2 本项目的出资比例：见投标人须知前附表。</w:t>
      </w:r>
    </w:p>
    <w:p w14:paraId="1B38F5D7">
      <w:pPr>
        <w:spacing w:line="360" w:lineRule="auto"/>
        <w:ind w:firstLine="480" w:firstLineChars="200"/>
        <w:rPr>
          <w:rFonts w:ascii="宋体" w:hAnsi="宋体"/>
          <w:color w:val="000000"/>
          <w:sz w:val="24"/>
        </w:rPr>
      </w:pPr>
      <w:r>
        <w:rPr>
          <w:rFonts w:hint="eastAsia" w:ascii="宋体" w:hAnsi="宋体"/>
          <w:color w:val="000000"/>
          <w:sz w:val="24"/>
        </w:rPr>
        <w:t>1.2.3 本项目的资金落实情况：见投标人须知前附表。</w:t>
      </w:r>
    </w:p>
    <w:p w14:paraId="02C04986">
      <w:pPr>
        <w:spacing w:line="360" w:lineRule="auto"/>
        <w:ind w:firstLine="480" w:firstLineChars="200"/>
        <w:rPr>
          <w:rFonts w:ascii="宋体" w:hAnsi="宋体"/>
          <w:color w:val="000000"/>
          <w:sz w:val="24"/>
        </w:rPr>
      </w:pPr>
      <w:bookmarkStart w:id="37" w:name="_Toc179632549"/>
      <w:bookmarkStart w:id="38" w:name="_Toc144974500"/>
      <w:bookmarkStart w:id="39" w:name="_Toc152042308"/>
      <w:bookmarkStart w:id="40" w:name="_Toc152045532"/>
      <w:r>
        <w:rPr>
          <w:rFonts w:hint="eastAsia" w:ascii="宋体" w:hAnsi="宋体"/>
          <w:color w:val="000000"/>
          <w:sz w:val="24"/>
        </w:rPr>
        <w:t>1.3 服务范围、服务要求、服务周期、服务地点和质量标准</w:t>
      </w:r>
    </w:p>
    <w:p w14:paraId="5E057F83">
      <w:pPr>
        <w:spacing w:line="360" w:lineRule="auto"/>
        <w:ind w:firstLine="480" w:firstLineChars="200"/>
        <w:rPr>
          <w:rFonts w:ascii="宋体" w:hAnsi="宋体"/>
          <w:color w:val="000000"/>
          <w:sz w:val="24"/>
        </w:rPr>
      </w:pPr>
      <w:r>
        <w:rPr>
          <w:rFonts w:hint="eastAsia" w:ascii="宋体" w:hAnsi="宋体"/>
          <w:color w:val="000000"/>
          <w:sz w:val="24"/>
        </w:rPr>
        <w:t>1.3.1 本项目服务范围：见投标人须知前附表。</w:t>
      </w:r>
    </w:p>
    <w:p w14:paraId="160E683D">
      <w:pPr>
        <w:spacing w:line="360" w:lineRule="auto"/>
        <w:ind w:firstLine="480" w:firstLineChars="200"/>
        <w:rPr>
          <w:rFonts w:ascii="宋体" w:hAnsi="宋体"/>
          <w:color w:val="000000"/>
          <w:sz w:val="24"/>
        </w:rPr>
      </w:pPr>
      <w:r>
        <w:rPr>
          <w:rFonts w:hint="eastAsia" w:ascii="宋体" w:hAnsi="宋体"/>
          <w:color w:val="000000"/>
          <w:sz w:val="24"/>
        </w:rPr>
        <w:t>1.3.2 本项目的质量标准：见投标人须知前附表。</w:t>
      </w:r>
    </w:p>
    <w:p w14:paraId="407E565C">
      <w:pPr>
        <w:spacing w:line="360" w:lineRule="auto"/>
        <w:ind w:firstLine="480" w:firstLineChars="200"/>
        <w:rPr>
          <w:rFonts w:ascii="宋体" w:hAnsi="宋体"/>
          <w:color w:val="000000"/>
          <w:sz w:val="24"/>
        </w:rPr>
      </w:pPr>
      <w:r>
        <w:rPr>
          <w:rFonts w:hint="eastAsia" w:ascii="宋体" w:hAnsi="宋体"/>
          <w:color w:val="000000"/>
          <w:sz w:val="24"/>
        </w:rPr>
        <w:t>1.3.3 本项目的交货期：见投标人须知前附表。</w:t>
      </w:r>
    </w:p>
    <w:p w14:paraId="3F113AA4">
      <w:pPr>
        <w:spacing w:line="360" w:lineRule="auto"/>
        <w:ind w:firstLine="480" w:firstLineChars="200"/>
        <w:rPr>
          <w:rFonts w:ascii="宋体" w:hAnsi="宋体"/>
          <w:color w:val="000000"/>
          <w:sz w:val="24"/>
        </w:rPr>
      </w:pPr>
      <w:r>
        <w:rPr>
          <w:rFonts w:hint="eastAsia" w:ascii="宋体" w:hAnsi="宋体"/>
          <w:color w:val="000000"/>
          <w:sz w:val="24"/>
        </w:rPr>
        <w:t>1.3.4 本项目交货地点：见投标人须知前附表。</w:t>
      </w:r>
    </w:p>
    <w:bookmarkEnd w:id="37"/>
    <w:bookmarkEnd w:id="38"/>
    <w:bookmarkEnd w:id="39"/>
    <w:bookmarkEnd w:id="40"/>
    <w:p w14:paraId="37A36AED">
      <w:pPr>
        <w:spacing w:line="360" w:lineRule="auto"/>
        <w:ind w:firstLine="480" w:firstLineChars="200"/>
        <w:rPr>
          <w:rFonts w:ascii="宋体" w:hAnsi="宋体"/>
          <w:color w:val="000000"/>
          <w:sz w:val="24"/>
        </w:rPr>
      </w:pPr>
      <w:bookmarkStart w:id="41" w:name="_Toc144974501"/>
      <w:bookmarkStart w:id="42" w:name="_Toc152045533"/>
      <w:bookmarkStart w:id="43" w:name="_Toc179632550"/>
      <w:bookmarkStart w:id="44" w:name="_Toc152042309"/>
      <w:r>
        <w:rPr>
          <w:rFonts w:hint="eastAsia" w:ascii="宋体" w:hAnsi="宋体"/>
          <w:color w:val="000000"/>
          <w:sz w:val="24"/>
        </w:rPr>
        <w:t>1.4 投标人资格要求</w:t>
      </w:r>
      <w:bookmarkEnd w:id="41"/>
      <w:bookmarkEnd w:id="42"/>
      <w:bookmarkEnd w:id="43"/>
      <w:bookmarkEnd w:id="44"/>
      <w:r>
        <w:rPr>
          <w:rFonts w:hint="eastAsia" w:ascii="宋体" w:hAnsi="宋体"/>
          <w:color w:val="000000"/>
          <w:sz w:val="24"/>
        </w:rPr>
        <w:t>：见投标人须知前附表。</w:t>
      </w:r>
    </w:p>
    <w:p w14:paraId="7FBA5EC5">
      <w:pPr>
        <w:spacing w:line="360" w:lineRule="auto"/>
        <w:ind w:firstLine="480" w:firstLineChars="200"/>
        <w:rPr>
          <w:rFonts w:ascii="宋体" w:hAnsi="宋体"/>
          <w:color w:val="000000"/>
          <w:sz w:val="24"/>
        </w:rPr>
      </w:pPr>
      <w:bookmarkStart w:id="45" w:name="_Toc152045535"/>
      <w:bookmarkStart w:id="46" w:name="_Toc152042311"/>
      <w:bookmarkStart w:id="47" w:name="_Toc144974503"/>
      <w:bookmarkStart w:id="48" w:name="_Toc179632552"/>
      <w:r>
        <w:rPr>
          <w:rFonts w:hint="eastAsia" w:ascii="宋体" w:hAnsi="宋体"/>
          <w:color w:val="000000"/>
          <w:sz w:val="24"/>
        </w:rPr>
        <w:t>1.5 费用承担</w:t>
      </w:r>
      <w:bookmarkEnd w:id="45"/>
      <w:bookmarkEnd w:id="46"/>
      <w:bookmarkEnd w:id="47"/>
      <w:bookmarkEnd w:id="48"/>
    </w:p>
    <w:p w14:paraId="72BA070E">
      <w:pPr>
        <w:spacing w:line="360" w:lineRule="auto"/>
        <w:ind w:firstLine="480" w:firstLineChars="200"/>
        <w:rPr>
          <w:rFonts w:ascii="宋体" w:hAnsi="宋体"/>
          <w:color w:val="000000"/>
          <w:sz w:val="24"/>
        </w:rPr>
      </w:pPr>
      <w:r>
        <w:rPr>
          <w:rFonts w:hint="eastAsia" w:ascii="宋体" w:hAnsi="宋体"/>
          <w:color w:val="000000"/>
          <w:sz w:val="24"/>
        </w:rPr>
        <w:t>投标人准备和参加投标活动发生的费用自理。</w:t>
      </w:r>
    </w:p>
    <w:p w14:paraId="384691E2">
      <w:pPr>
        <w:spacing w:line="360" w:lineRule="auto"/>
        <w:ind w:firstLine="480" w:firstLineChars="200"/>
        <w:rPr>
          <w:rFonts w:ascii="宋体" w:hAnsi="宋体"/>
          <w:color w:val="000000"/>
          <w:sz w:val="24"/>
        </w:rPr>
      </w:pPr>
      <w:r>
        <w:rPr>
          <w:rFonts w:hint="eastAsia" w:ascii="宋体" w:hAnsi="宋体"/>
          <w:color w:val="000000"/>
          <w:sz w:val="24"/>
        </w:rPr>
        <w:t>1.6 保密</w:t>
      </w:r>
    </w:p>
    <w:p w14:paraId="017E076F">
      <w:pPr>
        <w:spacing w:line="360" w:lineRule="auto"/>
        <w:ind w:firstLine="480" w:firstLineChars="200"/>
        <w:rPr>
          <w:rFonts w:ascii="宋体" w:hAnsi="宋体"/>
          <w:color w:val="000000"/>
          <w:sz w:val="24"/>
        </w:rPr>
      </w:pPr>
      <w:r>
        <w:rPr>
          <w:rFonts w:hint="eastAsia" w:ascii="宋体" w:hAnsi="宋体"/>
          <w:color w:val="000000"/>
          <w:sz w:val="24"/>
        </w:rPr>
        <w:t>参与招标投标活动的各方应对竞争性磋商文件和响应性文件中的商业和技术等秘密保密，违者应对由此造成的后果承担法律责任。</w:t>
      </w:r>
    </w:p>
    <w:p w14:paraId="179F6997">
      <w:pPr>
        <w:spacing w:line="360" w:lineRule="auto"/>
        <w:ind w:firstLine="480" w:firstLineChars="200"/>
        <w:rPr>
          <w:rFonts w:ascii="宋体" w:hAnsi="宋体"/>
          <w:color w:val="000000"/>
          <w:sz w:val="24"/>
        </w:rPr>
      </w:pPr>
      <w:r>
        <w:rPr>
          <w:rFonts w:hint="eastAsia" w:ascii="宋体" w:hAnsi="宋体"/>
          <w:color w:val="000000"/>
          <w:sz w:val="24"/>
        </w:rPr>
        <w:t>1.7 语言文字</w:t>
      </w:r>
    </w:p>
    <w:p w14:paraId="50BB3B7C">
      <w:pPr>
        <w:spacing w:line="360" w:lineRule="auto"/>
        <w:ind w:firstLine="480" w:firstLineChars="200"/>
        <w:rPr>
          <w:rFonts w:ascii="宋体" w:hAnsi="宋体"/>
          <w:color w:val="000000"/>
          <w:sz w:val="24"/>
        </w:rPr>
      </w:pPr>
      <w:r>
        <w:rPr>
          <w:rFonts w:hint="eastAsia" w:ascii="宋体" w:hAnsi="宋体"/>
          <w:color w:val="000000"/>
          <w:sz w:val="24"/>
        </w:rPr>
        <w:t>除专用术语外，与招标投标有关的语言均使用中文。专用术语应附有中文注释。</w:t>
      </w:r>
    </w:p>
    <w:p w14:paraId="5740B14A">
      <w:pPr>
        <w:spacing w:line="360" w:lineRule="auto"/>
        <w:ind w:firstLine="480" w:firstLineChars="200"/>
        <w:rPr>
          <w:rFonts w:ascii="宋体" w:hAnsi="宋体"/>
          <w:color w:val="000000"/>
          <w:sz w:val="24"/>
        </w:rPr>
      </w:pPr>
      <w:r>
        <w:rPr>
          <w:rFonts w:hint="eastAsia" w:ascii="宋体" w:hAnsi="宋体"/>
          <w:color w:val="000000"/>
          <w:sz w:val="24"/>
        </w:rPr>
        <w:t>1.8计量单位</w:t>
      </w:r>
    </w:p>
    <w:p w14:paraId="44F9F9E4">
      <w:pPr>
        <w:spacing w:line="360" w:lineRule="auto"/>
        <w:ind w:firstLine="480" w:firstLineChars="200"/>
        <w:rPr>
          <w:rFonts w:ascii="宋体" w:hAnsi="宋体"/>
          <w:color w:val="000000"/>
          <w:sz w:val="24"/>
        </w:rPr>
      </w:pPr>
      <w:r>
        <w:rPr>
          <w:rFonts w:hint="eastAsia" w:ascii="宋体" w:hAnsi="宋体"/>
          <w:color w:val="000000"/>
          <w:sz w:val="24"/>
        </w:rPr>
        <w:t>所有计量均采用中华人民共和国法定计量单位。</w:t>
      </w:r>
    </w:p>
    <w:p w14:paraId="625FFF93">
      <w:pPr>
        <w:spacing w:line="360" w:lineRule="auto"/>
        <w:ind w:firstLine="480" w:firstLineChars="200"/>
        <w:rPr>
          <w:rFonts w:ascii="宋体" w:hAnsi="宋体"/>
          <w:color w:val="000000"/>
          <w:sz w:val="24"/>
        </w:rPr>
      </w:pPr>
      <w:r>
        <w:rPr>
          <w:rFonts w:hint="eastAsia" w:ascii="宋体" w:hAnsi="宋体"/>
          <w:color w:val="000000"/>
          <w:sz w:val="24"/>
        </w:rPr>
        <w:t>1.9踏勘现场</w:t>
      </w:r>
    </w:p>
    <w:p w14:paraId="6AD047FF">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04585555">
      <w:pPr>
        <w:spacing w:line="360" w:lineRule="auto"/>
        <w:ind w:firstLine="480" w:firstLineChars="200"/>
        <w:rPr>
          <w:rFonts w:ascii="宋体" w:hAnsi="宋体"/>
          <w:color w:val="000000"/>
          <w:sz w:val="24"/>
        </w:rPr>
      </w:pPr>
      <w:r>
        <w:rPr>
          <w:rFonts w:hint="eastAsia" w:ascii="宋体" w:hAnsi="宋体"/>
          <w:color w:val="000000"/>
          <w:sz w:val="24"/>
        </w:rPr>
        <w:t>1.10投标预备会</w:t>
      </w:r>
    </w:p>
    <w:p w14:paraId="46398F71">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608815AB">
      <w:pPr>
        <w:spacing w:line="360" w:lineRule="auto"/>
        <w:ind w:firstLine="480" w:firstLineChars="200"/>
        <w:rPr>
          <w:rFonts w:ascii="宋体" w:hAnsi="宋体"/>
          <w:color w:val="000000"/>
          <w:sz w:val="24"/>
        </w:rPr>
      </w:pPr>
      <w:r>
        <w:rPr>
          <w:rFonts w:hint="eastAsia" w:ascii="宋体" w:hAnsi="宋体"/>
          <w:color w:val="000000"/>
          <w:sz w:val="24"/>
        </w:rPr>
        <w:t>1.11分包</w:t>
      </w:r>
    </w:p>
    <w:p w14:paraId="0341E0E1">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6E64DB2A">
      <w:pPr>
        <w:spacing w:line="360" w:lineRule="auto"/>
        <w:ind w:firstLine="480" w:firstLineChars="200"/>
        <w:rPr>
          <w:rFonts w:ascii="宋体" w:hAnsi="宋体"/>
          <w:color w:val="000000"/>
          <w:sz w:val="24"/>
        </w:rPr>
      </w:pPr>
      <w:r>
        <w:rPr>
          <w:rFonts w:hint="eastAsia" w:ascii="宋体" w:hAnsi="宋体"/>
          <w:color w:val="000000"/>
          <w:sz w:val="24"/>
        </w:rPr>
        <w:t>1.12偏离</w:t>
      </w:r>
    </w:p>
    <w:p w14:paraId="1A00C56F">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51FB7A86">
      <w:pPr>
        <w:spacing w:line="360" w:lineRule="auto"/>
        <w:ind w:firstLine="480" w:firstLineChars="200"/>
        <w:rPr>
          <w:rFonts w:ascii="宋体" w:hAnsi="宋体"/>
          <w:color w:val="000000"/>
          <w:sz w:val="24"/>
        </w:rPr>
      </w:pPr>
      <w:bookmarkStart w:id="49" w:name="_Toc516499647"/>
      <w:r>
        <w:rPr>
          <w:rFonts w:hint="eastAsia" w:ascii="宋体" w:hAnsi="宋体"/>
          <w:color w:val="000000"/>
          <w:sz w:val="24"/>
        </w:rPr>
        <w:t>2、竞争性磋商文件</w:t>
      </w:r>
      <w:bookmarkEnd w:id="49"/>
    </w:p>
    <w:p w14:paraId="1B5401EB">
      <w:pPr>
        <w:spacing w:line="360" w:lineRule="auto"/>
        <w:ind w:firstLine="480" w:firstLineChars="200"/>
        <w:rPr>
          <w:rFonts w:ascii="宋体" w:hAnsi="宋体"/>
          <w:color w:val="000000"/>
          <w:sz w:val="24"/>
        </w:rPr>
      </w:pPr>
      <w:r>
        <w:rPr>
          <w:rFonts w:hint="eastAsia" w:ascii="宋体" w:hAnsi="宋体"/>
          <w:color w:val="000000"/>
          <w:sz w:val="24"/>
        </w:rPr>
        <w:t>2.1 竞争性磋商文件的组成</w:t>
      </w:r>
    </w:p>
    <w:p w14:paraId="011C72F0">
      <w:pPr>
        <w:spacing w:line="360" w:lineRule="auto"/>
        <w:ind w:firstLine="480" w:firstLineChars="200"/>
        <w:rPr>
          <w:rFonts w:ascii="宋体" w:hAnsi="宋体"/>
          <w:color w:val="000000"/>
          <w:sz w:val="24"/>
        </w:rPr>
      </w:pPr>
      <w:r>
        <w:rPr>
          <w:rFonts w:hint="eastAsia" w:ascii="宋体" w:hAnsi="宋体"/>
          <w:color w:val="000000"/>
          <w:sz w:val="24"/>
        </w:rPr>
        <w:t>本竞争性磋商文件包括：</w:t>
      </w:r>
    </w:p>
    <w:p w14:paraId="078660AC">
      <w:pPr>
        <w:spacing w:line="360" w:lineRule="auto"/>
        <w:ind w:firstLine="480" w:firstLineChars="200"/>
        <w:rPr>
          <w:rFonts w:ascii="宋体" w:hAnsi="宋体"/>
          <w:color w:val="000000"/>
          <w:sz w:val="24"/>
        </w:rPr>
      </w:pPr>
      <w:r>
        <w:rPr>
          <w:rFonts w:hint="eastAsia" w:ascii="宋体" w:hAnsi="宋体"/>
          <w:color w:val="000000"/>
          <w:sz w:val="24"/>
        </w:rPr>
        <w:t>（1）竞争性磋商公告</w:t>
      </w:r>
    </w:p>
    <w:p w14:paraId="4D822B05">
      <w:pPr>
        <w:spacing w:line="360" w:lineRule="auto"/>
        <w:ind w:firstLine="480" w:firstLineChars="200"/>
        <w:rPr>
          <w:rFonts w:ascii="宋体" w:hAnsi="宋体"/>
          <w:color w:val="000000"/>
          <w:sz w:val="24"/>
        </w:rPr>
      </w:pPr>
      <w:r>
        <w:rPr>
          <w:rFonts w:hint="eastAsia" w:ascii="宋体" w:hAnsi="宋体"/>
          <w:color w:val="000000"/>
          <w:sz w:val="24"/>
        </w:rPr>
        <w:t>（2）投标人须知</w:t>
      </w:r>
    </w:p>
    <w:p w14:paraId="4C400E86">
      <w:pPr>
        <w:spacing w:line="360" w:lineRule="auto"/>
        <w:ind w:firstLine="480" w:firstLineChars="200"/>
        <w:rPr>
          <w:rFonts w:ascii="宋体" w:hAnsi="宋体"/>
          <w:color w:val="000000"/>
          <w:sz w:val="24"/>
        </w:rPr>
      </w:pPr>
      <w:r>
        <w:rPr>
          <w:rFonts w:hint="eastAsia" w:ascii="宋体" w:hAnsi="宋体"/>
          <w:color w:val="000000"/>
          <w:sz w:val="24"/>
        </w:rPr>
        <w:t>（3）采购内容要求</w:t>
      </w:r>
    </w:p>
    <w:p w14:paraId="52B17CCE">
      <w:pPr>
        <w:spacing w:line="360" w:lineRule="auto"/>
        <w:ind w:firstLine="480" w:firstLineChars="200"/>
        <w:rPr>
          <w:rFonts w:ascii="宋体" w:hAnsi="宋体"/>
          <w:color w:val="000000"/>
          <w:sz w:val="24"/>
        </w:rPr>
      </w:pPr>
      <w:r>
        <w:rPr>
          <w:rFonts w:hint="eastAsia" w:ascii="宋体" w:hAnsi="宋体"/>
          <w:color w:val="000000"/>
          <w:sz w:val="24"/>
        </w:rPr>
        <w:t>（4）</w:t>
      </w:r>
      <w:r>
        <w:fldChar w:fldCharType="begin"/>
      </w:r>
      <w:r>
        <w:instrText xml:space="preserve"> HYPERLINK \l "_Toc4944" </w:instrText>
      </w:r>
      <w:r>
        <w:fldChar w:fldCharType="separate"/>
      </w:r>
      <w:r>
        <w:rPr>
          <w:rFonts w:hint="eastAsia" w:ascii="宋体" w:hAnsi="宋体"/>
          <w:color w:val="000000"/>
          <w:sz w:val="24"/>
        </w:rPr>
        <w:t>评标办法（综合评估法）</w:t>
      </w:r>
      <w:r>
        <w:rPr>
          <w:rFonts w:hint="eastAsia" w:ascii="宋体" w:hAnsi="宋体"/>
          <w:color w:val="000000"/>
          <w:sz w:val="24"/>
        </w:rPr>
        <w:fldChar w:fldCharType="end"/>
      </w:r>
    </w:p>
    <w:p w14:paraId="3A5C31C1">
      <w:pPr>
        <w:spacing w:line="360" w:lineRule="auto"/>
        <w:ind w:firstLine="480" w:firstLineChars="200"/>
        <w:rPr>
          <w:rFonts w:ascii="宋体" w:hAnsi="宋体"/>
          <w:color w:val="000000"/>
          <w:sz w:val="24"/>
        </w:rPr>
      </w:pPr>
      <w:r>
        <w:rPr>
          <w:rFonts w:hint="eastAsia" w:ascii="宋体" w:hAnsi="宋体"/>
          <w:color w:val="000000"/>
          <w:sz w:val="24"/>
        </w:rPr>
        <w:t>（5）</w:t>
      </w:r>
      <w:r>
        <w:fldChar w:fldCharType="begin"/>
      </w:r>
      <w:r>
        <w:instrText xml:space="preserve"> HYPERLINK \l "_Toc32230" </w:instrText>
      </w:r>
      <w:r>
        <w:fldChar w:fldCharType="separate"/>
      </w:r>
      <w:r>
        <w:rPr>
          <w:rFonts w:hint="eastAsia" w:ascii="宋体" w:hAnsi="宋体"/>
          <w:color w:val="000000"/>
          <w:sz w:val="24"/>
        </w:rPr>
        <w:t>合同文本格式</w:t>
      </w:r>
      <w:r>
        <w:rPr>
          <w:rFonts w:hint="eastAsia" w:ascii="宋体" w:hAnsi="宋体"/>
          <w:color w:val="000000"/>
          <w:sz w:val="24"/>
        </w:rPr>
        <w:fldChar w:fldCharType="end"/>
      </w:r>
    </w:p>
    <w:p w14:paraId="65AB9E5B">
      <w:pPr>
        <w:spacing w:line="360" w:lineRule="auto"/>
        <w:ind w:firstLine="480" w:firstLineChars="200"/>
        <w:rPr>
          <w:rFonts w:ascii="宋体" w:hAnsi="宋体"/>
          <w:color w:val="000000"/>
          <w:sz w:val="24"/>
        </w:rPr>
      </w:pPr>
      <w:r>
        <w:rPr>
          <w:rFonts w:hint="eastAsia" w:ascii="宋体" w:hAnsi="宋体"/>
          <w:color w:val="000000"/>
          <w:sz w:val="24"/>
        </w:rPr>
        <w:t>（6）</w:t>
      </w:r>
      <w:r>
        <w:fldChar w:fldCharType="begin"/>
      </w:r>
      <w:r>
        <w:instrText xml:space="preserve"> HYPERLINK \l "_Toc29907" </w:instrText>
      </w:r>
      <w:r>
        <w:fldChar w:fldCharType="separate"/>
      </w:r>
      <w:r>
        <w:rPr>
          <w:rFonts w:hint="eastAsia" w:ascii="宋体" w:hAnsi="宋体"/>
          <w:color w:val="000000"/>
          <w:sz w:val="24"/>
        </w:rPr>
        <w:t>响应性文件格式</w:t>
      </w:r>
      <w:r>
        <w:rPr>
          <w:rFonts w:hint="eastAsia" w:ascii="宋体" w:hAnsi="宋体"/>
          <w:color w:val="000000"/>
          <w:sz w:val="24"/>
        </w:rPr>
        <w:fldChar w:fldCharType="end"/>
      </w:r>
    </w:p>
    <w:p w14:paraId="0B7E8C73">
      <w:pPr>
        <w:spacing w:line="360" w:lineRule="auto"/>
        <w:ind w:firstLine="480" w:firstLineChars="200"/>
        <w:rPr>
          <w:rFonts w:ascii="宋体" w:hAnsi="宋体"/>
          <w:color w:val="000000"/>
          <w:sz w:val="24"/>
        </w:rPr>
      </w:pPr>
      <w:r>
        <w:rPr>
          <w:rFonts w:hint="eastAsia" w:ascii="宋体" w:hAnsi="宋体"/>
          <w:color w:val="000000"/>
          <w:sz w:val="24"/>
        </w:rPr>
        <w:t>根据本章第2.2款和第2.3 款对竞争性磋商文件所作的澄清、修改，构成竞争性磋商文件的组成部分。</w:t>
      </w:r>
    </w:p>
    <w:p w14:paraId="6F1F55CA">
      <w:pPr>
        <w:spacing w:line="360" w:lineRule="auto"/>
        <w:ind w:firstLine="480" w:firstLineChars="200"/>
        <w:rPr>
          <w:rFonts w:ascii="宋体" w:hAnsi="宋体"/>
          <w:color w:val="000000"/>
          <w:sz w:val="24"/>
        </w:rPr>
      </w:pPr>
      <w:r>
        <w:rPr>
          <w:rFonts w:hint="eastAsia" w:ascii="宋体" w:hAnsi="宋体"/>
          <w:color w:val="000000"/>
          <w:sz w:val="24"/>
        </w:rPr>
        <w:t>2.2 竞争性磋商文件的澄清</w:t>
      </w:r>
    </w:p>
    <w:p w14:paraId="0FF46E23">
      <w:pPr>
        <w:spacing w:line="360" w:lineRule="auto"/>
        <w:ind w:firstLine="480" w:firstLineChars="200"/>
        <w:rPr>
          <w:rFonts w:ascii="宋体" w:hAnsi="宋体"/>
          <w:color w:val="000000"/>
          <w:sz w:val="24"/>
        </w:rPr>
      </w:pPr>
      <w:r>
        <w:rPr>
          <w:rFonts w:hint="eastAsia" w:ascii="宋体" w:hAnsi="宋体"/>
          <w:color w:val="000000"/>
          <w:sz w:val="24"/>
        </w:rPr>
        <w:t>投标人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3B91A913">
      <w:pPr>
        <w:spacing w:line="360" w:lineRule="auto"/>
        <w:ind w:firstLine="480" w:firstLineChars="200"/>
        <w:rPr>
          <w:rFonts w:ascii="宋体" w:hAnsi="宋体"/>
          <w:color w:val="000000"/>
          <w:sz w:val="24"/>
        </w:rPr>
      </w:pPr>
      <w:r>
        <w:rPr>
          <w:rFonts w:hint="eastAsia" w:ascii="宋体" w:hAnsi="宋体"/>
          <w:color w:val="000000"/>
          <w:sz w:val="24"/>
        </w:rPr>
        <w:t>2.3 竞争性磋商文件的修改</w:t>
      </w:r>
    </w:p>
    <w:p w14:paraId="6CF324FA">
      <w:pPr>
        <w:spacing w:line="360" w:lineRule="auto"/>
        <w:ind w:firstLine="482" w:firstLineChars="200"/>
        <w:rPr>
          <w:rFonts w:ascii="宋体" w:hAnsi="宋体"/>
          <w:b/>
          <w:bCs/>
          <w:color w:val="000000"/>
          <w:sz w:val="24"/>
        </w:rPr>
      </w:pPr>
      <w:bookmarkStart w:id="50" w:name="_Toc516499648"/>
      <w:r>
        <w:rPr>
          <w:rFonts w:ascii="宋体" w:hAnsi="宋体"/>
          <w:b/>
          <w:bCs/>
          <w:color w:val="000000"/>
          <w:sz w:val="24"/>
        </w:rPr>
        <w:t>2.3.1 在投标截止时间5天前，采购人可以修改竞争性磋商文件，并以变更公告形式通知所有已购买竞争性竞争性磋商文件的投标人</w:t>
      </w:r>
      <w:r>
        <w:rPr>
          <w:rFonts w:hint="eastAsia" w:ascii="宋体" w:hAnsi="宋体"/>
          <w:b/>
          <w:bCs/>
          <w:color w:val="000000"/>
          <w:sz w:val="24"/>
        </w:rPr>
        <w:t>。</w:t>
      </w:r>
    </w:p>
    <w:p w14:paraId="79DC674E">
      <w:pPr>
        <w:spacing w:line="360" w:lineRule="auto"/>
        <w:ind w:firstLine="482" w:firstLineChars="200"/>
        <w:rPr>
          <w:rFonts w:ascii="宋体" w:hAnsi="宋体"/>
          <w:b/>
          <w:bCs/>
          <w:color w:val="000000"/>
          <w:sz w:val="24"/>
        </w:rPr>
      </w:pPr>
      <w:r>
        <w:rPr>
          <w:rFonts w:ascii="宋体" w:hAnsi="宋体"/>
          <w:b/>
          <w:bCs/>
          <w:color w:val="000000"/>
          <w:sz w:val="24"/>
        </w:rPr>
        <w:t>2.3.2如果修改竞争性竞争性磋商文件，会在三门峡市公共资源交易中心网发布变更公告，不再发纸质的变更信息。提醒投标人随时注意网上发布的信息。如因投标人自身原因未看到信息，因此造成的一切后果由投标人自行承担。</w:t>
      </w:r>
    </w:p>
    <w:p w14:paraId="549FB099">
      <w:pPr>
        <w:spacing w:line="360" w:lineRule="auto"/>
        <w:ind w:firstLine="482" w:firstLineChars="200"/>
        <w:rPr>
          <w:rFonts w:ascii="宋体" w:hAnsi="宋体"/>
          <w:b/>
          <w:bCs/>
          <w:color w:val="000000"/>
          <w:sz w:val="24"/>
        </w:rPr>
      </w:pPr>
      <w:r>
        <w:rPr>
          <w:rFonts w:hint="eastAsia" w:ascii="宋体" w:hAnsi="宋体"/>
          <w:b/>
          <w:bCs/>
          <w:color w:val="000000"/>
          <w:sz w:val="24"/>
        </w:rPr>
        <w:t>2.</w:t>
      </w:r>
      <w:r>
        <w:rPr>
          <w:rFonts w:ascii="宋体" w:hAnsi="宋体"/>
          <w:b/>
          <w:bCs/>
          <w:color w:val="000000"/>
          <w:sz w:val="24"/>
        </w:rPr>
        <w:t>3.3为使投标人在准备竞争性竞争性磋商文件时有合理的时间考虑竞争性竞争性磋商文件的修改，招标代理机构可酌情推迟投标截止时间和开标时间，但应当至少在投标截止时间三个日历</w:t>
      </w:r>
      <w:r>
        <w:rPr>
          <w:rFonts w:hint="eastAsia" w:ascii="宋体" w:hAnsi="宋体"/>
          <w:b/>
          <w:bCs/>
          <w:color w:val="000000"/>
          <w:sz w:val="24"/>
        </w:rPr>
        <w:t>天</w:t>
      </w:r>
      <w:r>
        <w:rPr>
          <w:rFonts w:ascii="宋体" w:hAnsi="宋体"/>
          <w:b/>
          <w:bCs/>
          <w:color w:val="000000"/>
          <w:sz w:val="24"/>
        </w:rPr>
        <w:t>前将变更时间以发布变更公告的形式通知所有投标人。该修改内容为竞争性竞争性磋商文件的组成部分。在此情况下，采购人和投标人受投标截止期制约的所有权利和义务均应延长至新的截止日期。</w:t>
      </w:r>
    </w:p>
    <w:p w14:paraId="0F4E4944">
      <w:pPr>
        <w:spacing w:line="360" w:lineRule="auto"/>
        <w:ind w:firstLine="480" w:firstLineChars="200"/>
        <w:rPr>
          <w:rFonts w:ascii="宋体" w:hAnsi="宋体"/>
          <w:color w:val="000000"/>
          <w:sz w:val="24"/>
        </w:rPr>
      </w:pPr>
      <w:r>
        <w:rPr>
          <w:rFonts w:hint="eastAsia" w:ascii="宋体" w:hAnsi="宋体"/>
          <w:color w:val="000000"/>
          <w:sz w:val="24"/>
        </w:rPr>
        <w:t>3、响应性文件</w:t>
      </w:r>
      <w:bookmarkEnd w:id="50"/>
    </w:p>
    <w:p w14:paraId="0451933F">
      <w:pPr>
        <w:spacing w:line="360" w:lineRule="auto"/>
        <w:ind w:firstLine="480" w:firstLineChars="200"/>
        <w:rPr>
          <w:rFonts w:ascii="宋体" w:hAnsi="宋体"/>
          <w:color w:val="000000"/>
          <w:sz w:val="24"/>
        </w:rPr>
      </w:pPr>
      <w:r>
        <w:rPr>
          <w:rFonts w:hint="eastAsia" w:ascii="宋体" w:hAnsi="宋体"/>
          <w:color w:val="000000"/>
          <w:sz w:val="24"/>
        </w:rPr>
        <w:t>3.2 投标报价</w:t>
      </w:r>
    </w:p>
    <w:p w14:paraId="34DE1512">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3.2.1</w:t>
      </w:r>
      <w:r>
        <w:rPr>
          <w:rFonts w:hint="eastAsia" w:ascii="宋体" w:hAnsi="宋体"/>
          <w:color w:val="000000"/>
          <w:sz w:val="24"/>
        </w:rPr>
        <w:t>本项目的磋商报价采用本须知前附表所规定的方式进行报价</w:t>
      </w:r>
      <w:r>
        <w:rPr>
          <w:rFonts w:hint="eastAsia" w:ascii="宋体" w:hAnsi="宋体" w:cs="宋体"/>
          <w:color w:val="000000"/>
          <w:sz w:val="24"/>
        </w:rPr>
        <w:t>。</w:t>
      </w:r>
    </w:p>
    <w:p w14:paraId="45417858">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3.2.2参考相关收费标准结合投标单位自身情况自主报价，但不得低于本企业成本。</w:t>
      </w:r>
    </w:p>
    <w:p w14:paraId="07BB3DDD">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3.2.3各投标人应根据磋商文件的要求，进行合理投标报价。所报价格应包含磋商文件所要求的可能发生的招标范围内的工作费、顾问费及现场咨询服务费（后续服务费）等所有费用。</w:t>
      </w:r>
    </w:p>
    <w:p w14:paraId="38602685">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3.2.4投标的报价及合同所有款项的支付均以人民币计算。</w:t>
      </w:r>
    </w:p>
    <w:p w14:paraId="7006C22D">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3.2.5应当由投标人完成的而投标人在报价组成中没有详细列出的工作内容，其报价均视为包含在报价组成已列出的项目之中，采购人不另行支付。</w:t>
      </w:r>
    </w:p>
    <w:p w14:paraId="540544AB">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3.2.6</w:t>
      </w:r>
      <w:r>
        <w:rPr>
          <w:rFonts w:hint="eastAsia" w:ascii="宋体" w:hAnsi="宋体" w:cs="宋体"/>
          <w:b/>
          <w:color w:val="000000"/>
          <w:sz w:val="24"/>
        </w:rPr>
        <w:t>本次磋商允许投标人有二次报价，</w:t>
      </w:r>
      <w:r>
        <w:rPr>
          <w:rFonts w:hint="eastAsia" w:ascii="宋体" w:hAnsi="宋体"/>
          <w:b/>
          <w:bCs/>
          <w:color w:val="000000"/>
          <w:sz w:val="24"/>
        </w:rPr>
        <w:t>投标人响应性文件中的报价作为第一次报价，不得高于项目预算金额且不公开；第二轮报价不得高于第一轮报价</w:t>
      </w:r>
      <w:r>
        <w:rPr>
          <w:rFonts w:ascii="宋体" w:hAnsi="宋体"/>
          <w:b/>
          <w:bCs/>
          <w:color w:val="000000"/>
          <w:sz w:val="24"/>
        </w:rPr>
        <w:t>,</w:t>
      </w:r>
      <w:r>
        <w:rPr>
          <w:rFonts w:hint="eastAsia" w:ascii="宋体" w:hAnsi="宋体" w:cs="宋体"/>
          <w:b/>
          <w:color w:val="000000"/>
          <w:sz w:val="24"/>
        </w:rPr>
        <w:t>最后一次报价为最终报价，</w:t>
      </w:r>
      <w:r>
        <w:rPr>
          <w:rFonts w:hint="eastAsia" w:ascii="宋体" w:hAnsi="宋体"/>
          <w:b/>
          <w:bCs/>
          <w:color w:val="000000"/>
          <w:sz w:val="24"/>
        </w:rPr>
        <w:t>成交价以最终报价为准。</w:t>
      </w:r>
      <w:r>
        <w:rPr>
          <w:rFonts w:hint="eastAsia" w:ascii="宋体" w:hAnsi="宋体" w:cs="宋体"/>
          <w:b/>
          <w:color w:val="000000"/>
          <w:sz w:val="24"/>
        </w:rPr>
        <w:t>最终报价是投标人响应文件的有效组成部分</w:t>
      </w:r>
      <w:r>
        <w:rPr>
          <w:rFonts w:hint="eastAsia" w:ascii="宋体" w:hAnsi="宋体" w:cs="宋体"/>
          <w:color w:val="000000"/>
          <w:sz w:val="24"/>
        </w:rPr>
        <w:t>。</w:t>
      </w:r>
    </w:p>
    <w:p w14:paraId="1CD35555">
      <w:pPr>
        <w:spacing w:line="360" w:lineRule="auto"/>
        <w:ind w:firstLine="480" w:firstLineChars="200"/>
        <w:rPr>
          <w:rFonts w:ascii="宋体" w:hAnsi="宋体"/>
          <w:b/>
          <w:bCs/>
          <w:color w:val="000000"/>
          <w:sz w:val="24"/>
        </w:rPr>
      </w:pPr>
      <w:r>
        <w:rPr>
          <w:rFonts w:hint="eastAsia" w:ascii="宋体" w:hAnsi="宋体" w:cs="宋体"/>
          <w:color w:val="000000"/>
          <w:sz w:val="24"/>
        </w:rPr>
        <w:t>3.2.7投标人的磋商报价不得高于磋商控制价，否则为废标</w:t>
      </w:r>
    </w:p>
    <w:p w14:paraId="6A5A3179">
      <w:pPr>
        <w:spacing w:line="360" w:lineRule="auto"/>
        <w:ind w:firstLine="480" w:firstLineChars="200"/>
        <w:rPr>
          <w:rFonts w:ascii="宋体" w:hAnsi="宋体"/>
          <w:color w:val="000000"/>
          <w:sz w:val="24"/>
        </w:rPr>
      </w:pPr>
      <w:r>
        <w:rPr>
          <w:rFonts w:hint="eastAsia" w:ascii="宋体" w:hAnsi="宋体"/>
          <w:color w:val="000000"/>
          <w:sz w:val="24"/>
        </w:rPr>
        <w:t>3.3 磋商有效期</w:t>
      </w:r>
    </w:p>
    <w:p w14:paraId="710AF349">
      <w:pPr>
        <w:tabs>
          <w:tab w:val="left" w:pos="1002"/>
        </w:tabs>
        <w:overflowPunct w:val="0"/>
        <w:adjustRightInd w:val="0"/>
        <w:snapToGrid w:val="0"/>
        <w:spacing w:line="540" w:lineRule="exact"/>
        <w:ind w:firstLine="480" w:firstLineChars="200"/>
        <w:rPr>
          <w:rFonts w:ascii="宋体" w:hAnsi="宋体" w:cs="宋体"/>
          <w:color w:val="000000"/>
          <w:sz w:val="24"/>
        </w:rPr>
      </w:pPr>
      <w:r>
        <w:rPr>
          <w:rFonts w:hint="eastAsia" w:ascii="宋体" w:hAnsi="宋体" w:cs="宋体"/>
          <w:color w:val="000000"/>
          <w:sz w:val="24"/>
        </w:rPr>
        <w:t>3.3.1自磋商截止时间起，磋商有效期为60日历天。在磋商有效期内，投标人不得要求撤销或修改其响应文件。</w:t>
      </w:r>
    </w:p>
    <w:p w14:paraId="782E1689">
      <w:pPr>
        <w:tabs>
          <w:tab w:val="left" w:pos="782"/>
        </w:tabs>
        <w:overflowPunct w:val="0"/>
        <w:adjustRightInd w:val="0"/>
        <w:snapToGrid w:val="0"/>
        <w:spacing w:line="540" w:lineRule="exact"/>
        <w:ind w:firstLine="480" w:firstLineChars="200"/>
        <w:rPr>
          <w:rFonts w:ascii="宋体" w:hAnsi="宋体" w:cs="宋体"/>
          <w:color w:val="000000"/>
          <w:sz w:val="24"/>
        </w:rPr>
      </w:pPr>
      <w:r>
        <w:rPr>
          <w:rFonts w:hint="eastAsia" w:ascii="宋体" w:hAnsi="宋体" w:cs="宋体"/>
          <w:color w:val="000000"/>
          <w:sz w:val="24"/>
        </w:rPr>
        <w:t>3.3.2出现特殊情况需要延长磋商有效期的，采购人以书面形式通知所有投标人延长磋商有效期。投标人同意延长的，应相应延长其磋商保证金的有效期，但不得要求或被允许修改或撤销其响应文件；投标人拒绝延长的，其投标失效。</w:t>
      </w:r>
    </w:p>
    <w:p w14:paraId="40325E81">
      <w:pPr>
        <w:spacing w:line="360" w:lineRule="auto"/>
        <w:ind w:firstLine="480" w:firstLineChars="200"/>
        <w:rPr>
          <w:rFonts w:ascii="宋体" w:hAnsi="宋体"/>
          <w:color w:val="000000"/>
          <w:sz w:val="24"/>
        </w:rPr>
      </w:pPr>
      <w:r>
        <w:rPr>
          <w:rFonts w:hint="eastAsia" w:ascii="宋体" w:hAnsi="宋体"/>
          <w:color w:val="000000"/>
          <w:sz w:val="24"/>
        </w:rPr>
        <w:t>3.4磋商保证金</w:t>
      </w:r>
    </w:p>
    <w:p w14:paraId="5D858EE3">
      <w:pPr>
        <w:spacing w:line="360" w:lineRule="auto"/>
        <w:ind w:firstLine="480" w:firstLineChars="200"/>
        <w:rPr>
          <w:rFonts w:ascii="宋体" w:hAnsi="宋体"/>
          <w:color w:val="000000"/>
          <w:sz w:val="24"/>
        </w:rPr>
      </w:pPr>
      <w:r>
        <w:rPr>
          <w:rFonts w:hint="eastAsia" w:ascii="宋体" w:hAnsi="宋体"/>
          <w:color w:val="000000"/>
          <w:sz w:val="24"/>
        </w:rPr>
        <w:t>按照《河南省财政厅关于优化政府采购营商环境有关问题的通知》（豫财购[2019]4号文）的要求本项目不再收取磋商保证金。</w:t>
      </w:r>
    </w:p>
    <w:p w14:paraId="2BE48548">
      <w:pPr>
        <w:spacing w:line="360" w:lineRule="auto"/>
        <w:ind w:firstLine="480" w:firstLineChars="200"/>
        <w:rPr>
          <w:rFonts w:ascii="宋体" w:hAnsi="宋体"/>
          <w:color w:val="000000"/>
          <w:sz w:val="24"/>
        </w:rPr>
      </w:pPr>
      <w:r>
        <w:rPr>
          <w:rFonts w:hint="eastAsia" w:ascii="宋体" w:hAnsi="宋体"/>
          <w:color w:val="000000"/>
          <w:sz w:val="24"/>
        </w:rPr>
        <w:t>3.5 资格审查资料</w:t>
      </w:r>
    </w:p>
    <w:p w14:paraId="5E8F051E">
      <w:pPr>
        <w:spacing w:line="360" w:lineRule="auto"/>
        <w:ind w:firstLine="480" w:firstLineChars="200"/>
        <w:rPr>
          <w:rFonts w:ascii="宋体" w:hAnsi="宋体"/>
          <w:color w:val="000000"/>
          <w:sz w:val="24"/>
        </w:rPr>
      </w:pPr>
      <w:r>
        <w:rPr>
          <w:rFonts w:hint="eastAsia" w:ascii="宋体" w:hAnsi="宋体"/>
          <w:color w:val="000000"/>
          <w:sz w:val="24"/>
        </w:rPr>
        <w:t>见投标人须知前附表投标人资格要求</w:t>
      </w:r>
    </w:p>
    <w:p w14:paraId="744FD310">
      <w:pPr>
        <w:spacing w:line="360" w:lineRule="auto"/>
        <w:ind w:firstLine="480" w:firstLineChars="200"/>
        <w:rPr>
          <w:rFonts w:ascii="宋体" w:hAnsi="宋体"/>
          <w:color w:val="000000"/>
          <w:sz w:val="24"/>
        </w:rPr>
      </w:pPr>
      <w:r>
        <w:rPr>
          <w:rFonts w:hint="eastAsia" w:ascii="宋体" w:hAnsi="宋体"/>
          <w:color w:val="000000"/>
          <w:sz w:val="24"/>
        </w:rPr>
        <w:t>3.6 备选投标方案</w:t>
      </w:r>
    </w:p>
    <w:p w14:paraId="488E277D">
      <w:pPr>
        <w:spacing w:line="360" w:lineRule="auto"/>
        <w:ind w:firstLine="480" w:firstLineChars="200"/>
        <w:rPr>
          <w:rFonts w:ascii="宋体" w:hAnsi="宋体"/>
          <w:color w:val="000000"/>
          <w:sz w:val="24"/>
        </w:rPr>
      </w:pPr>
      <w:r>
        <w:rPr>
          <w:rFonts w:hint="eastAsia" w:ascii="宋体" w:hAnsi="宋体"/>
          <w:color w:val="000000"/>
          <w:sz w:val="24"/>
        </w:rPr>
        <w:t>除投标人须知前附表另有规定外，投标人不得递交备选投标方案。允许投标人递交备选投标方案的，只有中标人所递交的备选投标方案方可予以考虑。磋商小组认为中标人的备选投标方案优于其按照竞争性磋商文件要求编制的投标方案的，采购人可以接受该备选投标方案。</w:t>
      </w:r>
    </w:p>
    <w:p w14:paraId="6E2D3D96">
      <w:pPr>
        <w:spacing w:line="360" w:lineRule="auto"/>
        <w:ind w:firstLine="480" w:firstLineChars="200"/>
        <w:rPr>
          <w:rFonts w:ascii="宋体" w:hAnsi="宋体"/>
          <w:color w:val="000000"/>
          <w:sz w:val="24"/>
        </w:rPr>
      </w:pPr>
      <w:r>
        <w:rPr>
          <w:rFonts w:hint="eastAsia" w:ascii="宋体" w:hAnsi="宋体"/>
          <w:color w:val="000000"/>
          <w:sz w:val="24"/>
        </w:rPr>
        <w:t>3.7响应性文件的编制</w:t>
      </w:r>
    </w:p>
    <w:p w14:paraId="00B21EB0">
      <w:pPr>
        <w:spacing w:line="360" w:lineRule="auto"/>
        <w:ind w:firstLine="480" w:firstLineChars="200"/>
        <w:rPr>
          <w:rFonts w:ascii="宋体" w:hAnsi="宋体"/>
          <w:color w:val="000000"/>
          <w:sz w:val="24"/>
        </w:rPr>
      </w:pPr>
      <w:r>
        <w:rPr>
          <w:rFonts w:hint="eastAsia" w:ascii="宋体" w:hAnsi="宋体"/>
          <w:color w:val="000000"/>
          <w:sz w:val="24"/>
        </w:rPr>
        <w:t>3.7.1响应性文件应按第六章“响应性文件格式”进行编写，如有必要，可以增加附页，作为响应性文件的组成部分。</w:t>
      </w:r>
    </w:p>
    <w:p w14:paraId="49CBB43D">
      <w:pPr>
        <w:spacing w:line="360" w:lineRule="auto"/>
        <w:ind w:firstLine="480" w:firstLineChars="200"/>
        <w:rPr>
          <w:rFonts w:ascii="宋体" w:hAnsi="宋体"/>
          <w:color w:val="000000"/>
          <w:sz w:val="24"/>
        </w:rPr>
      </w:pPr>
      <w:r>
        <w:rPr>
          <w:rFonts w:hint="eastAsia" w:ascii="宋体" w:hAnsi="宋体"/>
          <w:color w:val="000000"/>
          <w:sz w:val="24"/>
        </w:rPr>
        <w:t>3.7.2响应性文件应当对竞争性磋商文件有关服务周期、磋商有效期、质量标准、招标范围、响应性文件的编制等实质性内容作出响应。响应性文件不响应本竞争性磋商文件的实质性要求和条件的，其投标将被拒绝。</w:t>
      </w:r>
    </w:p>
    <w:p w14:paraId="65372E9E">
      <w:pPr>
        <w:spacing w:line="360" w:lineRule="auto"/>
        <w:ind w:firstLine="480" w:firstLineChars="200"/>
        <w:rPr>
          <w:rFonts w:ascii="宋体" w:hAnsi="宋体"/>
          <w:color w:val="000000"/>
          <w:sz w:val="24"/>
        </w:rPr>
      </w:pPr>
      <w:r>
        <w:rPr>
          <w:rFonts w:hint="eastAsia" w:ascii="宋体" w:hAnsi="宋体"/>
          <w:color w:val="000000"/>
          <w:sz w:val="24"/>
        </w:rPr>
        <w:t>3.7.3竞争性磋商文件中要求投标人盖章的，以签盖单位章为准；</w:t>
      </w:r>
      <w:r>
        <w:rPr>
          <w:rFonts w:ascii="宋体" w:hAnsi="宋体"/>
          <w:color w:val="000000"/>
          <w:sz w:val="24"/>
        </w:rPr>
        <w:t>要求法定代表人或授权委托人签字或盖章的，以签盖法定代表人电子签章为准。</w:t>
      </w:r>
    </w:p>
    <w:p w14:paraId="37CB6AB2">
      <w:pPr>
        <w:spacing w:line="360" w:lineRule="auto"/>
        <w:ind w:firstLine="480" w:firstLineChars="200"/>
        <w:rPr>
          <w:rFonts w:ascii="宋体" w:hAnsi="宋体"/>
          <w:color w:val="000000"/>
          <w:sz w:val="24"/>
        </w:rPr>
      </w:pPr>
      <w:bookmarkStart w:id="51" w:name="_Toc516499649"/>
      <w:r>
        <w:rPr>
          <w:rFonts w:hint="eastAsia" w:ascii="宋体" w:hAnsi="宋体"/>
          <w:color w:val="000000"/>
          <w:sz w:val="24"/>
        </w:rPr>
        <w:t>4、投标</w:t>
      </w:r>
      <w:bookmarkEnd w:id="51"/>
    </w:p>
    <w:p w14:paraId="0666F945">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4.1电子响应性文件的递交</w:t>
      </w:r>
    </w:p>
    <w:p w14:paraId="5D5AFEF4">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4.1.1 投标人应在规定的投标截止时间前递交响应性文件。</w:t>
      </w:r>
    </w:p>
    <w:p w14:paraId="609C92CC">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4.1.2 投标人递交响应性文件的地点：见投标人须知前附表。</w:t>
      </w:r>
    </w:p>
    <w:p w14:paraId="1F80ACD6">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4.1.3 逾期送达的或者未送达指定地点的响应性文件，采购人不予受理。</w:t>
      </w:r>
    </w:p>
    <w:p w14:paraId="7DF0FF70">
      <w:pPr>
        <w:spacing w:line="360" w:lineRule="auto"/>
        <w:ind w:firstLine="480" w:firstLineChars="200"/>
        <w:rPr>
          <w:rFonts w:ascii="宋体" w:hAnsi="宋体" w:cs="宋体"/>
          <w:color w:val="000000"/>
          <w:sz w:val="24"/>
          <w:szCs w:val="22"/>
        </w:rPr>
      </w:pPr>
      <w:r>
        <w:rPr>
          <w:rFonts w:ascii="宋体" w:hAnsi="宋体" w:cs="宋体"/>
          <w:color w:val="000000"/>
          <w:sz w:val="24"/>
          <w:szCs w:val="22"/>
        </w:rPr>
        <w:t>5．磋商</w:t>
      </w:r>
    </w:p>
    <w:p w14:paraId="3667156E">
      <w:pPr>
        <w:spacing w:line="360" w:lineRule="auto"/>
        <w:ind w:firstLine="480" w:firstLineChars="200"/>
        <w:rPr>
          <w:rFonts w:ascii="宋体" w:hAnsi="宋体" w:cs="宋体"/>
          <w:color w:val="000000"/>
          <w:sz w:val="24"/>
          <w:szCs w:val="22"/>
        </w:rPr>
      </w:pPr>
      <w:r>
        <w:rPr>
          <w:rFonts w:ascii="宋体" w:hAnsi="宋体" w:cs="宋体"/>
          <w:color w:val="000000"/>
          <w:sz w:val="24"/>
          <w:szCs w:val="22"/>
        </w:rPr>
        <w:t>5.1 磋商时间和地点</w:t>
      </w:r>
    </w:p>
    <w:p w14:paraId="3FF0235F">
      <w:pPr>
        <w:spacing w:line="360" w:lineRule="auto"/>
        <w:ind w:firstLine="480" w:firstLineChars="200"/>
        <w:rPr>
          <w:rFonts w:ascii="宋体" w:hAnsi="宋体" w:cs="宋体"/>
          <w:color w:val="000000"/>
          <w:sz w:val="24"/>
          <w:szCs w:val="22"/>
        </w:rPr>
      </w:pPr>
      <w:r>
        <w:rPr>
          <w:rFonts w:ascii="宋体" w:hAnsi="宋体" w:cs="宋体"/>
          <w:color w:val="000000"/>
          <w:sz w:val="24"/>
          <w:szCs w:val="22"/>
        </w:rPr>
        <w:t>见投标人须知前附表。</w:t>
      </w:r>
    </w:p>
    <w:p w14:paraId="0786AEC7">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 磋商程序</w:t>
      </w:r>
    </w:p>
    <w:p w14:paraId="5B84A3E8">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5.2.1采购人按须知前附表规定的时间和地点磋商；</w:t>
      </w:r>
    </w:p>
    <w:p w14:paraId="1A5F83DC">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5.2.2</w:t>
      </w:r>
      <w:r>
        <w:rPr>
          <w:rFonts w:hint="eastAsia" w:ascii="宋体" w:hAnsi="宋体" w:cs="宋体"/>
          <w:color w:val="000000"/>
          <w:sz w:val="24"/>
          <w:szCs w:val="22"/>
        </w:rPr>
        <w:t>电子化项目开标操作流程</w:t>
      </w:r>
    </w:p>
    <w:p w14:paraId="49D7D46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（1）项目采用电子化、无纸化进行招标，开标当日，投标人无需到开标现场参加开标会议，投标人应当在投标截止时间前，登陆不见面开标大厅选择登陆三门峡市公共资源电子招投标系统进行登陆（网址为</w:t>
      </w:r>
      <w:r>
        <w:rPr>
          <w:rFonts w:ascii="宋体" w:hAnsi="宋体"/>
          <w:color w:val="000000"/>
          <w:sz w:val="24"/>
        </w:rPr>
        <w:t>http://120.194.249.36:10094/BidOpening/bidopeninghallaction/hall/login</w:t>
      </w:r>
      <w:r>
        <w:rPr>
          <w:rFonts w:hint="eastAsia" w:ascii="宋体" w:hAnsi="宋体" w:cs="宋体"/>
          <w:color w:val="000000"/>
          <w:sz w:val="24"/>
          <w:szCs w:val="22"/>
        </w:rPr>
        <w:t>）,在线准时参加开标活动并进行响应性文件解密等</w:t>
      </w:r>
    </w:p>
    <w:p w14:paraId="6212AD7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2</w:t>
      </w:r>
      <w:r>
        <w:rPr>
          <w:rFonts w:hint="eastAsia" w:ascii="宋体" w:hAnsi="宋体" w:cs="宋体"/>
          <w:color w:val="000000"/>
          <w:sz w:val="24"/>
          <w:szCs w:val="22"/>
        </w:rPr>
        <w:t>）电子化响应性文件采用一次加密方式。开标时，由投标人使用CA 证书，在规定时间内对其电子化响应性文件进行解密。每位投标人的解密时间为开标时间起30 分钟内，如在规定时间内未完成解密的，其响应性文件不予开标、唱标。</w:t>
      </w:r>
    </w:p>
    <w:p w14:paraId="18C0AA3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3</w:t>
      </w:r>
      <w:r>
        <w:rPr>
          <w:rFonts w:hint="eastAsia" w:ascii="宋体" w:hAnsi="宋体" w:cs="宋体"/>
          <w:color w:val="000000"/>
          <w:sz w:val="24"/>
          <w:szCs w:val="22"/>
        </w:rPr>
        <w:t>）电子化响应性文件解密异常的处理</w:t>
      </w:r>
    </w:p>
    <w:p w14:paraId="743CAFA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如出现投标人的电子响应性文件无法解密等异常情况，投标人应及时致电中介服务机构说明。响应性文件异常，按以下步骤进行处理：</w:t>
      </w:r>
    </w:p>
    <w:p w14:paraId="0E585BC3">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w:t>
      </w:r>
      <w:r>
        <w:rPr>
          <w:rFonts w:ascii="宋体" w:hAnsi="宋体" w:cs="宋体"/>
          <w:color w:val="000000"/>
          <w:sz w:val="24"/>
          <w:szCs w:val="22"/>
        </w:rPr>
        <w:t>.</w:t>
      </w:r>
      <w:r>
        <w:rPr>
          <w:rFonts w:hint="eastAsia" w:ascii="宋体" w:hAnsi="宋体" w:cs="宋体"/>
          <w:color w:val="000000"/>
          <w:sz w:val="24"/>
          <w:szCs w:val="22"/>
        </w:rPr>
        <w:t>首先由技术人员进行问题排查。</w:t>
      </w:r>
    </w:p>
    <w:p w14:paraId="77D90CA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w:t>
      </w:r>
      <w:r>
        <w:rPr>
          <w:rFonts w:ascii="宋体" w:hAnsi="宋体" w:cs="宋体"/>
          <w:color w:val="000000"/>
          <w:sz w:val="24"/>
          <w:szCs w:val="22"/>
        </w:rPr>
        <w:t>.</w:t>
      </w:r>
      <w:r>
        <w:rPr>
          <w:rFonts w:hint="eastAsia" w:ascii="宋体" w:hAnsi="宋体" w:cs="宋体"/>
          <w:color w:val="000000"/>
          <w:sz w:val="24"/>
          <w:szCs w:val="22"/>
        </w:rPr>
        <w:t>经技术人员排查后，是投标人文件自身问题导致响应性文件无法解密的，该响应性文件将不予接收、解密和唱标。开标会议继续进行。</w:t>
      </w:r>
    </w:p>
    <w:p w14:paraId="243CA86A">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3</w:t>
      </w:r>
      <w:r>
        <w:rPr>
          <w:rFonts w:ascii="宋体" w:hAnsi="宋体" w:cs="宋体"/>
          <w:color w:val="000000"/>
          <w:sz w:val="24"/>
          <w:szCs w:val="22"/>
        </w:rPr>
        <w:t>.</w:t>
      </w:r>
      <w:r>
        <w:rPr>
          <w:rFonts w:hint="eastAsia" w:ascii="宋体" w:hAnsi="宋体" w:cs="宋体"/>
          <w:color w:val="000000"/>
          <w:sz w:val="24"/>
          <w:szCs w:val="22"/>
        </w:rPr>
        <w:t>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0755612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4</w:t>
      </w:r>
      <w:r>
        <w:rPr>
          <w:rFonts w:hint="eastAsia" w:ascii="宋体" w:hAnsi="宋体" w:cs="宋体"/>
          <w:color w:val="000000"/>
          <w:sz w:val="24"/>
          <w:szCs w:val="22"/>
        </w:rPr>
        <w:t>）待所有投标人响应性文件解密完成后，由中介服务机构操作，对所有已解密响应性文件进行唱标。</w:t>
      </w:r>
    </w:p>
    <w:p w14:paraId="16DC5613">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投标人应保证在开标期间电话、电脑、网络能够正常工作，投标人因停电、电脑病毒、网络堵塞等原因，未在规定的解密时间内对响应性文件进行解密的，其响应性文件不予接收、唱标。</w:t>
      </w:r>
    </w:p>
    <w:p w14:paraId="3309444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5</w:t>
      </w:r>
      <w:r>
        <w:rPr>
          <w:rFonts w:hint="eastAsia" w:ascii="宋体" w:hAnsi="宋体" w:cs="宋体"/>
          <w:color w:val="000000"/>
          <w:sz w:val="24"/>
          <w:szCs w:val="22"/>
        </w:rPr>
        <w:t>）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7EF1E56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6</w:t>
      </w:r>
      <w:r>
        <w:rPr>
          <w:rFonts w:hint="eastAsia" w:ascii="宋体" w:hAnsi="宋体" w:cs="宋体"/>
          <w:color w:val="000000"/>
          <w:sz w:val="24"/>
          <w:szCs w:val="22"/>
        </w:rPr>
        <w:t>）评标时，磋商小组对电子化响应性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磋商小组。</w:t>
      </w:r>
    </w:p>
    <w:p w14:paraId="6E470DD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7</w:t>
      </w:r>
      <w:r>
        <w:rPr>
          <w:rFonts w:hint="eastAsia" w:ascii="宋体" w:hAnsi="宋体" w:cs="宋体"/>
          <w:color w:val="000000"/>
          <w:sz w:val="24"/>
          <w:szCs w:val="22"/>
        </w:rPr>
        <w:t>）如磋商小组对需要回复的投标人连续三次致电未接通的，视为投标人放弃回复，磋商小组将自行对需要回复的内容进行认定。</w:t>
      </w:r>
    </w:p>
    <w:p w14:paraId="7BFEBCF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5.</w:t>
      </w:r>
      <w:r>
        <w:rPr>
          <w:rFonts w:ascii="宋体" w:hAnsi="宋体" w:cs="宋体"/>
          <w:color w:val="000000"/>
          <w:sz w:val="24"/>
          <w:szCs w:val="22"/>
        </w:rPr>
        <w:t>2.3响应性文件有下列情况之一的,采购人将不予接收：</w:t>
      </w:r>
    </w:p>
    <w:p w14:paraId="13552E9E">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5.2.3.1响应性文件递交截止时间后上传的；</w:t>
      </w:r>
    </w:p>
    <w:p w14:paraId="44488737">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5.2.4按照响应性文件上传顺序进行解密；</w:t>
      </w:r>
    </w:p>
    <w:p w14:paraId="74B6FDDA">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5.2.5经确认无误后，按照报送时间顺序确定磋商顺序；</w:t>
      </w:r>
    </w:p>
    <w:p w14:paraId="44CFBF7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6.</w:t>
      </w:r>
      <w:r>
        <w:rPr>
          <w:rFonts w:ascii="宋体" w:hAnsi="宋体" w:cs="宋体"/>
          <w:color w:val="000000"/>
          <w:sz w:val="24"/>
          <w:szCs w:val="22"/>
        </w:rPr>
        <w:t>磋商细则</w:t>
      </w:r>
    </w:p>
    <w:p w14:paraId="3B3A0CF1">
      <w:pPr>
        <w:spacing w:line="360" w:lineRule="auto"/>
        <w:ind w:firstLine="480" w:firstLineChars="200"/>
        <w:rPr>
          <w:rFonts w:ascii="宋体" w:hAnsi="宋体" w:cs="宋体"/>
          <w:color w:val="000000"/>
          <w:sz w:val="24"/>
          <w:szCs w:val="22"/>
        </w:rPr>
      </w:pPr>
      <w:r>
        <w:rPr>
          <w:rFonts w:ascii="宋体" w:hAnsi="宋体" w:cs="宋体"/>
          <w:color w:val="000000"/>
          <w:sz w:val="24"/>
          <w:szCs w:val="22"/>
        </w:rPr>
        <w:t>6.1采购人按照上传响应性文件时间的顺序，决定磋商顺序；</w:t>
      </w:r>
    </w:p>
    <w:p w14:paraId="68D21F00">
      <w:pPr>
        <w:spacing w:line="360" w:lineRule="auto"/>
        <w:ind w:firstLine="480" w:firstLineChars="200"/>
        <w:rPr>
          <w:rFonts w:ascii="宋体" w:hAnsi="宋体" w:cs="宋体"/>
          <w:color w:val="000000"/>
          <w:sz w:val="24"/>
          <w:szCs w:val="22"/>
        </w:rPr>
      </w:pPr>
      <w:r>
        <w:rPr>
          <w:rFonts w:ascii="宋体" w:hAnsi="宋体" w:cs="宋体"/>
          <w:color w:val="000000"/>
          <w:sz w:val="24"/>
          <w:szCs w:val="22"/>
        </w:rPr>
        <w:t>6.2磋商小组所有成员在指定时间和地点与各投标人单独进行磋商。每位投标人有3-5分钟时间回答磋商小组以交易中心系统电子形式的提问。在磋商中，磋商的任何一方不得透露与磋商有关的其他投标人的技术资料、价格和其他信息。竞争性磋商文件有实质性变动的，磋商小组应当以三门峡公共资源交易中心系统电子形式通知所有参加磋商的投标人。</w:t>
      </w:r>
    </w:p>
    <w:p w14:paraId="68E103B9">
      <w:pPr>
        <w:spacing w:line="360" w:lineRule="auto"/>
        <w:ind w:firstLine="480" w:firstLineChars="200"/>
        <w:rPr>
          <w:rFonts w:ascii="宋体" w:hAnsi="宋体" w:cs="宋体"/>
          <w:color w:val="000000"/>
          <w:sz w:val="24"/>
          <w:szCs w:val="22"/>
        </w:rPr>
      </w:pPr>
      <w:r>
        <w:rPr>
          <w:rFonts w:ascii="宋体" w:hAnsi="宋体" w:cs="宋体"/>
          <w:color w:val="000000"/>
          <w:sz w:val="24"/>
          <w:szCs w:val="22"/>
        </w:rPr>
        <w:t>6.3本次磋商中，响应性文件中的报价为第一次报价。</w:t>
      </w:r>
    </w:p>
    <w:p w14:paraId="659F13ED">
      <w:pPr>
        <w:spacing w:line="360" w:lineRule="auto"/>
        <w:ind w:firstLine="480" w:firstLineChars="200"/>
        <w:rPr>
          <w:rFonts w:ascii="宋体" w:hAnsi="宋体" w:cs="宋体"/>
          <w:color w:val="000000"/>
          <w:sz w:val="24"/>
          <w:szCs w:val="22"/>
        </w:rPr>
      </w:pPr>
      <w:r>
        <w:rPr>
          <w:rFonts w:ascii="宋体" w:hAnsi="宋体" w:cs="宋体"/>
          <w:color w:val="000000"/>
          <w:sz w:val="24"/>
          <w:szCs w:val="22"/>
        </w:rPr>
        <w:t>6.4投标人可以在磋商小组规定的时间内进行第二次报价，通过交易中心系统以电子形式递交，</w:t>
      </w:r>
      <w:r>
        <w:rPr>
          <w:rFonts w:hint="eastAsia" w:ascii="宋体" w:hAnsi="宋体" w:cs="宋体"/>
          <w:color w:val="000000"/>
          <w:sz w:val="24"/>
          <w:szCs w:val="22"/>
        </w:rPr>
        <w:t>第二轮报价不得高于第一轮报价，</w:t>
      </w:r>
      <w:r>
        <w:rPr>
          <w:rFonts w:ascii="宋体" w:hAnsi="宋体" w:cs="宋体"/>
          <w:color w:val="000000"/>
          <w:sz w:val="24"/>
          <w:szCs w:val="22"/>
        </w:rPr>
        <w:t>成交价以最终报价为准。</w:t>
      </w:r>
      <w:r>
        <w:rPr>
          <w:rFonts w:hint="eastAsia" w:ascii="宋体" w:hAnsi="宋体" w:cs="宋体"/>
          <w:color w:val="000000"/>
          <w:sz w:val="24"/>
          <w:szCs w:val="22"/>
        </w:rPr>
        <w:t>磋商过程中，磋商小组可以根据磋商情况调整磋商轮次。</w:t>
      </w:r>
    </w:p>
    <w:p w14:paraId="7843E0DE">
      <w:pPr>
        <w:spacing w:line="360" w:lineRule="auto"/>
        <w:ind w:firstLine="480" w:firstLineChars="200"/>
        <w:rPr>
          <w:rFonts w:ascii="宋体" w:hAnsi="宋体" w:cs="宋体"/>
          <w:color w:val="000000"/>
          <w:sz w:val="24"/>
          <w:szCs w:val="22"/>
        </w:rPr>
      </w:pPr>
      <w:r>
        <w:rPr>
          <w:rFonts w:ascii="宋体" w:hAnsi="宋体" w:cs="宋体"/>
          <w:color w:val="000000"/>
          <w:sz w:val="24"/>
          <w:szCs w:val="22"/>
        </w:rPr>
        <w:t>6.5本项目采用综合评分法，磋商小组成员综合评审各投标人提交的响应性文件，按总得分由高到低的顺序推荐</w:t>
      </w:r>
      <w:r>
        <w:rPr>
          <w:rFonts w:hint="eastAsia" w:ascii="宋体" w:hAnsi="宋体" w:cs="宋体"/>
          <w:color w:val="000000"/>
          <w:sz w:val="24"/>
          <w:szCs w:val="22"/>
        </w:rPr>
        <w:t>3</w:t>
      </w:r>
      <w:r>
        <w:rPr>
          <w:rFonts w:ascii="宋体" w:hAnsi="宋体" w:cs="宋体"/>
          <w:color w:val="000000"/>
          <w:sz w:val="24"/>
          <w:szCs w:val="22"/>
        </w:rPr>
        <w:t>名中标候选人，并编写评审报告。</w:t>
      </w:r>
    </w:p>
    <w:p w14:paraId="49A03416">
      <w:pPr>
        <w:spacing w:line="360" w:lineRule="auto"/>
        <w:ind w:firstLine="480" w:firstLineChars="200"/>
        <w:rPr>
          <w:rFonts w:ascii="宋体" w:hAnsi="宋体" w:cs="宋体"/>
          <w:color w:val="000000"/>
          <w:sz w:val="24"/>
          <w:szCs w:val="22"/>
        </w:rPr>
      </w:pPr>
      <w:r>
        <w:rPr>
          <w:rFonts w:ascii="宋体" w:hAnsi="宋体" w:cs="宋体"/>
          <w:color w:val="000000"/>
          <w:sz w:val="24"/>
          <w:szCs w:val="22"/>
        </w:rPr>
        <w:t>7、磋商</w:t>
      </w:r>
      <w:r>
        <w:rPr>
          <w:rFonts w:hint="eastAsia" w:ascii="宋体" w:hAnsi="宋体" w:cs="宋体"/>
          <w:color w:val="000000"/>
          <w:sz w:val="24"/>
          <w:szCs w:val="22"/>
        </w:rPr>
        <w:t>小组</w:t>
      </w:r>
    </w:p>
    <w:p w14:paraId="6F1F915A">
      <w:pPr>
        <w:spacing w:line="360" w:lineRule="auto"/>
        <w:ind w:firstLine="480" w:firstLineChars="200"/>
        <w:rPr>
          <w:rFonts w:ascii="宋体" w:hAnsi="宋体" w:cs="宋体"/>
          <w:color w:val="000000"/>
          <w:sz w:val="24"/>
          <w:szCs w:val="22"/>
        </w:rPr>
      </w:pPr>
      <w:r>
        <w:rPr>
          <w:rFonts w:ascii="宋体" w:hAnsi="宋体" w:cs="宋体"/>
          <w:color w:val="000000"/>
          <w:sz w:val="24"/>
          <w:szCs w:val="22"/>
        </w:rPr>
        <w:t>7.1磋商小组由采购人依法组建，负责磋商。根据《政府采购竞争性磋商采购方式管理办法》的规定，磋商小组应当履行以下义务：</w:t>
      </w:r>
    </w:p>
    <w:p w14:paraId="6720D398">
      <w:pPr>
        <w:spacing w:line="360" w:lineRule="auto"/>
        <w:ind w:firstLine="480" w:firstLineChars="200"/>
        <w:rPr>
          <w:rFonts w:ascii="宋体" w:hAnsi="宋体" w:cs="宋体"/>
          <w:color w:val="000000"/>
          <w:sz w:val="24"/>
          <w:szCs w:val="22"/>
        </w:rPr>
      </w:pPr>
      <w:r>
        <w:rPr>
          <w:rFonts w:ascii="宋体" w:hAnsi="宋体" w:cs="宋体"/>
          <w:color w:val="000000"/>
          <w:sz w:val="24"/>
          <w:szCs w:val="22"/>
        </w:rPr>
        <w:t>（一）遵纪守法，客观、公正、</w:t>
      </w:r>
      <w:r>
        <w:rPr>
          <w:rFonts w:hint="eastAsia" w:ascii="宋体" w:hAnsi="宋体" w:cs="宋体"/>
          <w:color w:val="000000"/>
          <w:sz w:val="24"/>
          <w:szCs w:val="22"/>
        </w:rPr>
        <w:t>廉洁</w:t>
      </w:r>
      <w:r>
        <w:rPr>
          <w:rFonts w:ascii="宋体" w:hAnsi="宋体" w:cs="宋体"/>
          <w:color w:val="000000"/>
          <w:sz w:val="24"/>
          <w:szCs w:val="22"/>
        </w:rPr>
        <w:t xml:space="preserve">地履行职责； </w:t>
      </w:r>
    </w:p>
    <w:p w14:paraId="315A2088">
      <w:pPr>
        <w:spacing w:line="360" w:lineRule="auto"/>
        <w:ind w:firstLine="480" w:firstLineChars="200"/>
        <w:rPr>
          <w:rFonts w:ascii="宋体" w:hAnsi="宋体" w:cs="宋体"/>
          <w:color w:val="000000"/>
          <w:sz w:val="24"/>
          <w:szCs w:val="22"/>
        </w:rPr>
      </w:pPr>
      <w:r>
        <w:rPr>
          <w:rFonts w:ascii="宋体" w:hAnsi="宋体" w:cs="宋体"/>
          <w:color w:val="000000"/>
          <w:sz w:val="24"/>
          <w:szCs w:val="22"/>
        </w:rPr>
        <w:t>根据竞争性磋商文件的规定独立进行评审，对个人的评审意见承担法律责任；磋商小组将综合分析、评审投标人的各项指标，而不以单项指标的优劣评定出成交候选</w:t>
      </w:r>
      <w:r>
        <w:rPr>
          <w:rFonts w:hint="eastAsia" w:ascii="宋体" w:hAnsi="宋体" w:cs="宋体"/>
          <w:color w:val="000000"/>
          <w:sz w:val="24"/>
          <w:szCs w:val="22"/>
        </w:rPr>
        <w:t>人</w:t>
      </w:r>
      <w:r>
        <w:rPr>
          <w:rFonts w:ascii="宋体" w:hAnsi="宋体" w:cs="宋体"/>
          <w:color w:val="000000"/>
          <w:sz w:val="24"/>
          <w:szCs w:val="22"/>
        </w:rPr>
        <w:t>或成交</w:t>
      </w:r>
      <w:r>
        <w:rPr>
          <w:rFonts w:hint="eastAsia" w:ascii="宋体" w:hAnsi="宋体" w:cs="宋体"/>
          <w:color w:val="000000"/>
          <w:sz w:val="24"/>
          <w:szCs w:val="22"/>
        </w:rPr>
        <w:t>人</w:t>
      </w:r>
      <w:r>
        <w:rPr>
          <w:rFonts w:ascii="宋体" w:hAnsi="宋体" w:cs="宋体"/>
          <w:color w:val="000000"/>
          <w:sz w:val="24"/>
          <w:szCs w:val="22"/>
        </w:rPr>
        <w:t>。</w:t>
      </w:r>
    </w:p>
    <w:p w14:paraId="3636B638">
      <w:pPr>
        <w:spacing w:line="360" w:lineRule="auto"/>
        <w:ind w:firstLine="480" w:firstLineChars="200"/>
        <w:rPr>
          <w:rFonts w:ascii="宋体" w:hAnsi="宋体" w:cs="宋体"/>
          <w:color w:val="000000"/>
          <w:sz w:val="24"/>
          <w:szCs w:val="22"/>
        </w:rPr>
      </w:pPr>
      <w:r>
        <w:rPr>
          <w:rFonts w:ascii="宋体" w:hAnsi="宋体" w:cs="宋体"/>
          <w:color w:val="000000"/>
          <w:sz w:val="24"/>
          <w:szCs w:val="22"/>
        </w:rPr>
        <w:t>参与磋商报告的起草；</w:t>
      </w:r>
    </w:p>
    <w:p w14:paraId="48E4D0DE">
      <w:pPr>
        <w:spacing w:line="360" w:lineRule="auto"/>
        <w:ind w:firstLine="480" w:firstLineChars="200"/>
        <w:rPr>
          <w:rFonts w:ascii="宋体" w:hAnsi="宋体" w:cs="宋体"/>
          <w:color w:val="000000"/>
          <w:sz w:val="24"/>
          <w:szCs w:val="22"/>
        </w:rPr>
      </w:pPr>
      <w:r>
        <w:rPr>
          <w:rFonts w:ascii="宋体" w:hAnsi="宋体" w:cs="宋体"/>
          <w:color w:val="000000"/>
          <w:sz w:val="24"/>
          <w:szCs w:val="22"/>
        </w:rPr>
        <w:t>配合采购人、代理机构答复投标人提出的质疑；</w:t>
      </w:r>
    </w:p>
    <w:p w14:paraId="7D7E4349">
      <w:pPr>
        <w:spacing w:line="360" w:lineRule="auto"/>
        <w:ind w:firstLine="480" w:firstLineChars="200"/>
        <w:rPr>
          <w:rFonts w:ascii="宋体" w:hAnsi="宋体" w:cs="宋体"/>
          <w:color w:val="000000"/>
          <w:sz w:val="24"/>
          <w:szCs w:val="22"/>
        </w:rPr>
      </w:pPr>
      <w:r>
        <w:rPr>
          <w:rFonts w:ascii="宋体" w:hAnsi="宋体" w:cs="宋体"/>
          <w:color w:val="000000"/>
          <w:sz w:val="24"/>
          <w:szCs w:val="22"/>
        </w:rPr>
        <w:t>配合财政部门的投诉处理和监督检查工作。</w:t>
      </w:r>
    </w:p>
    <w:p w14:paraId="65E6616B">
      <w:pPr>
        <w:spacing w:line="360" w:lineRule="auto"/>
        <w:ind w:firstLine="480" w:firstLineChars="200"/>
        <w:rPr>
          <w:rFonts w:ascii="宋体" w:hAnsi="宋体" w:cs="宋体"/>
          <w:color w:val="000000"/>
          <w:sz w:val="24"/>
          <w:szCs w:val="22"/>
        </w:rPr>
      </w:pPr>
      <w:r>
        <w:rPr>
          <w:rFonts w:ascii="宋体" w:hAnsi="宋体" w:cs="宋体"/>
          <w:color w:val="000000"/>
          <w:sz w:val="24"/>
          <w:szCs w:val="22"/>
        </w:rPr>
        <w:t>7.2磋商小组由有关技术、经济方面的专家组成。磋商小组人数及技术、经济专家的确定方式见投标人须知前附表。</w:t>
      </w:r>
    </w:p>
    <w:p w14:paraId="4E35E42E">
      <w:pPr>
        <w:spacing w:line="360" w:lineRule="auto"/>
        <w:ind w:firstLine="480" w:firstLineChars="200"/>
        <w:rPr>
          <w:rFonts w:ascii="宋体" w:hAnsi="宋体" w:cs="宋体"/>
          <w:color w:val="000000"/>
          <w:sz w:val="24"/>
          <w:szCs w:val="22"/>
        </w:rPr>
      </w:pPr>
      <w:r>
        <w:rPr>
          <w:rFonts w:ascii="宋体" w:hAnsi="宋体" w:cs="宋体"/>
          <w:color w:val="000000"/>
          <w:sz w:val="24"/>
          <w:szCs w:val="22"/>
        </w:rPr>
        <w:t>7.3 磋商原则</w:t>
      </w:r>
    </w:p>
    <w:p w14:paraId="19CE3CB7">
      <w:pPr>
        <w:spacing w:line="360" w:lineRule="auto"/>
        <w:ind w:firstLine="480" w:firstLineChars="200"/>
        <w:rPr>
          <w:rFonts w:ascii="宋体" w:hAnsi="宋体" w:cs="宋体"/>
          <w:color w:val="000000"/>
          <w:sz w:val="24"/>
          <w:szCs w:val="22"/>
        </w:rPr>
      </w:pPr>
      <w:r>
        <w:rPr>
          <w:rFonts w:ascii="宋体" w:hAnsi="宋体" w:cs="宋体"/>
          <w:color w:val="000000"/>
          <w:sz w:val="24"/>
          <w:szCs w:val="22"/>
        </w:rPr>
        <w:t>7.3.1严格按照竞争性磋商文件中的所有相关规定；按照“</w:t>
      </w:r>
      <w:r>
        <w:rPr>
          <w:rFonts w:hint="eastAsia" w:ascii="宋体" w:hAnsi="宋体" w:cs="宋体"/>
          <w:color w:val="000000"/>
          <w:sz w:val="24"/>
          <w:szCs w:val="22"/>
        </w:rPr>
        <w:t>客观、公正、审慎</w:t>
      </w:r>
      <w:r>
        <w:rPr>
          <w:rFonts w:ascii="宋体" w:hAnsi="宋体" w:cs="宋体"/>
          <w:color w:val="000000"/>
          <w:sz w:val="24"/>
          <w:szCs w:val="22"/>
        </w:rPr>
        <w:t>” 的原则进行磋商。</w:t>
      </w:r>
    </w:p>
    <w:p w14:paraId="0F3911C0">
      <w:pPr>
        <w:spacing w:line="360" w:lineRule="auto"/>
        <w:ind w:firstLine="480" w:firstLineChars="200"/>
        <w:rPr>
          <w:rFonts w:ascii="宋体" w:hAnsi="宋体" w:cs="宋体"/>
          <w:color w:val="000000"/>
          <w:sz w:val="24"/>
          <w:szCs w:val="22"/>
        </w:rPr>
      </w:pPr>
      <w:r>
        <w:rPr>
          <w:rFonts w:ascii="宋体" w:hAnsi="宋体" w:cs="宋体"/>
          <w:color w:val="000000"/>
          <w:sz w:val="24"/>
          <w:szCs w:val="22"/>
        </w:rPr>
        <w:t>7.3.2反对不正当竞争。</w:t>
      </w:r>
    </w:p>
    <w:p w14:paraId="570F1586">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8、</w:t>
      </w:r>
      <w:r>
        <w:rPr>
          <w:rFonts w:ascii="宋体" w:hAnsi="宋体" w:cs="宋体"/>
          <w:color w:val="000000"/>
          <w:sz w:val="24"/>
          <w:szCs w:val="22"/>
        </w:rPr>
        <w:t>磋商过程的保密</w:t>
      </w:r>
    </w:p>
    <w:p w14:paraId="0F5706B9">
      <w:pPr>
        <w:spacing w:line="360" w:lineRule="auto"/>
        <w:ind w:firstLine="480" w:firstLineChars="200"/>
        <w:rPr>
          <w:rFonts w:ascii="宋体" w:hAnsi="宋体" w:cs="宋体"/>
          <w:color w:val="000000"/>
          <w:sz w:val="24"/>
          <w:szCs w:val="22"/>
        </w:rPr>
      </w:pPr>
      <w:r>
        <w:rPr>
          <w:rFonts w:ascii="宋体" w:hAnsi="宋体" w:cs="宋体"/>
          <w:color w:val="000000"/>
          <w:sz w:val="24"/>
          <w:szCs w:val="22"/>
        </w:rPr>
        <w:t>8.1响应性文件的审查、澄清、评价和比较的有关资料以及中标候选人的推荐情况，与评标有关的其他任何情况均应严格保密。</w:t>
      </w:r>
    </w:p>
    <w:p w14:paraId="64B94EA6">
      <w:pPr>
        <w:spacing w:line="360" w:lineRule="auto"/>
        <w:ind w:firstLine="480" w:firstLineChars="200"/>
        <w:rPr>
          <w:rFonts w:ascii="宋体" w:hAnsi="宋体" w:cs="宋体"/>
          <w:color w:val="000000"/>
          <w:sz w:val="24"/>
          <w:szCs w:val="22"/>
        </w:rPr>
      </w:pPr>
      <w:r>
        <w:rPr>
          <w:rFonts w:ascii="宋体" w:hAnsi="宋体" w:cs="宋体"/>
          <w:color w:val="000000"/>
          <w:sz w:val="24"/>
          <w:szCs w:val="22"/>
        </w:rPr>
        <w:t>8.2在响应性文件的评审和比较、中标候选人推荐以及授予合同的过程中，投标人向采购人和磋商小组施加影响的任何行为，都将会导致其投标被拒绝。</w:t>
      </w:r>
    </w:p>
    <w:p w14:paraId="1C81365D">
      <w:pPr>
        <w:spacing w:line="360" w:lineRule="auto"/>
        <w:ind w:firstLine="480" w:firstLineChars="200"/>
        <w:rPr>
          <w:rFonts w:ascii="宋体" w:hAnsi="宋体" w:cs="宋体"/>
          <w:color w:val="000000"/>
          <w:sz w:val="24"/>
          <w:szCs w:val="22"/>
        </w:rPr>
      </w:pPr>
      <w:r>
        <w:rPr>
          <w:rFonts w:ascii="宋体" w:hAnsi="宋体" w:cs="宋体"/>
          <w:color w:val="000000"/>
          <w:sz w:val="24"/>
          <w:szCs w:val="22"/>
        </w:rPr>
        <w:t>8.3采购人不对未中标人就评标过程以及未能中标原因作出任何解释。未中标人不得向磋商小组成员和其他有关人员索问评标过程的情况和资料。</w:t>
      </w:r>
    </w:p>
    <w:p w14:paraId="147D2C4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9、</w:t>
      </w:r>
      <w:r>
        <w:rPr>
          <w:rFonts w:ascii="宋体" w:hAnsi="宋体" w:cs="宋体"/>
          <w:color w:val="000000"/>
          <w:sz w:val="24"/>
          <w:szCs w:val="22"/>
        </w:rPr>
        <w:t>响应性文件的澄清</w:t>
      </w:r>
    </w:p>
    <w:p w14:paraId="70C08453">
      <w:pPr>
        <w:spacing w:line="360" w:lineRule="auto"/>
        <w:ind w:firstLine="480" w:firstLineChars="200"/>
        <w:rPr>
          <w:rFonts w:ascii="宋体" w:hAnsi="宋体" w:cs="宋体"/>
          <w:color w:val="000000"/>
          <w:sz w:val="24"/>
          <w:szCs w:val="22"/>
        </w:rPr>
      </w:pPr>
      <w:r>
        <w:rPr>
          <w:rFonts w:ascii="宋体" w:hAnsi="宋体" w:cs="宋体"/>
          <w:color w:val="000000"/>
          <w:sz w:val="24"/>
          <w:szCs w:val="22"/>
        </w:rPr>
        <w:t>磋商小组可以以书面形式要求投标人对其响应性文件中含义不明确的内容作必要的澄清或说明。投标人应采用书面形式进行澄清和说明，但不得超出响应性文件的范围或者改变响应性文件实质性内容。凡属于磋商小组在磋商发现的计算错误并进行核实的修改不在此列。</w:t>
      </w:r>
    </w:p>
    <w:p w14:paraId="57943A3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10、</w:t>
      </w:r>
      <w:r>
        <w:rPr>
          <w:rFonts w:ascii="宋体" w:hAnsi="宋体" w:cs="宋体"/>
          <w:color w:val="000000"/>
          <w:sz w:val="24"/>
          <w:szCs w:val="22"/>
        </w:rPr>
        <w:t>响应性文件的初步评审</w:t>
      </w:r>
    </w:p>
    <w:p w14:paraId="7299AE19">
      <w:pPr>
        <w:spacing w:line="360" w:lineRule="auto"/>
        <w:ind w:firstLine="480" w:firstLineChars="200"/>
        <w:rPr>
          <w:rFonts w:ascii="宋体" w:hAnsi="宋体" w:cs="宋体"/>
          <w:color w:val="000000"/>
          <w:sz w:val="24"/>
          <w:szCs w:val="22"/>
        </w:rPr>
      </w:pPr>
      <w:r>
        <w:rPr>
          <w:rFonts w:ascii="宋体" w:hAnsi="宋体" w:cs="宋体"/>
          <w:color w:val="000000"/>
          <w:sz w:val="24"/>
          <w:szCs w:val="22"/>
        </w:rPr>
        <w:t>10.1根据初步评审要求经审查有效的响应性文件，才能提交磋商小组进行评审。</w:t>
      </w:r>
    </w:p>
    <w:p w14:paraId="47FA86D9">
      <w:pPr>
        <w:spacing w:line="360" w:lineRule="auto"/>
        <w:ind w:firstLine="480" w:firstLineChars="200"/>
        <w:rPr>
          <w:rFonts w:ascii="宋体" w:hAnsi="宋体" w:cs="宋体"/>
          <w:color w:val="000000"/>
          <w:sz w:val="24"/>
          <w:szCs w:val="22"/>
        </w:rPr>
      </w:pPr>
      <w:r>
        <w:rPr>
          <w:rFonts w:ascii="宋体" w:hAnsi="宋体" w:cs="宋体"/>
          <w:color w:val="000000"/>
          <w:sz w:val="24"/>
          <w:szCs w:val="22"/>
        </w:rPr>
        <w:t>10.2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投标人的义务方面造成重大的限制，纠正这些差异或保留，将会对其他实质上响应竞争性磋商文件要求的投标人的竞争地位产生不公正的影响。</w:t>
      </w:r>
    </w:p>
    <w:p w14:paraId="1E54B9D1">
      <w:pPr>
        <w:spacing w:line="360" w:lineRule="auto"/>
        <w:ind w:firstLine="480" w:firstLineChars="200"/>
        <w:rPr>
          <w:rFonts w:ascii="宋体" w:hAnsi="宋体" w:cs="宋体"/>
          <w:color w:val="000000"/>
          <w:sz w:val="24"/>
          <w:szCs w:val="22"/>
        </w:rPr>
      </w:pPr>
      <w:r>
        <w:rPr>
          <w:rFonts w:ascii="宋体" w:hAnsi="宋体" w:cs="宋体"/>
          <w:color w:val="000000"/>
          <w:sz w:val="24"/>
          <w:szCs w:val="22"/>
        </w:rPr>
        <w:t>10.3如果响应性文件实质上不响应竞争性磋商文件的要求，采购人将予以拒绝，并且不允许投标人通过修改或撤消其不符合要求的差异或保留，使之成为具有响应性的投标。</w:t>
      </w:r>
    </w:p>
    <w:p w14:paraId="21794A87">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11.响应性文件计算错误的修正</w:t>
      </w:r>
    </w:p>
    <w:p w14:paraId="0A983EE3">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11.1磋商小组将对确定为实质上响应竞争性磋商文件要求的响应性文件进行校核，看其是否有计算或表达上的错误，修正错误的原则如下：</w:t>
      </w:r>
    </w:p>
    <w:p w14:paraId="44014A59">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11.1.1如果数字表示的金额和用文字表示的金额不一致时，应以文字表示的金额为准；</w:t>
      </w:r>
    </w:p>
    <w:p w14:paraId="02EC75C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11.</w:t>
      </w:r>
      <w:r>
        <w:rPr>
          <w:rFonts w:ascii="宋体" w:hAnsi="宋体" w:cs="宋体"/>
          <w:color w:val="000000"/>
          <w:sz w:val="24"/>
          <w:szCs w:val="22"/>
        </w:rPr>
        <w:t>1.2当单价与数量的乘积与合价不一致时，以单价为准，除非磋商小组认为单价有明显的小数点错误，此时应以标出的合价为准，并修改单价。</w:t>
      </w:r>
    </w:p>
    <w:p w14:paraId="7DDA041D">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11.2按上述修正错误的原则及方法调整或修正响应性文件的投标报价，投标人同意后，调整后的投标报价对投标人起约束作用。如果投标人不接受修正后的报价，则磋商小组对其不再进行评审。</w:t>
      </w:r>
    </w:p>
    <w:p w14:paraId="778C6BA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12.</w:t>
      </w:r>
      <w:r>
        <w:rPr>
          <w:rFonts w:ascii="宋体" w:hAnsi="宋体" w:cs="宋体"/>
          <w:color w:val="000000"/>
          <w:sz w:val="24"/>
          <w:szCs w:val="22"/>
        </w:rPr>
        <w:t>响应性文件的评审、比较和否决</w:t>
      </w:r>
    </w:p>
    <w:p w14:paraId="3BA6896A">
      <w:pPr>
        <w:spacing w:line="360" w:lineRule="auto"/>
        <w:ind w:firstLine="480" w:firstLineChars="200"/>
        <w:rPr>
          <w:rFonts w:ascii="宋体" w:hAnsi="宋体" w:cs="宋体"/>
          <w:color w:val="000000"/>
          <w:sz w:val="24"/>
          <w:szCs w:val="22"/>
        </w:rPr>
      </w:pPr>
      <w:r>
        <w:rPr>
          <w:rFonts w:ascii="宋体" w:hAnsi="宋体" w:cs="宋体"/>
          <w:color w:val="000000"/>
          <w:sz w:val="24"/>
          <w:szCs w:val="22"/>
        </w:rPr>
        <w:t>12.1磋商小组仅对在实质上响应竞争性磋商文件要求的响应性文件进行评估和比较。</w:t>
      </w:r>
    </w:p>
    <w:p w14:paraId="107540CB">
      <w:pPr>
        <w:spacing w:line="360" w:lineRule="auto"/>
        <w:ind w:firstLine="480" w:firstLineChars="200"/>
        <w:rPr>
          <w:rFonts w:ascii="宋体" w:hAnsi="宋体" w:cs="宋体"/>
          <w:color w:val="000000"/>
          <w:sz w:val="24"/>
          <w:szCs w:val="22"/>
        </w:rPr>
      </w:pPr>
      <w:r>
        <w:rPr>
          <w:rFonts w:ascii="宋体" w:hAnsi="宋体" w:cs="宋体"/>
          <w:color w:val="000000"/>
          <w:sz w:val="24"/>
          <w:szCs w:val="22"/>
        </w:rPr>
        <w:t>12.2在磋商过程中，磋商小组发现投标人的投标报价明显低于其他投标人的报价，并有可能低于其企业成本的，则磋商小组可以以书面形式要求该投标人作出书面说明并提供相关证明材料。投标人不能合理说明或不能提供相关证明材料的，磋商小组对其响应性文件不再进行评审。</w:t>
      </w:r>
    </w:p>
    <w:p w14:paraId="63ABE526">
      <w:pPr>
        <w:spacing w:line="360" w:lineRule="auto"/>
        <w:ind w:firstLine="480" w:firstLineChars="200"/>
        <w:rPr>
          <w:rFonts w:ascii="宋体" w:hAnsi="宋体" w:cs="宋体"/>
          <w:snapToGrid w:val="0"/>
          <w:color w:val="000000"/>
          <w:kern w:val="0"/>
          <w:sz w:val="24"/>
          <w:szCs w:val="22"/>
          <w:shd w:val="clear" w:color="auto" w:fill="FFFFFF"/>
        </w:rPr>
      </w:pPr>
      <w:r>
        <w:rPr>
          <w:rFonts w:ascii="宋体" w:hAnsi="宋体" w:cs="宋体"/>
          <w:color w:val="000000"/>
          <w:sz w:val="24"/>
          <w:szCs w:val="22"/>
        </w:rPr>
        <w:t>12.</w:t>
      </w:r>
      <w:r>
        <w:rPr>
          <w:rFonts w:hint="eastAsia" w:ascii="宋体" w:hAnsi="宋体" w:cs="宋体"/>
          <w:color w:val="000000"/>
          <w:sz w:val="24"/>
          <w:szCs w:val="22"/>
        </w:rPr>
        <w:t>3.1</w:t>
      </w:r>
      <w:r>
        <w:rPr>
          <w:rFonts w:hint="eastAsia" w:ascii="宋体" w:hAnsi="宋体" w:cs="宋体"/>
          <w:snapToGrid w:val="0"/>
          <w:color w:val="000000"/>
          <w:kern w:val="0"/>
          <w:sz w:val="24"/>
          <w:szCs w:val="22"/>
          <w:shd w:val="clear" w:color="auto" w:fill="FFFFFF"/>
        </w:rPr>
        <w:t>磋商小组应当要求所有实质性响应的投标人在规定时间内提交最后报价，提交最后报价的投标人不得少于3家。</w:t>
      </w:r>
    </w:p>
    <w:p w14:paraId="1110175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12.3.2</w:t>
      </w:r>
      <w:r>
        <w:rPr>
          <w:rFonts w:ascii="宋体" w:hAnsi="宋体" w:cs="宋体"/>
          <w:color w:val="000000"/>
          <w:sz w:val="24"/>
          <w:szCs w:val="22"/>
        </w:rPr>
        <w:t>出现下列情形之一的，</w:t>
      </w:r>
      <w:r>
        <w:rPr>
          <w:rFonts w:hint="eastAsia" w:ascii="宋体" w:hAnsi="宋体" w:cs="宋体"/>
          <w:color w:val="000000"/>
          <w:sz w:val="24"/>
          <w:szCs w:val="22"/>
        </w:rPr>
        <w:t>采购人</w:t>
      </w:r>
      <w:r>
        <w:rPr>
          <w:rFonts w:ascii="宋体" w:hAnsi="宋体" w:cs="宋体"/>
          <w:color w:val="000000"/>
          <w:sz w:val="24"/>
          <w:szCs w:val="22"/>
        </w:rPr>
        <w:t>或者招标代理机构应当终止竞争性磋商活动，发布项目终止公告并说明原因，重新开展</w:t>
      </w:r>
      <w:r>
        <w:rPr>
          <w:rFonts w:hint="eastAsia" w:ascii="宋体" w:hAnsi="宋体" w:cs="宋体"/>
          <w:color w:val="000000"/>
          <w:sz w:val="24"/>
          <w:szCs w:val="22"/>
        </w:rPr>
        <w:t>招标</w:t>
      </w:r>
      <w:r>
        <w:rPr>
          <w:rFonts w:ascii="宋体" w:hAnsi="宋体" w:cs="宋体"/>
          <w:color w:val="000000"/>
          <w:sz w:val="24"/>
          <w:szCs w:val="22"/>
        </w:rPr>
        <w:t>活动：</w:t>
      </w:r>
    </w:p>
    <w:p w14:paraId="359CD6B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（一）因情况变化，不再符合规定的竞争性磋商采购方式适用情形的；</w:t>
      </w:r>
    </w:p>
    <w:p w14:paraId="3CAD670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（二）出现影响采购公正的违法、违规行为的；</w:t>
      </w:r>
    </w:p>
    <w:p w14:paraId="4F12ED1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（三）除《政府采购竞争性磋商采购方式管理暂行办法》第二十一条第三款规定的情形外，在采购过程中符合要求的投标人或者报价未超过采购预算的投标人不足</w:t>
      </w:r>
      <w:r>
        <w:rPr>
          <w:rFonts w:ascii="宋体" w:hAnsi="宋体" w:cs="宋体"/>
          <w:color w:val="000000"/>
          <w:sz w:val="24"/>
          <w:szCs w:val="22"/>
        </w:rPr>
        <w:t>3家的。</w:t>
      </w:r>
    </w:p>
    <w:p w14:paraId="66895921">
      <w:pPr>
        <w:spacing w:line="480" w:lineRule="exact"/>
        <w:ind w:firstLine="480" w:firstLineChars="200"/>
        <w:rPr>
          <w:rFonts w:ascii="宋体" w:hAnsi="宋体" w:cs="宋体"/>
          <w:bCs/>
          <w:color w:val="000000"/>
          <w:sz w:val="24"/>
        </w:rPr>
      </w:pPr>
      <w:r>
        <w:rPr>
          <w:rFonts w:hint="eastAsia" w:ascii="宋体" w:hAnsi="宋体" w:cs="宋体"/>
          <w:bCs/>
          <w:color w:val="000000"/>
          <w:sz w:val="24"/>
        </w:rPr>
        <w:t>13、成交原则</w:t>
      </w:r>
    </w:p>
    <w:p w14:paraId="274EDD92">
      <w:pPr>
        <w:spacing w:line="480" w:lineRule="exact"/>
        <w:ind w:firstLine="480" w:firstLineChars="200"/>
        <w:rPr>
          <w:rFonts w:ascii="宋体" w:hAnsi="宋体" w:cs="宋体"/>
          <w:bCs/>
          <w:color w:val="000000"/>
          <w:sz w:val="24"/>
        </w:rPr>
      </w:pPr>
      <w:r>
        <w:rPr>
          <w:rFonts w:hint="eastAsia" w:ascii="宋体" w:hAnsi="宋体" w:cs="宋体"/>
          <w:bCs/>
          <w:color w:val="000000"/>
          <w:sz w:val="24"/>
        </w:rPr>
        <w:t>磋商小组根据综合评分情况，按照评审得分由高到低顺序推荐3名供应商，并编写评审报告并在报告上签字。评审得分相同的，按照最后报价由低到高的顺序推荐。评审得分且最后报价相同的，按照技术指标优劣顺序推荐。</w:t>
      </w:r>
    </w:p>
    <w:p w14:paraId="6B3F6606">
      <w:pPr>
        <w:spacing w:line="480" w:lineRule="exact"/>
        <w:ind w:firstLine="480" w:firstLineChars="200"/>
        <w:rPr>
          <w:rFonts w:ascii="宋体" w:hAnsi="宋体" w:cs="宋体"/>
          <w:bCs/>
          <w:color w:val="000000"/>
          <w:sz w:val="24"/>
        </w:rPr>
      </w:pPr>
      <w:r>
        <w:rPr>
          <w:rFonts w:hint="eastAsia" w:ascii="宋体" w:hAnsi="宋体" w:cs="宋体"/>
          <w:bCs/>
          <w:color w:val="000000"/>
          <w:sz w:val="24"/>
        </w:rPr>
        <w:t>14、评审报告</w:t>
      </w:r>
    </w:p>
    <w:p w14:paraId="19739A5F">
      <w:pPr>
        <w:spacing w:line="480" w:lineRule="exact"/>
        <w:ind w:firstLine="480" w:firstLineChars="200"/>
        <w:rPr>
          <w:rFonts w:ascii="宋体" w:hAnsi="宋体" w:cs="宋体"/>
          <w:bCs/>
          <w:color w:val="000000"/>
          <w:sz w:val="24"/>
        </w:rPr>
      </w:pPr>
      <w:r>
        <w:rPr>
          <w:rFonts w:hint="eastAsia" w:ascii="宋体" w:hAnsi="宋体" w:cs="宋体"/>
          <w:bCs/>
          <w:color w:val="000000"/>
          <w:sz w:val="24"/>
        </w:rPr>
        <w:t>磋商小组组应当根据评审记录和评审结果编写评审报告，其主要内容包括：</w:t>
      </w:r>
    </w:p>
    <w:p w14:paraId="063FAC5F">
      <w:pPr>
        <w:spacing w:line="480" w:lineRule="exact"/>
        <w:ind w:firstLine="480" w:firstLineChars="200"/>
        <w:rPr>
          <w:rFonts w:ascii="宋体" w:hAnsi="宋体" w:cs="宋体"/>
          <w:bCs/>
          <w:color w:val="000000"/>
          <w:sz w:val="24"/>
        </w:rPr>
      </w:pPr>
      <w:r>
        <w:rPr>
          <w:rFonts w:hint="eastAsia" w:ascii="宋体" w:hAnsi="宋体" w:cs="宋体"/>
          <w:bCs/>
          <w:color w:val="000000"/>
          <w:sz w:val="24"/>
        </w:rPr>
        <w:t>14.1招标活动的具体方式和相关情况，以及参加招标活动的投标人名单；</w:t>
      </w:r>
    </w:p>
    <w:p w14:paraId="3D168111">
      <w:pPr>
        <w:spacing w:line="480" w:lineRule="exact"/>
        <w:ind w:firstLine="480" w:firstLineChars="200"/>
        <w:rPr>
          <w:rFonts w:ascii="宋体" w:hAnsi="宋体" w:cs="宋体"/>
          <w:bCs/>
          <w:color w:val="000000"/>
          <w:sz w:val="24"/>
        </w:rPr>
      </w:pPr>
      <w:r>
        <w:rPr>
          <w:rFonts w:hint="eastAsia" w:ascii="宋体" w:hAnsi="宋体" w:cs="宋体"/>
          <w:bCs/>
          <w:color w:val="000000"/>
          <w:sz w:val="24"/>
        </w:rPr>
        <w:t>14.2评审日期和地点，磋商小组成员名单；</w:t>
      </w:r>
    </w:p>
    <w:p w14:paraId="698E5A1A">
      <w:pPr>
        <w:spacing w:line="480" w:lineRule="exact"/>
        <w:ind w:firstLine="480" w:firstLineChars="200"/>
        <w:rPr>
          <w:rFonts w:ascii="宋体" w:hAnsi="宋体" w:cs="宋体"/>
          <w:bCs/>
          <w:color w:val="000000"/>
          <w:sz w:val="24"/>
        </w:rPr>
      </w:pPr>
      <w:r>
        <w:rPr>
          <w:rFonts w:hint="eastAsia" w:ascii="宋体" w:hAnsi="宋体" w:cs="宋体"/>
          <w:bCs/>
          <w:color w:val="000000"/>
          <w:sz w:val="24"/>
        </w:rPr>
        <w:t>14.3评审情况记录和说明，包括对供应商的资格审查情况、响应文件评审情况、磋商情况、报价情况等；</w:t>
      </w:r>
    </w:p>
    <w:p w14:paraId="1DCE7A70">
      <w:pPr>
        <w:spacing w:line="480" w:lineRule="exact"/>
        <w:ind w:firstLine="480" w:firstLineChars="200"/>
        <w:rPr>
          <w:rFonts w:ascii="宋体" w:hAnsi="宋体" w:cs="宋体"/>
          <w:bCs/>
          <w:color w:val="000000"/>
          <w:sz w:val="24"/>
        </w:rPr>
      </w:pPr>
      <w:r>
        <w:rPr>
          <w:rFonts w:hint="eastAsia" w:ascii="宋体" w:hAnsi="宋体" w:cs="宋体"/>
          <w:bCs/>
          <w:color w:val="000000"/>
          <w:sz w:val="24"/>
        </w:rPr>
        <w:t>14.4提出的成交候选人的名单及理由。</w:t>
      </w:r>
    </w:p>
    <w:p w14:paraId="1B18E627">
      <w:pPr>
        <w:spacing w:line="360" w:lineRule="auto"/>
        <w:ind w:firstLine="480" w:firstLineChars="200"/>
        <w:rPr>
          <w:rFonts w:ascii="宋体" w:hAnsi="宋体" w:cs="宋体"/>
          <w:color w:val="000000"/>
          <w:sz w:val="24"/>
          <w:szCs w:val="22"/>
        </w:rPr>
      </w:pPr>
      <w:r>
        <w:rPr>
          <w:rFonts w:hint="eastAsia" w:ascii="宋体" w:hAnsi="宋体" w:cs="宋体"/>
          <w:bCs/>
          <w:color w:val="000000"/>
          <w:sz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ascii="宋体" w:hAnsi="宋体" w:cs="宋体"/>
          <w:color w:val="000000"/>
          <w:sz w:val="24"/>
          <w:szCs w:val="22"/>
        </w:rPr>
        <w:t>。</w:t>
      </w:r>
    </w:p>
    <w:p w14:paraId="172D949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15、确定成交人</w:t>
      </w:r>
    </w:p>
    <w:p w14:paraId="60AC7706">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15.1招标代理机构应当在磋商结束后2个工作日内将评审报告送采购人。采购人应当在收到评审报告后5个工作日内，按照磋商评审报告中推荐的成交候选人顺序确定成交人，并将结果发布网上。</w:t>
      </w:r>
    </w:p>
    <w:p w14:paraId="6BB72B5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15.2采购人也可以授权磋商小组直接确定成交供应商。磋商小组直接确定成交供应商的应在磋商文件中写明。</w:t>
      </w:r>
    </w:p>
    <w:p w14:paraId="070E2CB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16、成交结果公告</w:t>
      </w:r>
    </w:p>
    <w:p w14:paraId="40C5D0B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16.1采购人应当在成交人确定后2个工作日内，在公告发布的同一媒介上发布成交结果，同时向成交供应商发出成交通知书，并将磋商文件随成交结果同时公告，公告期限1个工作日。</w:t>
      </w:r>
    </w:p>
    <w:p w14:paraId="76E7DEA6">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16.2成交结果公告内容应当包括采购人和招标代理机构的名称、地址、联系方式，项目名称和项目编号，成交人名称、地址和成交金额，主要成交标的的名称、规格型号、数量、单价、服务要求或标的的基本概况以及磋商小组名单。</w:t>
      </w:r>
    </w:p>
    <w:p w14:paraId="48C17CA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17、合同授予</w:t>
      </w:r>
    </w:p>
    <w:p w14:paraId="202E0EA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17.1成交结果公示的同时，采购人以书面形式向成交人发出成交通知书。</w:t>
      </w:r>
    </w:p>
    <w:p w14:paraId="4F2D078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17.2供应商的最后一轮报价为成交价，成交价即为合同价。</w:t>
      </w:r>
    </w:p>
    <w:p w14:paraId="4C08605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17.3采购人和成交人应当自成交通知书发出之日起15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777DDD53">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17.4在签订合同过程中，如发现成交供应商以他人名义磋商或者以其他方式弄虚作假，骗取成交的，采购人有权取消其成交资格。</w:t>
      </w:r>
    </w:p>
    <w:p w14:paraId="7E86DF2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18、履约保证金</w:t>
      </w:r>
    </w:p>
    <w:p w14:paraId="6CEA41A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见投标人须知前附表。</w:t>
      </w:r>
    </w:p>
    <w:p w14:paraId="23DC4FA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19、合同授予</w:t>
      </w:r>
    </w:p>
    <w:p w14:paraId="077507D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19.1 成交供应商在收到成交通知书后15日内应与采购人签订承包合同。</w:t>
      </w:r>
    </w:p>
    <w:p w14:paraId="70C1B516">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竞争性磋商文件成交供应商的响应性文件及其相关澄清、补遗文件等，均为签订合同的依据。</w:t>
      </w:r>
    </w:p>
    <w:p w14:paraId="3EDAD57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19.2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35693EC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19.3在签订合同过程中，如发现成交供应商以他人名义磋商或者以其他方式弄虚作假，骗取成交的，采购人有权取消其成交资格。</w:t>
      </w:r>
    </w:p>
    <w:p w14:paraId="303A7CC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20、纪律和监督</w:t>
      </w:r>
    </w:p>
    <w:p w14:paraId="3C514DA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20.1对采购人的纪律要求</w:t>
      </w:r>
    </w:p>
    <w:p w14:paraId="48EDAF16">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采购人不得泄漏竞争性磋商中应当保密的情况和资料，不得与供应商串通损害国家利益、社会公共利益或者他人合法权益。</w:t>
      </w:r>
    </w:p>
    <w:p w14:paraId="0A7F3E0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20.2对供应商的纪律要求</w:t>
      </w:r>
    </w:p>
    <w:p w14:paraId="0DB73733">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供应商不得相互串通或者与采购人串通，不得向采购人或者磋商小组成员行贿谋取成交，不得以他人名义磋商或者以其他方式弄虚作假骗取成交；供应商不得以任何方式干扰、影响磋商工作。</w:t>
      </w:r>
    </w:p>
    <w:p w14:paraId="1F634EE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20.3对磋商小组成员的纪律要求</w:t>
      </w:r>
    </w:p>
    <w:p w14:paraId="627A26C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3EFA7A0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20.4对与磋商活动有关的工作人员的纪律要求</w:t>
      </w:r>
    </w:p>
    <w:p w14:paraId="116C480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1036A12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20.5投诉</w:t>
      </w:r>
    </w:p>
    <w:p w14:paraId="683A24E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供应商和其他利害关系人认为本次竞争性磋商违反法律、法规和规章规定的，有权向有关行政监督部门投诉。</w:t>
      </w:r>
    </w:p>
    <w:p w14:paraId="0465430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21、质疑程序及处理 </w:t>
      </w:r>
    </w:p>
    <w:p w14:paraId="7FE00E7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21.1若供应商认为其磋商未获公平评审或磋商文件、采购过程和成交结果使自己的合法权益受到损害，可以在知道或者应知其权益受到损害之日起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 </w:t>
      </w:r>
    </w:p>
    <w:p w14:paraId="54D13F3C">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（一）对可以质疑的磋商文件提出质疑的，为收到磋商文件之日或者磋商文件公告期限届满之日；</w:t>
      </w:r>
    </w:p>
    <w:p w14:paraId="6E97076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（二）对采购过程提出质疑的，为各采购程序环节结束之日； </w:t>
      </w:r>
    </w:p>
    <w:p w14:paraId="7F02413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（三）对成交结果提出质疑的，为成交结果公告期限届满之日。 </w:t>
      </w:r>
    </w:p>
    <w:p w14:paraId="48FF993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21.2 质疑书应当包括下列主要内容，并按照“谁主张、谁举证”的原则，附上相关证明材料。否则，采购人不予受理： </w:t>
      </w:r>
    </w:p>
    <w:p w14:paraId="4230ACE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（一）质疑供应商全称、地址、法定代表人、联系人及联系电话、邮政编码等； </w:t>
      </w:r>
    </w:p>
    <w:p w14:paraId="47649C6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（二）被质疑采购项目的名称、编号； </w:t>
      </w:r>
    </w:p>
    <w:p w14:paraId="11A0560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（三）质疑的具体事项、明确的请求和主张；</w:t>
      </w:r>
    </w:p>
    <w:p w14:paraId="3D32662C">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（四）质疑所依据的法律依据（具体条款）、具体事实和具体理由。质疑书依据理由部分只有主观陈述、推理、猜测等，而没有提供客观事实依据、法律依据的； </w:t>
      </w:r>
    </w:p>
    <w:p w14:paraId="781F37D8">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 </w:t>
      </w:r>
    </w:p>
    <w:p w14:paraId="5FE3301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（六）充足有效的相关证明材料；如果涉及到产品功能或技术指标的，应出具相关制造商的证明文件； </w:t>
      </w:r>
    </w:p>
    <w:p w14:paraId="160FDC78">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（七）质疑材料中有外文资料的，应一并附上中文译本，并以中文译本为准。 </w:t>
      </w:r>
    </w:p>
    <w:p w14:paraId="4A40750A">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（八）提起质疑的日期</w:t>
      </w:r>
    </w:p>
    <w:p w14:paraId="52C4FD46">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 </w:t>
      </w:r>
    </w:p>
    <w:p w14:paraId="1423C90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21.4供应商委托代理人办理质疑事宜，应当提交授权委托书，并载明委托代理的具体权限和事项。授权委托书应当由委托人签字并加盖单位公章。 </w:t>
      </w:r>
    </w:p>
    <w:p w14:paraId="1AF2FC5C">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283580B3">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 </w:t>
      </w:r>
    </w:p>
    <w:p w14:paraId="41D7F40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2A27733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21.8采购人将在收到符合上述条件的书面质疑后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5FC61BC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21.9质疑供应商对采购人的答复不满意以及采购人未在规定的时间内做出答复的，可以在答复期满后15个工作日内向财政部门投诉。</w:t>
      </w:r>
    </w:p>
    <w:p w14:paraId="41C98D96">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22、需要补充的其他内容</w:t>
      </w:r>
    </w:p>
    <w:p w14:paraId="6AD07E5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需要补充的其他内容：见&lt;供应商须知前附表&gt;。</w:t>
      </w:r>
    </w:p>
    <w:p w14:paraId="6A931467">
      <w:pPr>
        <w:spacing w:line="360" w:lineRule="auto"/>
        <w:ind w:firstLine="480" w:firstLineChars="200"/>
        <w:rPr>
          <w:rFonts w:ascii="宋体" w:hAnsi="宋体"/>
          <w:color w:val="000000"/>
          <w:sz w:val="24"/>
        </w:rPr>
      </w:pPr>
    </w:p>
    <w:p w14:paraId="7C9F64B2">
      <w:pPr>
        <w:spacing w:line="360" w:lineRule="auto"/>
        <w:jc w:val="center"/>
        <w:rPr>
          <w:rFonts w:ascii="黑体" w:hAnsi="黑体" w:eastAsia="黑体"/>
          <w:b/>
          <w:color w:val="000000"/>
          <w:sz w:val="36"/>
          <w:szCs w:val="36"/>
        </w:rPr>
      </w:pPr>
      <w:bookmarkStart w:id="52" w:name="_Toc516499656"/>
      <w:bookmarkStart w:id="53" w:name="_Toc25595"/>
      <w:bookmarkStart w:id="54" w:name="_Toc99007052"/>
      <w:bookmarkStart w:id="55" w:name="_Toc25298"/>
      <w:bookmarkStart w:id="56" w:name="_Toc57277889"/>
    </w:p>
    <w:p w14:paraId="6983BB28">
      <w:pPr>
        <w:spacing w:line="360" w:lineRule="auto"/>
        <w:jc w:val="center"/>
        <w:outlineLvl w:val="0"/>
        <w:rPr>
          <w:rFonts w:ascii="黑体" w:hAnsi="黑体" w:eastAsia="黑体"/>
          <w:b/>
          <w:color w:val="000000"/>
          <w:sz w:val="36"/>
          <w:szCs w:val="36"/>
        </w:rPr>
      </w:pPr>
    </w:p>
    <w:p w14:paraId="4FCDE80D">
      <w:pPr>
        <w:spacing w:line="360" w:lineRule="auto"/>
        <w:jc w:val="center"/>
        <w:outlineLvl w:val="0"/>
        <w:rPr>
          <w:rFonts w:ascii="黑体" w:hAnsi="黑体" w:eastAsia="黑体"/>
          <w:b/>
          <w:color w:val="000000"/>
          <w:sz w:val="36"/>
          <w:szCs w:val="36"/>
        </w:rPr>
      </w:pPr>
    </w:p>
    <w:p w14:paraId="0BC56962">
      <w:pPr>
        <w:rPr>
          <w:rFonts w:ascii="黑体" w:hAnsi="黑体" w:eastAsia="黑体"/>
          <w:b/>
          <w:color w:val="000000"/>
          <w:sz w:val="36"/>
          <w:szCs w:val="36"/>
        </w:rPr>
      </w:pPr>
      <w:bookmarkStart w:id="57" w:name="_Toc6871"/>
      <w:r>
        <w:rPr>
          <w:rFonts w:hint="eastAsia" w:ascii="黑体" w:hAnsi="黑体" w:eastAsia="黑体"/>
          <w:b/>
          <w:color w:val="000000"/>
          <w:sz w:val="36"/>
          <w:szCs w:val="36"/>
        </w:rPr>
        <w:br w:type="page"/>
      </w:r>
    </w:p>
    <w:p w14:paraId="21C0A73C">
      <w:pPr>
        <w:spacing w:line="360" w:lineRule="auto"/>
        <w:jc w:val="center"/>
        <w:outlineLvl w:val="0"/>
        <w:rPr>
          <w:rFonts w:ascii="宋体" w:hAnsi="宋体"/>
          <w:color w:val="000000"/>
          <w:sz w:val="24"/>
        </w:rPr>
      </w:pPr>
      <w:r>
        <w:rPr>
          <w:rFonts w:hint="eastAsia" w:ascii="黑体" w:hAnsi="黑体" w:eastAsia="黑体"/>
          <w:b/>
          <w:color w:val="000000"/>
          <w:sz w:val="36"/>
          <w:szCs w:val="36"/>
        </w:rPr>
        <w:t xml:space="preserve">第三章  </w:t>
      </w:r>
      <w:bookmarkEnd w:id="29"/>
      <w:bookmarkEnd w:id="30"/>
      <w:bookmarkEnd w:id="31"/>
      <w:bookmarkEnd w:id="32"/>
      <w:bookmarkEnd w:id="52"/>
      <w:r>
        <w:rPr>
          <w:rFonts w:hint="eastAsia" w:ascii="黑体" w:hAnsi="黑体" w:eastAsia="黑体"/>
          <w:b/>
          <w:color w:val="000000"/>
          <w:sz w:val="36"/>
          <w:szCs w:val="36"/>
        </w:rPr>
        <w:t>采购</w:t>
      </w:r>
      <w:bookmarkEnd w:id="53"/>
      <w:bookmarkEnd w:id="54"/>
      <w:bookmarkEnd w:id="55"/>
      <w:bookmarkEnd w:id="56"/>
      <w:r>
        <w:rPr>
          <w:rFonts w:hint="eastAsia" w:ascii="黑体" w:hAnsi="黑体" w:eastAsia="黑体"/>
          <w:b/>
          <w:color w:val="000000"/>
          <w:sz w:val="36"/>
          <w:szCs w:val="36"/>
        </w:rPr>
        <w:t>需求</w:t>
      </w:r>
      <w:bookmarkEnd w:id="57"/>
    </w:p>
    <w:tbl>
      <w:tblPr>
        <w:tblStyle w:val="20"/>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5976"/>
        <w:gridCol w:w="1490"/>
      </w:tblGrid>
      <w:tr w14:paraId="6823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913" w:type="dxa"/>
            <w:vAlign w:val="center"/>
          </w:tcPr>
          <w:p w14:paraId="58D2D330">
            <w:pPr>
              <w:spacing w:line="360" w:lineRule="auto"/>
              <w:jc w:val="center"/>
              <w:rPr>
                <w:rFonts w:ascii="宋体" w:hAnsi="宋体" w:cs="Calibri"/>
                <w:b/>
                <w:sz w:val="28"/>
                <w:szCs w:val="28"/>
              </w:rPr>
            </w:pPr>
            <w:bookmarkStart w:id="58" w:name="_Toc267581944"/>
            <w:bookmarkStart w:id="59" w:name="_Toc57277890"/>
            <w:bookmarkStart w:id="60" w:name="_Toc2673"/>
            <w:bookmarkStart w:id="61" w:name="_Toc7577"/>
            <w:bookmarkStart w:id="62" w:name="_Toc516499661"/>
            <w:bookmarkStart w:id="63" w:name="_Toc99007054"/>
            <w:bookmarkStart w:id="64" w:name="_Toc17150"/>
            <w:r>
              <w:rPr>
                <w:rFonts w:hint="eastAsia" w:ascii="宋体" w:hAnsi="宋体" w:cs="Calibri"/>
                <w:b/>
                <w:sz w:val="28"/>
                <w:szCs w:val="28"/>
              </w:rPr>
              <w:t>装备名称</w:t>
            </w:r>
          </w:p>
        </w:tc>
        <w:tc>
          <w:tcPr>
            <w:tcW w:w="5976" w:type="dxa"/>
            <w:vAlign w:val="center"/>
          </w:tcPr>
          <w:p w14:paraId="2D068095">
            <w:pPr>
              <w:spacing w:line="360" w:lineRule="auto"/>
              <w:jc w:val="center"/>
              <w:rPr>
                <w:rFonts w:ascii="宋体" w:hAnsi="宋体" w:cs="Calibri"/>
                <w:b/>
                <w:sz w:val="28"/>
                <w:szCs w:val="28"/>
              </w:rPr>
            </w:pPr>
            <w:r>
              <w:rPr>
                <w:rFonts w:hint="eastAsia" w:ascii="宋体" w:hAnsi="宋体" w:cs="Calibri"/>
                <w:b/>
                <w:sz w:val="28"/>
                <w:szCs w:val="28"/>
              </w:rPr>
              <w:t>主要功能</w:t>
            </w:r>
          </w:p>
        </w:tc>
        <w:tc>
          <w:tcPr>
            <w:tcW w:w="1490" w:type="dxa"/>
            <w:vAlign w:val="center"/>
          </w:tcPr>
          <w:p w14:paraId="4CF894FF">
            <w:pPr>
              <w:spacing w:line="360" w:lineRule="auto"/>
              <w:jc w:val="center"/>
              <w:rPr>
                <w:rFonts w:ascii="宋体" w:hAnsi="宋体" w:cs="Calibri"/>
                <w:b/>
                <w:sz w:val="28"/>
                <w:szCs w:val="28"/>
              </w:rPr>
            </w:pPr>
            <w:r>
              <w:rPr>
                <w:rFonts w:hint="eastAsia" w:ascii="宋体" w:hAnsi="宋体" w:cs="Calibri"/>
                <w:b/>
                <w:sz w:val="28"/>
                <w:szCs w:val="28"/>
              </w:rPr>
              <w:t>数量</w:t>
            </w:r>
          </w:p>
        </w:tc>
      </w:tr>
      <w:tr w14:paraId="75BC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913" w:type="dxa"/>
            <w:vAlign w:val="center"/>
          </w:tcPr>
          <w:p w14:paraId="4F9A2B36">
            <w:pPr>
              <w:spacing w:line="360" w:lineRule="auto"/>
              <w:jc w:val="center"/>
              <w:rPr>
                <w:rFonts w:ascii="宋体" w:hAnsi="宋体" w:cs="Calibri"/>
                <w:bCs/>
                <w:sz w:val="24"/>
              </w:rPr>
            </w:pPr>
            <w:r>
              <w:rPr>
                <w:rFonts w:hint="eastAsia" w:ascii="宋体" w:hAnsi="宋体" w:cs="Calibri"/>
                <w:bCs/>
                <w:sz w:val="24"/>
              </w:rPr>
              <w:t>指挥侦查无人机</w:t>
            </w:r>
          </w:p>
        </w:tc>
        <w:tc>
          <w:tcPr>
            <w:tcW w:w="5976" w:type="dxa"/>
          </w:tcPr>
          <w:p w14:paraId="75275C39">
            <w:pPr>
              <w:widowControl/>
              <w:spacing w:line="360" w:lineRule="auto"/>
              <w:jc w:val="left"/>
              <w:rPr>
                <w:rFonts w:ascii="宋体" w:hAnsi="宋体" w:cs="宋体"/>
              </w:rPr>
            </w:pPr>
            <w:r>
              <w:rPr>
                <w:rFonts w:hint="eastAsia" w:ascii="宋体" w:hAnsi="宋体" w:cs="宋体"/>
                <w:b/>
                <w:bCs/>
                <w:kern w:val="0"/>
                <w:sz w:val="24"/>
                <w:lang w:bidi="ar"/>
              </w:rPr>
              <w:t>一、飞行器</w:t>
            </w:r>
            <w:r>
              <w:rPr>
                <w:rFonts w:hint="eastAsia" w:ascii="宋体" w:hAnsi="宋体" w:cs="宋体"/>
                <w:kern w:val="0"/>
                <w:sz w:val="24"/>
                <w:lang w:bidi="ar"/>
              </w:rPr>
              <w:t xml:space="preserve"> </w:t>
            </w:r>
          </w:p>
          <w:p w14:paraId="490453E1">
            <w:pPr>
              <w:widowControl/>
              <w:spacing w:line="360" w:lineRule="auto"/>
              <w:jc w:val="left"/>
              <w:rPr>
                <w:rFonts w:ascii="宋体" w:hAnsi="宋体" w:cs="宋体"/>
              </w:rPr>
            </w:pPr>
            <w:r>
              <w:rPr>
                <w:rFonts w:hint="eastAsia" w:ascii="宋体" w:hAnsi="宋体" w:cs="宋体"/>
                <w:kern w:val="0"/>
                <w:sz w:val="24"/>
                <w:lang w:bidi="ar"/>
              </w:rPr>
              <w:t>1. 飞行器应具备广角、长焦、红外功能（可以另外加装），机身重量≤4千克 ；最大起飞重量≥</w:t>
            </w:r>
            <w:r>
              <w:rPr>
                <w:rFonts w:hint="eastAsia" w:ascii="宋体" w:hAnsi="宋体" w:cs="宋体"/>
                <w:color w:val="FF0000"/>
                <w:kern w:val="0"/>
                <w:sz w:val="24"/>
                <w:lang w:bidi="ar"/>
              </w:rPr>
              <w:t>9</w:t>
            </w:r>
            <w:r>
              <w:rPr>
                <w:rFonts w:hint="eastAsia" w:ascii="宋体" w:hAnsi="宋体" w:cs="宋体"/>
                <w:kern w:val="0"/>
                <w:sz w:val="24"/>
                <w:lang w:bidi="ar"/>
              </w:rPr>
              <w:t xml:space="preserve">千克；轴距≤900毫米; </w:t>
            </w:r>
          </w:p>
          <w:p w14:paraId="49B0F5E7">
            <w:pPr>
              <w:widowControl/>
              <w:spacing w:line="360" w:lineRule="auto"/>
              <w:jc w:val="left"/>
              <w:rPr>
                <w:rFonts w:ascii="宋体" w:hAnsi="宋体" w:cs="宋体"/>
              </w:rPr>
            </w:pPr>
            <w:r>
              <w:rPr>
                <w:rFonts w:hint="eastAsia" w:ascii="宋体" w:hAnsi="宋体" w:cs="宋体"/>
                <w:kern w:val="0"/>
                <w:sz w:val="24"/>
                <w:lang w:bidi="ar"/>
              </w:rPr>
              <w:t xml:space="preserve">2. ★最大抗风速度≥11米/秒；上升速度≥6m/s；下降速度≥5m/s；水平飞行速度≥21m/s； </w:t>
            </w:r>
          </w:p>
          <w:p w14:paraId="326E8E65">
            <w:pPr>
              <w:widowControl/>
              <w:spacing w:line="360" w:lineRule="auto"/>
              <w:jc w:val="left"/>
              <w:rPr>
                <w:rFonts w:ascii="宋体" w:hAnsi="宋体" w:cs="宋体"/>
              </w:rPr>
            </w:pPr>
            <w:r>
              <w:rPr>
                <w:rFonts w:hint="eastAsia" w:ascii="宋体" w:hAnsi="宋体" w:cs="宋体"/>
                <w:kern w:val="0"/>
                <w:sz w:val="24"/>
                <w:lang w:bidi="ar"/>
              </w:rPr>
              <w:t xml:space="preserve">3. 最长飞行时间≥50分钟； </w:t>
            </w:r>
          </w:p>
          <w:p w14:paraId="2FBB0FC9">
            <w:pPr>
              <w:widowControl/>
              <w:spacing w:line="360" w:lineRule="auto"/>
              <w:jc w:val="left"/>
              <w:rPr>
                <w:rFonts w:ascii="宋体" w:hAnsi="宋体" w:cs="宋体"/>
              </w:rPr>
            </w:pPr>
            <w:r>
              <w:rPr>
                <w:rFonts w:hint="eastAsia" w:ascii="宋体" w:hAnsi="宋体" w:cs="宋体"/>
                <w:kern w:val="0"/>
                <w:sz w:val="24"/>
                <w:lang w:bidi="ar"/>
              </w:rPr>
              <w:t>4. 最大飞行海拔≥6000m；工作环境温度≥-10°C 至 40°C；</w:t>
            </w:r>
          </w:p>
          <w:p w14:paraId="066516E4">
            <w:pPr>
              <w:widowControl/>
              <w:spacing w:line="360" w:lineRule="auto"/>
              <w:jc w:val="left"/>
              <w:rPr>
                <w:rFonts w:ascii="宋体" w:hAnsi="宋体" w:cs="宋体"/>
              </w:rPr>
            </w:pPr>
            <w:r>
              <w:rPr>
                <w:rFonts w:hint="eastAsia" w:ascii="宋体" w:hAnsi="宋体" w:cs="宋体"/>
                <w:kern w:val="0"/>
                <w:sz w:val="24"/>
                <w:lang w:bidi="ar"/>
              </w:rPr>
              <w:t xml:space="preserve">5. ★飞行器应支持机头指示灯，状态指示灯，用户手册中写明每个灯语对应飞行器状态； </w:t>
            </w:r>
          </w:p>
          <w:p w14:paraId="039614FC">
            <w:pPr>
              <w:widowControl/>
              <w:spacing w:line="360" w:lineRule="auto"/>
              <w:jc w:val="left"/>
              <w:rPr>
                <w:rFonts w:ascii="宋体" w:hAnsi="宋体" w:cs="宋体"/>
              </w:rPr>
            </w:pPr>
            <w:r>
              <w:rPr>
                <w:rFonts w:hint="eastAsia" w:ascii="宋体" w:hAnsi="宋体" w:cs="宋体"/>
                <w:kern w:val="0"/>
                <w:sz w:val="24"/>
                <w:lang w:bidi="ar"/>
              </w:rPr>
              <w:t xml:space="preserve">6. 飞行器应支持使用单北斗模式进行定位；支持RTK 功能； </w:t>
            </w:r>
          </w:p>
          <w:p w14:paraId="61828AE1">
            <w:pPr>
              <w:widowControl/>
              <w:spacing w:line="360" w:lineRule="auto"/>
              <w:jc w:val="left"/>
              <w:rPr>
                <w:rFonts w:ascii="宋体" w:hAnsi="宋体" w:cs="宋体"/>
              </w:rPr>
            </w:pPr>
            <w:r>
              <w:rPr>
                <w:rFonts w:hint="eastAsia" w:ascii="宋体" w:hAnsi="宋体" w:cs="宋体"/>
                <w:kern w:val="0"/>
                <w:sz w:val="24"/>
                <w:lang w:bidi="ar"/>
              </w:rPr>
              <w:t xml:space="preserve">7.飞行器应具备下视觉补光灯，支持在光线不足时飞行器高度5M以下自动开启； </w:t>
            </w:r>
          </w:p>
          <w:p w14:paraId="58F9506F">
            <w:pPr>
              <w:widowControl/>
              <w:spacing w:line="360" w:lineRule="auto"/>
              <w:jc w:val="left"/>
              <w:rPr>
                <w:rFonts w:ascii="宋体" w:hAnsi="宋体" w:cs="宋体"/>
              </w:rPr>
            </w:pPr>
            <w:r>
              <w:rPr>
                <w:rFonts w:hint="eastAsia" w:ascii="宋体" w:hAnsi="宋体" w:cs="宋体"/>
                <w:kern w:val="0"/>
                <w:sz w:val="24"/>
                <w:lang w:bidi="ar"/>
              </w:rPr>
              <w:t xml:space="preserve">8. 最大信号有效距离≥15 公里；工作频率2.400 GHz 至 2.4835 GHz、5.725 GHz 至 5.850 GHz； </w:t>
            </w:r>
          </w:p>
          <w:p w14:paraId="42F7AC18">
            <w:pPr>
              <w:widowControl/>
              <w:spacing w:line="360" w:lineRule="auto"/>
              <w:jc w:val="left"/>
              <w:rPr>
                <w:rFonts w:ascii="宋体" w:hAnsi="宋体" w:cs="宋体"/>
              </w:rPr>
            </w:pPr>
            <w:r>
              <w:rPr>
                <w:rFonts w:hint="eastAsia" w:ascii="宋体" w:hAnsi="宋体" w:cs="宋体"/>
                <w:kern w:val="0"/>
                <w:sz w:val="24"/>
                <w:lang w:bidi="ar"/>
              </w:rPr>
              <w:t xml:space="preserve">9.飞行器应支持通过更新固件修复BUG及升级新功能，更新方式不低于3种； </w:t>
            </w:r>
          </w:p>
          <w:p w14:paraId="763796D7">
            <w:pPr>
              <w:widowControl/>
              <w:spacing w:line="360" w:lineRule="auto"/>
              <w:jc w:val="left"/>
              <w:rPr>
                <w:rFonts w:ascii="宋体" w:hAnsi="宋体" w:cs="宋体"/>
              </w:rPr>
            </w:pPr>
            <w:r>
              <w:rPr>
                <w:rFonts w:hint="eastAsia" w:ascii="宋体" w:hAnsi="宋体" w:cs="宋体"/>
                <w:kern w:val="0"/>
                <w:sz w:val="24"/>
                <w:lang w:bidi="ar"/>
              </w:rPr>
              <w:t xml:space="preserve">10. 应支持航线功能，包括航点航线、面状航线、带状航线，执行航线时支持仿地飞行； </w:t>
            </w:r>
          </w:p>
          <w:p w14:paraId="5F18E83A">
            <w:pPr>
              <w:widowControl/>
              <w:spacing w:line="360" w:lineRule="auto"/>
              <w:jc w:val="left"/>
              <w:rPr>
                <w:rFonts w:ascii="宋体" w:hAnsi="宋体" w:cs="宋体"/>
              </w:rPr>
            </w:pPr>
            <w:r>
              <w:rPr>
                <w:rFonts w:hint="eastAsia" w:ascii="宋体" w:hAnsi="宋体" w:cs="宋体"/>
                <w:kern w:val="0"/>
                <w:sz w:val="24"/>
                <w:lang w:bidi="ar"/>
              </w:rPr>
              <w:t>11. ★应支持智能环绕功能：通过飞行器自身标记个点位后，可绕点位环绕飞行，支持设置环绕距离和定时拍照；</w:t>
            </w:r>
          </w:p>
          <w:p w14:paraId="079DC72D">
            <w:pPr>
              <w:widowControl/>
              <w:spacing w:line="360" w:lineRule="auto"/>
              <w:jc w:val="left"/>
              <w:rPr>
                <w:rFonts w:ascii="宋体" w:hAnsi="宋体" w:cs="宋体"/>
              </w:rPr>
            </w:pPr>
            <w:r>
              <w:rPr>
                <w:rFonts w:hint="eastAsia" w:ascii="宋体" w:hAnsi="宋体" w:cs="宋体"/>
                <w:kern w:val="0"/>
                <w:sz w:val="24"/>
                <w:lang w:bidi="ar"/>
              </w:rPr>
              <w:t xml:space="preserve">12. 应具备充电管家，可管理多电池充电； </w:t>
            </w:r>
          </w:p>
          <w:p w14:paraId="1E373256">
            <w:pPr>
              <w:widowControl/>
              <w:spacing w:line="360" w:lineRule="auto"/>
              <w:jc w:val="left"/>
              <w:rPr>
                <w:rFonts w:ascii="宋体" w:hAnsi="宋体" w:cs="宋体"/>
                <w:b/>
                <w:bCs/>
              </w:rPr>
            </w:pPr>
            <w:r>
              <w:rPr>
                <w:rFonts w:hint="eastAsia" w:ascii="宋体" w:hAnsi="宋体" w:cs="宋体"/>
                <w:b/>
                <w:bCs/>
                <w:kern w:val="0"/>
                <w:sz w:val="24"/>
                <w:lang w:bidi="ar"/>
              </w:rPr>
              <w:t xml:space="preserve">二、遥控器 </w:t>
            </w:r>
          </w:p>
          <w:p w14:paraId="69B80041">
            <w:pPr>
              <w:widowControl/>
              <w:spacing w:line="360" w:lineRule="auto"/>
              <w:jc w:val="left"/>
              <w:rPr>
                <w:rFonts w:ascii="宋体" w:hAnsi="宋体" w:cs="宋体"/>
              </w:rPr>
            </w:pPr>
            <w:r>
              <w:rPr>
                <w:rFonts w:hint="eastAsia" w:ascii="宋体" w:hAnsi="宋体" w:cs="宋体"/>
                <w:kern w:val="0"/>
                <w:sz w:val="24"/>
                <w:lang w:bidi="ar"/>
              </w:rPr>
              <w:t xml:space="preserve">13. 屏幕尺寸≥6.0英寸，屏幕亮度≥1000 尼特，机身内存≥8GB，并且应支持使用 microSD 卡（TF卡）拓展存储容量≥256GB，充电时间≤1.5 小时，续航时间≥ 3 小时； </w:t>
            </w:r>
          </w:p>
          <w:p w14:paraId="06022BCF">
            <w:pPr>
              <w:widowControl/>
              <w:spacing w:line="360" w:lineRule="auto"/>
              <w:jc w:val="left"/>
              <w:rPr>
                <w:rFonts w:ascii="宋体" w:hAnsi="宋体" w:cs="宋体"/>
              </w:rPr>
            </w:pPr>
            <w:r>
              <w:rPr>
                <w:rFonts w:hint="eastAsia" w:ascii="宋体" w:hAnsi="宋体" w:cs="宋体"/>
                <w:kern w:val="0"/>
                <w:sz w:val="24"/>
                <w:lang w:bidi="ar"/>
              </w:rPr>
              <w:t>14. ★遥控器应具备找飞机功能，在飞行器迫降飞丢等场景下，提供位置显示，坐标分享等信息帮助用户寻找飞机；</w:t>
            </w:r>
          </w:p>
          <w:p w14:paraId="527417EF">
            <w:pPr>
              <w:widowControl/>
              <w:spacing w:line="360" w:lineRule="auto"/>
              <w:jc w:val="left"/>
              <w:rPr>
                <w:rFonts w:ascii="宋体" w:hAnsi="宋体" w:cs="宋体"/>
                <w:kern w:val="0"/>
                <w:sz w:val="24"/>
                <w:lang w:bidi="ar"/>
              </w:rPr>
            </w:pPr>
            <w:r>
              <w:rPr>
                <w:rFonts w:hint="eastAsia" w:ascii="宋体" w:hAnsi="宋体" w:cs="宋体"/>
                <w:kern w:val="0"/>
                <w:sz w:val="24"/>
                <w:lang w:bidi="ar"/>
              </w:rPr>
              <w:t>15. 遥控器操作软件中应具备视频教学功能；最大信号有效距离（无干扰、无遮挡）：20公里（FCC），8公里（CE/SRRC/MIC）</w:t>
            </w:r>
          </w:p>
          <w:p w14:paraId="2621C695">
            <w:pPr>
              <w:widowControl/>
              <w:spacing w:line="360" w:lineRule="auto"/>
              <w:jc w:val="left"/>
              <w:rPr>
                <w:rFonts w:ascii="宋体" w:hAnsi="宋体" w:cs="宋体"/>
              </w:rPr>
            </w:pPr>
            <w:r>
              <w:rPr>
                <w:rFonts w:hint="eastAsia" w:ascii="宋体" w:hAnsi="宋体" w:cs="宋体"/>
                <w:kern w:val="0"/>
                <w:sz w:val="24"/>
                <w:lang w:bidi="ar"/>
              </w:rPr>
              <w:t xml:space="preserve">16.广角相机≥1/2" CMOS，有效像素≥4000 万，单张照片拍摄间隔≤2S； </w:t>
            </w:r>
          </w:p>
          <w:p w14:paraId="47CD2B3E">
            <w:pPr>
              <w:widowControl/>
              <w:spacing w:line="360" w:lineRule="auto"/>
              <w:jc w:val="left"/>
              <w:rPr>
                <w:rFonts w:ascii="宋体" w:hAnsi="宋体" w:cs="宋体"/>
              </w:rPr>
            </w:pPr>
            <w:r>
              <w:rPr>
                <w:rFonts w:hint="eastAsia" w:ascii="宋体" w:hAnsi="宋体" w:cs="宋体"/>
                <w:kern w:val="0"/>
                <w:sz w:val="24"/>
                <w:lang w:bidi="ar"/>
              </w:rPr>
              <w:t xml:space="preserve">17. 长焦相机≥1/2CMOS，有效像素≥1200 万；混合变焦≥56 倍;单张照片拍摄间隔≤2S； </w:t>
            </w:r>
          </w:p>
          <w:p w14:paraId="5E26F836">
            <w:pPr>
              <w:widowControl/>
              <w:spacing w:line="360" w:lineRule="auto"/>
              <w:jc w:val="left"/>
              <w:rPr>
                <w:rFonts w:ascii="宋体" w:hAnsi="宋体" w:cs="宋体"/>
              </w:rPr>
            </w:pPr>
            <w:r>
              <w:rPr>
                <w:rFonts w:hint="eastAsia" w:ascii="宋体" w:hAnsi="宋体" w:cs="宋体"/>
                <w:kern w:val="0"/>
                <w:sz w:val="24"/>
                <w:lang w:bidi="ar"/>
              </w:rPr>
              <w:t>18. 红外相机分辨率≥640×512@30fps，视频码率≥6Mbps，应支持红外超分辨率功能扩展分辨率≥1280×1024；</w:t>
            </w:r>
          </w:p>
          <w:p w14:paraId="7FA41FF2">
            <w:pPr>
              <w:widowControl/>
              <w:spacing w:line="360" w:lineRule="auto"/>
              <w:jc w:val="left"/>
              <w:rPr>
                <w:rFonts w:ascii="宋体" w:hAnsi="宋体" w:cs="宋体"/>
              </w:rPr>
            </w:pPr>
            <w:r>
              <w:rPr>
                <w:rFonts w:hint="eastAsia" w:ascii="宋体" w:hAnsi="宋体" w:cs="宋体"/>
                <w:b/>
                <w:bCs/>
                <w:kern w:val="0"/>
                <w:sz w:val="24"/>
                <w:lang w:bidi="ar"/>
              </w:rPr>
              <w:t>三、软件平台</w:t>
            </w:r>
            <w:r>
              <w:rPr>
                <w:rFonts w:hint="eastAsia" w:ascii="宋体" w:hAnsi="宋体" w:cs="宋体"/>
                <w:kern w:val="0"/>
                <w:sz w:val="24"/>
                <w:lang w:bidi="ar"/>
              </w:rPr>
              <w:t xml:space="preserve"> </w:t>
            </w:r>
          </w:p>
          <w:p w14:paraId="4A1D17AD">
            <w:pPr>
              <w:widowControl/>
              <w:spacing w:line="360" w:lineRule="auto"/>
              <w:jc w:val="left"/>
              <w:rPr>
                <w:rFonts w:ascii="宋体" w:hAnsi="宋体" w:cs="宋体"/>
              </w:rPr>
            </w:pPr>
            <w:r>
              <w:rPr>
                <w:rFonts w:hint="eastAsia" w:ascii="宋体" w:hAnsi="宋体" w:cs="宋体"/>
                <w:kern w:val="0"/>
                <w:sz w:val="24"/>
                <w:lang w:bidi="ar"/>
              </w:rPr>
              <w:t xml:space="preserve">19. 侦察无人机应支持连接软件平台使用； </w:t>
            </w:r>
          </w:p>
          <w:p w14:paraId="0372085B">
            <w:pPr>
              <w:widowControl/>
              <w:spacing w:line="360" w:lineRule="auto"/>
              <w:jc w:val="left"/>
              <w:rPr>
                <w:rFonts w:ascii="宋体" w:hAnsi="宋体" w:cs="宋体"/>
              </w:rPr>
            </w:pPr>
            <w:r>
              <w:rPr>
                <w:rFonts w:hint="eastAsia" w:ascii="宋体" w:hAnsi="宋体" w:cs="宋体"/>
                <w:kern w:val="0"/>
                <w:sz w:val="24"/>
                <w:lang w:bidi="ar"/>
              </w:rPr>
              <w:t xml:space="preserve">20. 软件平台应支持标准地图和卫星地图两种模式； </w:t>
            </w:r>
          </w:p>
          <w:p w14:paraId="32804E52">
            <w:pPr>
              <w:widowControl/>
              <w:spacing w:line="360" w:lineRule="auto"/>
              <w:jc w:val="left"/>
              <w:rPr>
                <w:rFonts w:ascii="宋体" w:hAnsi="宋体" w:cs="宋体"/>
              </w:rPr>
            </w:pPr>
            <w:r>
              <w:rPr>
                <w:rFonts w:hint="eastAsia" w:ascii="宋体" w:hAnsi="宋体" w:cs="宋体"/>
                <w:kern w:val="0"/>
                <w:sz w:val="24"/>
                <w:lang w:bidi="ar"/>
              </w:rPr>
              <w:t>21. 地图具备地图方位显示；支持在地图上显示限飞区信息；</w:t>
            </w:r>
          </w:p>
          <w:p w14:paraId="76761FCA">
            <w:pPr>
              <w:widowControl/>
              <w:spacing w:line="360" w:lineRule="auto"/>
              <w:jc w:val="left"/>
              <w:rPr>
                <w:rFonts w:ascii="宋体" w:hAnsi="宋体" w:cs="宋体"/>
              </w:rPr>
            </w:pPr>
            <w:r>
              <w:rPr>
                <w:rFonts w:hint="eastAsia" w:ascii="宋体" w:hAnsi="宋体" w:cs="宋体"/>
                <w:kern w:val="0"/>
                <w:sz w:val="24"/>
                <w:lang w:bidi="ar"/>
              </w:rPr>
              <w:t>22. 支持显示当前在线人员以及在线设备信息，并显示在地图对应位置。</w:t>
            </w:r>
          </w:p>
          <w:p w14:paraId="73308F24">
            <w:pPr>
              <w:widowControl/>
              <w:spacing w:line="360" w:lineRule="auto"/>
              <w:jc w:val="left"/>
              <w:rPr>
                <w:rFonts w:ascii="宋体" w:hAnsi="宋体" w:cs="宋体"/>
              </w:rPr>
            </w:pPr>
            <w:r>
              <w:rPr>
                <w:rFonts w:hint="eastAsia" w:ascii="宋体" w:hAnsi="宋体" w:cs="宋体"/>
                <w:kern w:val="0"/>
                <w:sz w:val="24"/>
                <w:lang w:bidi="ar"/>
              </w:rPr>
              <w:t>23. ★应支持显示无人机飞行中各项参数，包括但不限于位置、飞行速度、飞行高度、卫星数量、剩余电量、信号状态、返航点位置信息；</w:t>
            </w:r>
          </w:p>
          <w:p w14:paraId="6E4BE781">
            <w:pPr>
              <w:widowControl/>
              <w:spacing w:line="360" w:lineRule="auto"/>
              <w:jc w:val="left"/>
              <w:rPr>
                <w:rFonts w:ascii="宋体" w:hAnsi="宋体" w:cs="宋体"/>
              </w:rPr>
            </w:pPr>
            <w:r>
              <w:rPr>
                <w:rFonts w:hint="eastAsia" w:ascii="宋体" w:hAnsi="宋体" w:cs="宋体"/>
                <w:kern w:val="0"/>
                <w:sz w:val="24"/>
                <w:lang w:bidi="ar"/>
              </w:rPr>
              <w:t>24. 应支持在遥控器端设置无人机自动上传所拍摄的照片、视频文件，也支持手动上传；</w:t>
            </w:r>
          </w:p>
          <w:p w14:paraId="7896D422">
            <w:pPr>
              <w:widowControl/>
              <w:spacing w:line="360" w:lineRule="auto"/>
              <w:jc w:val="left"/>
              <w:rPr>
                <w:rFonts w:ascii="宋体" w:hAnsi="宋体" w:cs="宋体"/>
                <w:kern w:val="0"/>
                <w:sz w:val="24"/>
                <w:lang w:bidi="ar"/>
              </w:rPr>
            </w:pPr>
            <w:r>
              <w:rPr>
                <w:rFonts w:hint="eastAsia" w:ascii="宋体" w:hAnsi="宋体" w:cs="宋体"/>
                <w:b/>
                <w:bCs/>
                <w:kern w:val="0"/>
                <w:sz w:val="24"/>
                <w:lang w:bidi="ar"/>
              </w:rPr>
              <w:t>四、其他配置</w:t>
            </w:r>
          </w:p>
          <w:p w14:paraId="5522DFF5">
            <w:pPr>
              <w:widowControl/>
              <w:spacing w:line="360" w:lineRule="auto"/>
              <w:jc w:val="left"/>
              <w:rPr>
                <w:rFonts w:ascii="宋体" w:hAnsi="宋体" w:cs="宋体"/>
              </w:rPr>
            </w:pPr>
            <w:r>
              <w:rPr>
                <w:rFonts w:hint="eastAsia" w:ascii="宋体" w:hAnsi="宋体" w:cs="宋体"/>
                <w:kern w:val="0"/>
                <w:sz w:val="24"/>
                <w:lang w:bidi="ar"/>
              </w:rPr>
              <w:t xml:space="preserve">25. 应配备探照灯；重量:≤200g;LED功率:≥20W;光通量：≥1800lm；出光角度：≤16°；5m处中心光照度≥1800lx；最大光斑直径≥30m，最大探照面积≥910㎡； </w:t>
            </w:r>
          </w:p>
          <w:p w14:paraId="10322EAA">
            <w:pPr>
              <w:widowControl/>
              <w:spacing w:line="360" w:lineRule="auto"/>
              <w:jc w:val="left"/>
              <w:rPr>
                <w:rFonts w:ascii="宋体" w:hAnsi="宋体" w:cs="宋体"/>
                <w:kern w:val="0"/>
                <w:sz w:val="24"/>
                <w:lang w:bidi="ar"/>
              </w:rPr>
            </w:pPr>
            <w:r>
              <w:rPr>
                <w:rFonts w:hint="eastAsia" w:ascii="宋体" w:hAnsi="宋体" w:cs="宋体"/>
                <w:kern w:val="0"/>
                <w:sz w:val="24"/>
                <w:lang w:bidi="ar"/>
              </w:rPr>
              <w:t>26. 应配备喊话拾音一体机；重量：≤280g；功率：≥5W；喇叭声压：≥110dB；有效广播距离：≥150m；麦克风信噪比：≤70dB；有效拾音距离：≥10m；</w:t>
            </w:r>
          </w:p>
          <w:p w14:paraId="22BBDFE1">
            <w:pPr>
              <w:widowControl/>
              <w:spacing w:line="360" w:lineRule="auto"/>
              <w:jc w:val="left"/>
              <w:rPr>
                <w:rFonts w:ascii="宋体" w:hAnsi="宋体" w:cs="宋体"/>
                <w:kern w:val="0"/>
                <w:sz w:val="24"/>
                <w:lang w:bidi="ar"/>
              </w:rPr>
            </w:pPr>
            <w:r>
              <w:rPr>
                <w:rFonts w:hint="eastAsia" w:ascii="宋体" w:hAnsi="宋体" w:cs="宋体"/>
                <w:kern w:val="0"/>
                <w:sz w:val="24"/>
                <w:lang w:bidi="ar"/>
              </w:rPr>
              <w:t>27.另外配置一个四段抛投器，单个投掷器依次投掷。适用于灭火弹投掷、应急物资投掷、电力架线、突发应急救援等任务。尺寸：≤125mm*120mm*60mm，重量：≤330g</w:t>
            </w:r>
          </w:p>
          <w:p w14:paraId="12BDAF94">
            <w:pPr>
              <w:widowControl/>
              <w:spacing w:line="360" w:lineRule="auto"/>
              <w:jc w:val="left"/>
              <w:rPr>
                <w:rFonts w:ascii="宋体" w:hAnsi="宋体" w:cs="宋体"/>
                <w:kern w:val="0"/>
                <w:sz w:val="24"/>
                <w:lang w:bidi="ar"/>
              </w:rPr>
            </w:pPr>
            <w:r>
              <w:rPr>
                <w:rFonts w:hint="eastAsia" w:ascii="宋体" w:hAnsi="宋体" w:cs="宋体"/>
                <w:kern w:val="0"/>
                <w:sz w:val="24"/>
                <w:lang w:bidi="ar"/>
              </w:rPr>
              <w:t>接口类型：SKYPORT V2/ S.PORT</w:t>
            </w:r>
          </w:p>
          <w:p w14:paraId="52564F5F">
            <w:pPr>
              <w:widowControl/>
              <w:spacing w:line="360" w:lineRule="auto"/>
              <w:jc w:val="left"/>
              <w:rPr>
                <w:rFonts w:ascii="宋体" w:hAnsi="宋体" w:cs="宋体"/>
                <w:kern w:val="0"/>
                <w:sz w:val="24"/>
                <w:lang w:bidi="ar"/>
              </w:rPr>
            </w:pPr>
            <w:r>
              <w:rPr>
                <w:rFonts w:hint="eastAsia" w:ascii="宋体" w:hAnsi="宋体" w:cs="宋体"/>
                <w:kern w:val="0"/>
                <w:sz w:val="24"/>
                <w:lang w:bidi="ar"/>
              </w:rPr>
              <w:t>控制方式：PSDK/Pilot</w:t>
            </w:r>
          </w:p>
          <w:p w14:paraId="4276EF6B">
            <w:pPr>
              <w:widowControl/>
              <w:spacing w:line="360" w:lineRule="auto"/>
              <w:jc w:val="left"/>
              <w:rPr>
                <w:rFonts w:ascii="宋体" w:hAnsi="宋体" w:cs="宋体"/>
                <w:kern w:val="0"/>
                <w:sz w:val="24"/>
                <w:lang w:bidi="ar"/>
              </w:rPr>
            </w:pPr>
            <w:r>
              <w:rPr>
                <w:rFonts w:hint="eastAsia" w:ascii="宋体" w:hAnsi="宋体" w:cs="宋体"/>
                <w:kern w:val="0"/>
                <w:sz w:val="24"/>
                <w:lang w:bidi="ar"/>
              </w:rPr>
              <w:t>系统功率：≤20W</w:t>
            </w:r>
          </w:p>
          <w:p w14:paraId="12F24E31">
            <w:pPr>
              <w:widowControl/>
              <w:spacing w:line="360" w:lineRule="auto"/>
              <w:jc w:val="left"/>
              <w:rPr>
                <w:rFonts w:ascii="宋体" w:hAnsi="宋体" w:cs="宋体"/>
                <w:kern w:val="0"/>
                <w:sz w:val="24"/>
                <w:lang w:bidi="ar"/>
              </w:rPr>
            </w:pPr>
            <w:r>
              <w:rPr>
                <w:rFonts w:hint="eastAsia" w:ascii="宋体" w:hAnsi="宋体" w:cs="宋体"/>
                <w:kern w:val="0"/>
                <w:sz w:val="24"/>
                <w:lang w:bidi="ar"/>
              </w:rPr>
              <w:t>工作温度：-20 °至 60 °</w:t>
            </w:r>
          </w:p>
          <w:p w14:paraId="54124535">
            <w:pPr>
              <w:widowControl/>
              <w:spacing w:line="360" w:lineRule="auto"/>
              <w:jc w:val="left"/>
              <w:rPr>
                <w:rFonts w:ascii="宋体" w:hAnsi="宋体" w:cs="宋体"/>
                <w:kern w:val="0"/>
                <w:sz w:val="24"/>
                <w:lang w:bidi="ar"/>
              </w:rPr>
            </w:pPr>
            <w:r>
              <w:rPr>
                <w:rFonts w:hint="eastAsia" w:ascii="宋体" w:hAnsi="宋体" w:cs="宋体"/>
                <w:kern w:val="0"/>
                <w:sz w:val="24"/>
                <w:lang w:bidi="ar"/>
              </w:rPr>
              <w:t>通道数：≥4</w:t>
            </w:r>
          </w:p>
          <w:p w14:paraId="19E65781">
            <w:pPr>
              <w:widowControl/>
              <w:spacing w:line="360" w:lineRule="auto"/>
              <w:jc w:val="left"/>
              <w:rPr>
                <w:rFonts w:ascii="宋体" w:hAnsi="宋体" w:cs="宋体"/>
                <w:kern w:val="0"/>
                <w:sz w:val="24"/>
                <w:lang w:bidi="ar"/>
              </w:rPr>
            </w:pPr>
            <w:r>
              <w:rPr>
                <w:rFonts w:hint="eastAsia" w:ascii="宋体" w:hAnsi="宋体" w:cs="宋体"/>
                <w:kern w:val="0"/>
                <w:sz w:val="24"/>
                <w:lang w:bidi="ar"/>
              </w:rPr>
              <w:t>抛投功能：能任意选择四个挂钩中的任意一个进行抛投或依次抛投四个挂钩的负载，与无人机连接后应能通过文字框显示各个通道挂载状态，并提供悬浮窗按钮进行实时控制。具备摄像头内置拓展接口</w:t>
            </w:r>
          </w:p>
          <w:p w14:paraId="4FDD4A5B">
            <w:pPr>
              <w:widowControl/>
              <w:spacing w:line="360" w:lineRule="auto"/>
              <w:jc w:val="left"/>
              <w:rPr>
                <w:rFonts w:ascii="宋体" w:hAnsi="宋体" w:cs="宋体"/>
                <w:kern w:val="0"/>
                <w:sz w:val="24"/>
                <w:lang w:bidi="ar"/>
              </w:rPr>
            </w:pPr>
            <w:r>
              <w:rPr>
                <w:rFonts w:hint="eastAsia" w:ascii="宋体" w:hAnsi="宋体" w:cs="宋体"/>
                <w:kern w:val="0"/>
                <w:sz w:val="24"/>
                <w:lang w:bidi="ar"/>
              </w:rPr>
              <w:t>控制距离：与无人机通信距离一致</w:t>
            </w:r>
          </w:p>
          <w:p w14:paraId="524766EE">
            <w:pPr>
              <w:widowControl/>
              <w:spacing w:line="360" w:lineRule="auto"/>
              <w:jc w:val="left"/>
              <w:rPr>
                <w:rFonts w:ascii="宋体" w:hAnsi="宋体" w:cs="宋体"/>
                <w:kern w:val="0"/>
                <w:sz w:val="24"/>
                <w:lang w:bidi="ar"/>
              </w:rPr>
            </w:pPr>
            <w:r>
              <w:rPr>
                <w:rFonts w:hint="eastAsia" w:ascii="宋体" w:hAnsi="宋体" w:cs="宋体"/>
                <w:kern w:val="0"/>
                <w:sz w:val="24"/>
                <w:lang w:bidi="ar"/>
              </w:rPr>
              <w:t>状态反馈：各通道状态实时回传</w:t>
            </w:r>
          </w:p>
          <w:p w14:paraId="765644B6">
            <w:pPr>
              <w:widowControl/>
              <w:spacing w:line="360" w:lineRule="auto"/>
              <w:jc w:val="left"/>
              <w:rPr>
                <w:rFonts w:ascii="宋体" w:hAnsi="宋体" w:cs="宋体"/>
                <w:kern w:val="0"/>
                <w:sz w:val="24"/>
                <w:lang w:bidi="ar"/>
              </w:rPr>
            </w:pPr>
            <w:r>
              <w:rPr>
                <w:rFonts w:hint="eastAsia" w:ascii="宋体" w:hAnsi="宋体" w:cs="宋体"/>
                <w:kern w:val="0"/>
                <w:sz w:val="24"/>
                <w:lang w:bidi="ar"/>
              </w:rPr>
              <w:t>挂载方式：无需上电锁扣式挂载</w:t>
            </w:r>
          </w:p>
          <w:p w14:paraId="20613D9B">
            <w:pPr>
              <w:widowControl/>
              <w:spacing w:line="360" w:lineRule="auto"/>
              <w:jc w:val="left"/>
              <w:rPr>
                <w:rFonts w:ascii="宋体" w:hAnsi="宋体" w:cs="宋体"/>
                <w:kern w:val="0"/>
                <w:sz w:val="24"/>
                <w:lang w:bidi="ar"/>
              </w:rPr>
            </w:pPr>
            <w:r>
              <w:rPr>
                <w:rFonts w:hint="eastAsia" w:ascii="宋体" w:hAnsi="宋体" w:cs="宋体"/>
                <w:kern w:val="0"/>
                <w:sz w:val="24"/>
                <w:lang w:bidi="ar"/>
              </w:rPr>
              <w:t>安装方式：卡扣式快拆</w:t>
            </w:r>
          </w:p>
          <w:p w14:paraId="7D5DEAD6">
            <w:pPr>
              <w:widowControl/>
              <w:spacing w:line="360" w:lineRule="auto"/>
              <w:jc w:val="left"/>
              <w:rPr>
                <w:rFonts w:ascii="宋体" w:hAnsi="宋体" w:cs="宋体"/>
                <w:kern w:val="0"/>
                <w:sz w:val="24"/>
                <w:lang w:bidi="ar"/>
              </w:rPr>
            </w:pPr>
            <w:r>
              <w:rPr>
                <w:rFonts w:hint="eastAsia" w:ascii="宋体" w:hAnsi="宋体" w:cs="宋体"/>
                <w:kern w:val="0"/>
                <w:sz w:val="24"/>
                <w:lang w:bidi="ar"/>
              </w:rPr>
              <w:t>P HUB：支持</w:t>
            </w:r>
          </w:p>
          <w:p w14:paraId="199C4300">
            <w:pPr>
              <w:widowControl/>
              <w:spacing w:line="360" w:lineRule="auto"/>
              <w:jc w:val="left"/>
              <w:rPr>
                <w:rFonts w:ascii="宋体" w:hAnsi="宋体" w:cs="宋体"/>
                <w:kern w:val="0"/>
                <w:sz w:val="24"/>
                <w:lang w:bidi="ar"/>
              </w:rPr>
            </w:pPr>
            <w:r>
              <w:rPr>
                <w:rFonts w:hint="eastAsia" w:ascii="宋体" w:hAnsi="宋体" w:cs="宋体"/>
                <w:kern w:val="0"/>
                <w:sz w:val="24"/>
                <w:lang w:bidi="ar"/>
              </w:rPr>
              <w:t>单个投挺器最大可承载2.5kg的投掷物品，无人机投掷系统最大可承载10kg的投掷物品。</w:t>
            </w:r>
          </w:p>
          <w:p w14:paraId="0354BD79">
            <w:pPr>
              <w:widowControl/>
              <w:spacing w:line="360" w:lineRule="auto"/>
              <w:jc w:val="left"/>
              <w:rPr>
                <w:rFonts w:ascii="宋体" w:hAnsi="宋体" w:cs="宋体"/>
                <w:b/>
                <w:bCs/>
              </w:rPr>
            </w:pPr>
            <w:r>
              <w:rPr>
                <w:rFonts w:hint="eastAsia" w:ascii="宋体" w:hAnsi="宋体" w:cs="宋体"/>
                <w:b/>
                <w:bCs/>
                <w:kern w:val="0"/>
                <w:sz w:val="24"/>
                <w:lang w:bidi="ar"/>
              </w:rPr>
              <w:t>五、配置清单</w:t>
            </w:r>
          </w:p>
          <w:p w14:paraId="3C9EE21A">
            <w:pPr>
              <w:widowControl/>
              <w:spacing w:line="360" w:lineRule="auto"/>
              <w:jc w:val="left"/>
              <w:rPr>
                <w:rFonts w:ascii="宋体" w:hAnsi="宋体" w:cs="Calibri"/>
                <w:bCs/>
                <w:sz w:val="24"/>
              </w:rPr>
            </w:pPr>
            <w:r>
              <w:rPr>
                <w:rFonts w:hint="eastAsia" w:ascii="宋体" w:hAnsi="宋体" w:cs="宋体"/>
                <w:kern w:val="0"/>
                <w:sz w:val="24"/>
                <w:lang w:bidi="ar"/>
              </w:rPr>
              <w:t xml:space="preserve">28. 包含无人机1台、电池不少于4个、遥控器1个、充电器一个；机损险1年、不低于60w三者险1年； </w:t>
            </w:r>
          </w:p>
        </w:tc>
        <w:tc>
          <w:tcPr>
            <w:tcW w:w="1490" w:type="dxa"/>
            <w:vAlign w:val="center"/>
          </w:tcPr>
          <w:p w14:paraId="0F12E39F">
            <w:pPr>
              <w:jc w:val="center"/>
            </w:pPr>
            <w:r>
              <w:rPr>
                <w:rFonts w:hint="eastAsia"/>
              </w:rPr>
              <w:t>1台</w:t>
            </w:r>
          </w:p>
        </w:tc>
      </w:tr>
      <w:tr w14:paraId="3930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913" w:type="dxa"/>
            <w:vAlign w:val="center"/>
          </w:tcPr>
          <w:p w14:paraId="47B23CFC">
            <w:pPr>
              <w:spacing w:line="360" w:lineRule="auto"/>
              <w:jc w:val="center"/>
              <w:rPr>
                <w:rFonts w:ascii="宋体" w:hAnsi="宋体" w:cs="Calibri"/>
                <w:bCs/>
                <w:sz w:val="24"/>
              </w:rPr>
            </w:pPr>
            <w:r>
              <w:rPr>
                <w:rFonts w:hint="eastAsia" w:ascii="宋体" w:hAnsi="宋体" w:cs="Calibri"/>
                <w:bCs/>
                <w:sz w:val="24"/>
              </w:rPr>
              <w:t>植保无人机（抛投器）</w:t>
            </w:r>
          </w:p>
        </w:tc>
        <w:tc>
          <w:tcPr>
            <w:tcW w:w="5976" w:type="dxa"/>
          </w:tcPr>
          <w:p w14:paraId="52BEA3AF">
            <w:pPr>
              <w:spacing w:line="360" w:lineRule="auto"/>
              <w:jc w:val="left"/>
            </w:pPr>
            <w:r>
              <w:rPr>
                <w:rFonts w:hint="eastAsia" w:ascii="宋体" w:hAnsi="宋体" w:cs="Calibri"/>
                <w:bCs/>
                <w:sz w:val="24"/>
              </w:rPr>
              <w:t>通过地面遥控或导航飞控，来实现喷洒作业并支持应急救援、物资投放、灭火弹投放。具体参数如下：</w:t>
            </w:r>
          </w:p>
          <w:p w14:paraId="4AEFDDEA">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最大轴距：2000mm-2500mm；</w:t>
            </w:r>
          </w:p>
          <w:p w14:paraId="04A71828">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外形尺寸：≤3300*3500*1000 mm（机臂展开，桨叶展开）；≤1200*1300*1000mm（机臂展开，桨叶折叠）；</w:t>
            </w:r>
          </w:p>
          <w:p w14:paraId="7FF6FE63">
            <w:pPr>
              <w:numPr>
                <w:ilvl w:val="0"/>
                <w:numId w:val="2"/>
              </w:numPr>
              <w:ind w:firstLine="480" w:firstLineChars="200"/>
              <w:rPr>
                <w:rFonts w:ascii="宋体" w:hAnsi="宋体" w:cs="宋体"/>
                <w:sz w:val="24"/>
              </w:rPr>
            </w:pPr>
            <w:r>
              <w:rPr>
                <w:rFonts w:hint="eastAsia" w:ascii="宋体" w:hAnsi="宋体" w:cs="宋体"/>
                <w:sz w:val="24"/>
              </w:rPr>
              <w:t>最大起飞重量≥140公斤，吊运能力≥70公斤</w:t>
            </w:r>
            <w:r>
              <w:rPr>
                <w:rFonts w:hint="eastAsia"/>
              </w:rPr>
              <w:t>；</w:t>
            </w:r>
          </w:p>
          <w:p w14:paraId="51A4E6A5">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最大飞行半径：≥2公里；</w:t>
            </w:r>
          </w:p>
          <w:p w14:paraId="1641FBC3">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载荷容积：喷洒系统额定容积：≥70L（含2喷头）；</w:t>
            </w:r>
          </w:p>
          <w:p w14:paraId="08109DBA">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悬停精度（GNSS 信号良好）：启用RTK定位：不低于1 厘米 +1 ppm（水平），1.5 厘米 +1 ppm（垂直）；未启用RTK定位：不低于</w:t>
            </w:r>
            <w:r>
              <w:rPr>
                <w:rFonts w:hint="eastAsia"/>
              </w:rPr>
              <w:t>水平±60 cm，垂直±30 cm；</w:t>
            </w:r>
          </w:p>
          <w:p w14:paraId="74F4F1B5">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最大承受风速：≥6m/s</w:t>
            </w:r>
          </w:p>
          <w:p w14:paraId="676EF5D6">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★整机具备良好的密封性能，各零部件与连接处密封可靠。除喷头外，无药液泄露。</w:t>
            </w:r>
          </w:p>
          <w:p w14:paraId="4633F865">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★无人飞机空载和满载悬停时，不应出现掉高或坠落等现象。</w:t>
            </w:r>
          </w:p>
          <w:p w14:paraId="50DD7B0B">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每分钟喷洒流量：≥30 升/分钟（2 喷头喷洒），雾滴均匀细密，无滴漏。</w:t>
            </w:r>
          </w:p>
          <w:p w14:paraId="745CC192">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★具备断点续喷功能：植保无人驾驶航空器结束喷雾作业的断药点与续喷点之间水平距离应不大于0.8m,且植保无人驾驶航空器到达续喷点后，应能立刻开始喷雾作业。</w:t>
            </w:r>
          </w:p>
          <w:p w14:paraId="7A9F15D3">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具备面积航测功能，大田航测单架次最大面积：≥ 250 亩。</w:t>
            </w:r>
          </w:p>
          <w:p w14:paraId="2BCA6823">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★作业控制模式切换稳定，具有手动和自动控制模式切换，切换时无人机的飞行状态无明细变化。</w:t>
            </w:r>
          </w:p>
          <w:p w14:paraId="2EEA5E86">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有效安全避障绕行速度：≤14m/s。</w:t>
            </w:r>
          </w:p>
          <w:p w14:paraId="1DC220F1">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★仿地飞行功能：植保无人驾驶航空器能避免与坡道发生碰撞； 竖直方向与坡 道的实际距离和设定作业高度之间的偏差不大于0.6m。</w:t>
            </w:r>
          </w:p>
          <w:p w14:paraId="4CBE6E01">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具备智能作业APP, 根据当前飞行器状态及周围环境智能推荐装载重量,确保飞行作业安全。</w:t>
            </w:r>
          </w:p>
          <w:p w14:paraId="2017807F">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动力系统 ：电机定子尺寸≥100×22 mm，电机KV值≥59 rpm/V；螺旋桨</w:t>
            </w:r>
          </w:p>
          <w:p w14:paraId="2C65B5EB">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材质：尼龙碳纤；桨叶尺寸：≥50英寸；旋翼数量：≥4；</w:t>
            </w:r>
          </w:p>
          <w:p w14:paraId="7B1BA3FB">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安全系统：相控阵雷达 EIRP：&lt;20 dBm (NCC/MIC/KC/CE/FCC)；工作环境温度：0 ℃ 至 40 ℃；FOV：前相控阵数字雷达：水平 360°，垂直 ±45°，上方 ±45°（圆锥体）；后相控阵数字雷达：垂直 360°，水平 ±45°；三目视觉系统：90*180</w:t>
            </w:r>
          </w:p>
          <w:p w14:paraId="05C1AE42">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测距范围：不低于60 m；有效避障高度≥1.5 m；</w:t>
            </w:r>
          </w:p>
          <w:p w14:paraId="061FFE7E">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遥控器：显示屏≥7 英寸屏幕，分辨率≥1920×1200，亮度 ≥1400cd/m2存放环境温度：不低于-30 ℃ 至 45 ℃；充电环境温度：5 ℃ 至 40 ℃；内置电池续航时间：≥3.5 小时；外置电池续航时间：≥3.0小时；</w:t>
            </w:r>
          </w:p>
          <w:p w14:paraId="5FD1BC9C">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智能飞行电池：≥30000 mAh；重量≥11 kg；电 压≥52 V；</w:t>
            </w:r>
          </w:p>
          <w:p w14:paraId="5F8EB28F">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配置清单：含机身x1、带屏遥控器x1、变频充电站x1、电池x2、智能充电器x1、RTK服务2年。</w:t>
            </w:r>
          </w:p>
          <w:p w14:paraId="603E970B">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机损险1年、不低于60w三者险1年。</w:t>
            </w:r>
          </w:p>
          <w:p w14:paraId="4A98C133">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抛投器：无人机大载重投放器，最大抛投重量≥50KG</w:t>
            </w:r>
          </w:p>
          <w:p w14:paraId="0C83BD5C">
            <w:pPr>
              <w:numPr>
                <w:ilvl w:val="0"/>
                <w:numId w:val="2"/>
              </w:numPr>
              <w:snapToGrid w:val="0"/>
              <w:spacing w:line="360" w:lineRule="auto"/>
              <w:ind w:firstLine="480" w:firstLineChars="200"/>
              <w:rPr>
                <w:rFonts w:ascii="宋体" w:hAnsi="宋体" w:cs="宋体"/>
                <w:sz w:val="24"/>
              </w:rPr>
            </w:pPr>
            <w:r>
              <w:rPr>
                <w:rFonts w:ascii="宋体" w:hAnsi="宋体" w:cs="宋体"/>
                <w:sz w:val="24"/>
              </w:rPr>
              <w:t>控制方式</w:t>
            </w:r>
            <w:r>
              <w:rPr>
                <w:rFonts w:hint="eastAsia" w:ascii="宋体" w:hAnsi="宋体" w:cs="宋体"/>
                <w:sz w:val="24"/>
              </w:rPr>
              <w:t>：遥控控制、灯光控制、安装方式:吊装或螺栓固定,可承受额定载重的1.5G过载，并具备过载保护功能，兼容多重控制模式。支持应急救援、物资投放、灭火弹投放。</w:t>
            </w:r>
          </w:p>
          <w:p w14:paraId="07C5BDFB">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自锁功能：断电自锁</w:t>
            </w:r>
          </w:p>
          <w:p w14:paraId="6D984BC1">
            <w:pPr>
              <w:numPr>
                <w:ilvl w:val="0"/>
                <w:numId w:val="2"/>
              </w:numPr>
              <w:snapToGrid w:val="0"/>
              <w:spacing w:line="360" w:lineRule="auto"/>
              <w:ind w:firstLine="480" w:firstLineChars="200"/>
              <w:rPr>
                <w:rFonts w:ascii="宋体" w:hAnsi="宋体" w:cs="宋体"/>
                <w:sz w:val="24"/>
              </w:rPr>
            </w:pPr>
            <w:r>
              <w:rPr>
                <w:rFonts w:hint="eastAsia" w:ascii="宋体" w:hAnsi="宋体" w:cs="宋体"/>
                <w:sz w:val="24"/>
              </w:rPr>
              <w:t>控制距离：≥2公里</w:t>
            </w:r>
          </w:p>
        </w:tc>
        <w:tc>
          <w:tcPr>
            <w:tcW w:w="1490" w:type="dxa"/>
            <w:vAlign w:val="center"/>
          </w:tcPr>
          <w:p w14:paraId="17D438BB">
            <w:pPr>
              <w:spacing w:line="360" w:lineRule="auto"/>
              <w:jc w:val="center"/>
              <w:rPr>
                <w:rFonts w:ascii="宋体" w:hAnsi="宋体" w:cs="Calibri"/>
                <w:bCs/>
                <w:sz w:val="24"/>
              </w:rPr>
            </w:pPr>
            <w:r>
              <w:rPr>
                <w:rFonts w:hint="eastAsia"/>
              </w:rPr>
              <w:t>5台</w:t>
            </w:r>
          </w:p>
        </w:tc>
      </w:tr>
      <w:tr w14:paraId="6440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913" w:type="dxa"/>
            <w:vAlign w:val="center"/>
          </w:tcPr>
          <w:p w14:paraId="0A5A9F29">
            <w:pPr>
              <w:spacing w:line="360" w:lineRule="auto"/>
              <w:jc w:val="center"/>
              <w:rPr>
                <w:rFonts w:ascii="宋体" w:hAnsi="宋体" w:cs="Calibri"/>
                <w:bCs/>
                <w:sz w:val="24"/>
              </w:rPr>
            </w:pPr>
            <w:r>
              <w:rPr>
                <w:rFonts w:hint="eastAsia" w:ascii="宋体" w:hAnsi="宋体" w:cs="Calibri"/>
                <w:bCs/>
                <w:sz w:val="24"/>
              </w:rPr>
              <w:t>轻型卫星便携站</w:t>
            </w:r>
          </w:p>
        </w:tc>
        <w:tc>
          <w:tcPr>
            <w:tcW w:w="5976" w:type="dxa"/>
          </w:tcPr>
          <w:p w14:paraId="481F2789">
            <w:pPr>
              <w:spacing w:line="360" w:lineRule="auto"/>
              <w:jc w:val="left"/>
              <w:rPr>
                <w:rFonts w:ascii="宋体" w:hAnsi="宋体" w:cs="Calibri"/>
                <w:bCs/>
                <w:sz w:val="24"/>
              </w:rPr>
            </w:pPr>
            <w:r>
              <w:rPr>
                <w:rFonts w:hint="eastAsia" w:ascii="宋体" w:hAnsi="宋体" w:cs="Calibri"/>
                <w:b/>
                <w:sz w:val="24"/>
              </w:rPr>
              <w:t>可快速深入灾害现场，在断电断网情控维通信况下，利用卫星链路将受灾情况、视频等信息第一时间传输至现场指挥部和后方指挥中心，具体参数如下：</w:t>
            </w:r>
          </w:p>
          <w:p w14:paraId="24FDC334">
            <w:pPr>
              <w:pStyle w:val="25"/>
              <w:numPr>
                <w:ilvl w:val="0"/>
                <w:numId w:val="3"/>
              </w:numPr>
              <w:spacing w:line="300" w:lineRule="auto"/>
              <w:ind w:firstLine="480"/>
              <w:rPr>
                <w:rFonts w:ascii="宋体" w:hAnsi="宋体"/>
                <w:sz w:val="24"/>
                <w:szCs w:val="24"/>
              </w:rPr>
            </w:pPr>
            <w:r>
              <w:rPr>
                <w:rFonts w:ascii="宋体" w:hAnsi="宋体"/>
                <w:sz w:val="24"/>
                <w:szCs w:val="24"/>
              </w:rPr>
              <w:t>卫星便携站一体化设计，包含卫星天线与底座、收发信一体机、调制解调器、</w:t>
            </w:r>
            <w:r>
              <w:rPr>
                <w:rFonts w:hint="eastAsia" w:ascii="宋体" w:hAnsi="宋体"/>
                <w:sz w:val="24"/>
                <w:szCs w:val="24"/>
              </w:rPr>
              <w:t>天线控制单元、电机，</w:t>
            </w:r>
            <w:r>
              <w:rPr>
                <w:rFonts w:ascii="宋体" w:hAnsi="宋体"/>
                <w:sz w:val="24"/>
                <w:szCs w:val="24"/>
              </w:rPr>
              <w:t>电池等部件；</w:t>
            </w:r>
          </w:p>
          <w:p w14:paraId="46C88404">
            <w:pPr>
              <w:pStyle w:val="25"/>
              <w:numPr>
                <w:ilvl w:val="0"/>
                <w:numId w:val="3"/>
              </w:numPr>
              <w:spacing w:line="300" w:lineRule="auto"/>
              <w:ind w:firstLine="480"/>
              <w:rPr>
                <w:rFonts w:ascii="宋体" w:hAnsi="宋体"/>
                <w:sz w:val="24"/>
                <w:szCs w:val="24"/>
              </w:rPr>
            </w:pPr>
            <w:r>
              <w:rPr>
                <w:rFonts w:ascii="宋体" w:hAnsi="宋体"/>
                <w:sz w:val="24"/>
                <w:szCs w:val="24"/>
              </w:rPr>
              <w:t xml:space="preserve">接入模式：可接入亚太6D国产高通量平台 </w:t>
            </w:r>
          </w:p>
          <w:p w14:paraId="6CCD068D">
            <w:pPr>
              <w:pStyle w:val="25"/>
              <w:numPr>
                <w:ilvl w:val="0"/>
                <w:numId w:val="3"/>
              </w:numPr>
              <w:spacing w:line="300" w:lineRule="auto"/>
              <w:ind w:firstLine="480"/>
              <w:rPr>
                <w:rFonts w:ascii="宋体" w:hAnsi="宋体"/>
                <w:b/>
                <w:bCs/>
                <w:sz w:val="24"/>
                <w:szCs w:val="24"/>
              </w:rPr>
            </w:pPr>
            <w:r>
              <w:rPr>
                <w:rFonts w:hint="eastAsia" w:ascii="宋体" w:hAnsi="宋体"/>
                <w:sz w:val="24"/>
                <w:szCs w:val="24"/>
              </w:rPr>
              <w:t>★</w:t>
            </w:r>
            <w:r>
              <w:rPr>
                <w:rFonts w:ascii="宋体" w:hAnsi="宋体"/>
                <w:sz w:val="24"/>
                <w:szCs w:val="24"/>
              </w:rPr>
              <w:t>操作方式：支持天线免拼装、一键对星、一键收藏</w:t>
            </w:r>
            <w:r>
              <w:rPr>
                <w:rFonts w:hint="eastAsia" w:ascii="宋体" w:hAnsi="宋体"/>
                <w:b/>
                <w:bCs/>
                <w:sz w:val="24"/>
                <w:szCs w:val="24"/>
              </w:rPr>
              <w:t>；</w:t>
            </w:r>
          </w:p>
          <w:p w14:paraId="51DA44F8">
            <w:pPr>
              <w:pStyle w:val="25"/>
              <w:numPr>
                <w:ilvl w:val="0"/>
                <w:numId w:val="3"/>
              </w:numPr>
              <w:spacing w:line="300" w:lineRule="auto"/>
              <w:ind w:firstLine="480"/>
              <w:rPr>
                <w:rFonts w:ascii="宋体" w:hAnsi="宋体"/>
                <w:sz w:val="24"/>
                <w:szCs w:val="24"/>
              </w:rPr>
            </w:pPr>
            <w:r>
              <w:rPr>
                <w:rFonts w:hint="eastAsia" w:ascii="宋体" w:hAnsi="宋体"/>
                <w:sz w:val="24"/>
                <w:szCs w:val="24"/>
              </w:rPr>
              <w:t>★天线类型：合金抛物面天线；</w:t>
            </w:r>
          </w:p>
          <w:p w14:paraId="7A1D7BA4">
            <w:pPr>
              <w:pStyle w:val="25"/>
              <w:numPr>
                <w:ilvl w:val="0"/>
                <w:numId w:val="3"/>
              </w:numPr>
              <w:spacing w:line="300" w:lineRule="auto"/>
              <w:ind w:firstLine="480"/>
              <w:rPr>
                <w:rFonts w:ascii="宋体" w:hAnsi="宋体"/>
                <w:sz w:val="24"/>
                <w:szCs w:val="24"/>
              </w:rPr>
            </w:pPr>
            <w:r>
              <w:rPr>
                <w:rFonts w:ascii="宋体" w:hAnsi="宋体"/>
                <w:sz w:val="24"/>
                <w:szCs w:val="24"/>
              </w:rPr>
              <w:t>等效口径</w:t>
            </w:r>
            <w:r>
              <w:rPr>
                <w:rFonts w:hint="eastAsia" w:ascii="宋体" w:hAnsi="宋体"/>
                <w:sz w:val="24"/>
                <w:szCs w:val="24"/>
              </w:rPr>
              <w:t>：</w:t>
            </w:r>
            <w:r>
              <w:rPr>
                <w:rFonts w:ascii="宋体" w:hAnsi="宋体"/>
                <w:sz w:val="24"/>
                <w:szCs w:val="24"/>
              </w:rPr>
              <w:t>≥0.35米；</w:t>
            </w:r>
          </w:p>
          <w:p w14:paraId="3F455064">
            <w:pPr>
              <w:pStyle w:val="25"/>
              <w:numPr>
                <w:ilvl w:val="0"/>
                <w:numId w:val="3"/>
              </w:numPr>
              <w:spacing w:line="300" w:lineRule="auto"/>
              <w:ind w:firstLine="480"/>
              <w:rPr>
                <w:rFonts w:ascii="宋体" w:hAnsi="宋体"/>
                <w:sz w:val="24"/>
                <w:szCs w:val="24"/>
              </w:rPr>
            </w:pPr>
            <w:r>
              <w:rPr>
                <w:rFonts w:ascii="宋体" w:hAnsi="宋体"/>
                <w:sz w:val="24"/>
                <w:szCs w:val="24"/>
              </w:rPr>
              <w:t>收发频率：10.7～12.75GHz（接收）；13.75～14.5GHz（发射）；</w:t>
            </w:r>
          </w:p>
          <w:p w14:paraId="5F6996F5">
            <w:pPr>
              <w:pStyle w:val="25"/>
              <w:numPr>
                <w:ilvl w:val="0"/>
                <w:numId w:val="3"/>
              </w:numPr>
              <w:spacing w:line="300" w:lineRule="auto"/>
              <w:ind w:firstLine="480"/>
              <w:rPr>
                <w:rFonts w:ascii="宋体" w:hAnsi="宋体"/>
                <w:sz w:val="24"/>
                <w:szCs w:val="24"/>
              </w:rPr>
            </w:pPr>
            <w:r>
              <w:rPr>
                <w:rFonts w:ascii="宋体" w:hAnsi="宋体"/>
                <w:sz w:val="24"/>
                <w:szCs w:val="24"/>
              </w:rPr>
              <w:t>天线增益：发射(Tx):≥32.5dBi@14.5GHz、接收</w:t>
            </w:r>
            <w:r>
              <w:rPr>
                <w:rFonts w:hint="eastAsia" w:ascii="宋体" w:hAnsi="宋体"/>
                <w:sz w:val="24"/>
                <w:szCs w:val="24"/>
              </w:rPr>
              <w:t>≥</w:t>
            </w:r>
            <w:r>
              <w:rPr>
                <w:rFonts w:ascii="宋体" w:hAnsi="宋体"/>
                <w:sz w:val="24"/>
                <w:szCs w:val="24"/>
              </w:rPr>
              <w:t>31.5dBi@12.</w:t>
            </w:r>
            <w:r>
              <w:rPr>
                <w:rFonts w:hint="eastAsia" w:ascii="宋体" w:hAnsi="宋体"/>
                <w:sz w:val="24"/>
                <w:szCs w:val="24"/>
              </w:rPr>
              <w:t>7</w:t>
            </w:r>
            <w:r>
              <w:rPr>
                <w:rFonts w:ascii="宋体" w:hAnsi="宋体"/>
                <w:sz w:val="24"/>
                <w:szCs w:val="24"/>
              </w:rPr>
              <w:t>5GH</w:t>
            </w:r>
            <w:r>
              <w:rPr>
                <w:rFonts w:hint="eastAsia" w:ascii="宋体" w:hAnsi="宋体"/>
                <w:sz w:val="24"/>
                <w:szCs w:val="24"/>
              </w:rPr>
              <w:t>z</w:t>
            </w:r>
            <w:r>
              <w:rPr>
                <w:rFonts w:ascii="宋体" w:hAnsi="宋体"/>
                <w:sz w:val="24"/>
                <w:szCs w:val="24"/>
              </w:rPr>
              <w:t>；</w:t>
            </w:r>
          </w:p>
          <w:p w14:paraId="5E5C339A">
            <w:pPr>
              <w:pStyle w:val="25"/>
              <w:numPr>
                <w:ilvl w:val="0"/>
                <w:numId w:val="3"/>
              </w:numPr>
              <w:spacing w:line="300" w:lineRule="auto"/>
              <w:ind w:firstLine="480"/>
              <w:rPr>
                <w:rFonts w:ascii="宋体" w:hAnsi="宋体"/>
                <w:sz w:val="24"/>
                <w:szCs w:val="24"/>
              </w:rPr>
            </w:pPr>
            <w:r>
              <w:rPr>
                <w:rFonts w:hint="eastAsia" w:ascii="宋体" w:hAnsi="宋体"/>
                <w:sz w:val="24"/>
                <w:szCs w:val="24"/>
              </w:rPr>
              <w:t>天线转动范围：俯仰范围：0°</w:t>
            </w:r>
            <w:r>
              <w:rPr>
                <w:rFonts w:ascii="宋体" w:hAnsi="宋体"/>
                <w:sz w:val="24"/>
                <w:szCs w:val="24"/>
              </w:rPr>
              <w:t>～90°</w:t>
            </w:r>
            <w:r>
              <w:rPr>
                <w:rFonts w:hint="eastAsia" w:ascii="宋体" w:hAnsi="宋体"/>
                <w:sz w:val="24"/>
                <w:szCs w:val="24"/>
              </w:rPr>
              <w:t>，方位范围：</w:t>
            </w:r>
            <w:r>
              <w:rPr>
                <w:rFonts w:ascii="宋体" w:hAnsi="宋体"/>
                <w:sz w:val="24"/>
                <w:szCs w:val="24"/>
              </w:rPr>
              <w:t>0</w:t>
            </w:r>
            <w:r>
              <w:rPr>
                <w:rFonts w:hint="eastAsia" w:ascii="宋体" w:hAnsi="宋体"/>
                <w:sz w:val="24"/>
                <w:szCs w:val="24"/>
              </w:rPr>
              <w:t>°</w:t>
            </w:r>
            <w:r>
              <w:rPr>
                <w:rFonts w:ascii="宋体" w:hAnsi="宋体"/>
                <w:sz w:val="24"/>
                <w:szCs w:val="24"/>
              </w:rPr>
              <w:t>～360°</w:t>
            </w:r>
            <w:r>
              <w:rPr>
                <w:rFonts w:hint="eastAsia" w:ascii="宋体" w:hAnsi="宋体"/>
                <w:sz w:val="24"/>
                <w:szCs w:val="24"/>
              </w:rPr>
              <w:t>，极化范围：±90°；</w:t>
            </w:r>
          </w:p>
          <w:p w14:paraId="6F8A630B">
            <w:pPr>
              <w:pStyle w:val="25"/>
              <w:numPr>
                <w:ilvl w:val="0"/>
                <w:numId w:val="3"/>
              </w:numPr>
              <w:spacing w:line="300" w:lineRule="auto"/>
              <w:ind w:firstLine="480"/>
              <w:rPr>
                <w:rFonts w:ascii="宋体" w:hAnsi="宋体"/>
                <w:sz w:val="24"/>
                <w:szCs w:val="24"/>
              </w:rPr>
            </w:pPr>
            <w:r>
              <w:rPr>
                <w:rFonts w:hint="eastAsia" w:ascii="宋体" w:hAnsi="宋体"/>
                <w:sz w:val="24"/>
                <w:szCs w:val="24"/>
              </w:rPr>
              <w:t>★自动跟踪功能：便携站设备姿态发生变化导致对星偏离失锁后，可自动重新对准卫星；</w:t>
            </w:r>
          </w:p>
          <w:p w14:paraId="2F262C12">
            <w:pPr>
              <w:pStyle w:val="25"/>
              <w:numPr>
                <w:ilvl w:val="0"/>
                <w:numId w:val="3"/>
              </w:numPr>
              <w:spacing w:line="300" w:lineRule="auto"/>
              <w:ind w:firstLine="480"/>
              <w:rPr>
                <w:rFonts w:ascii="宋体" w:hAnsi="宋体"/>
                <w:sz w:val="24"/>
                <w:szCs w:val="24"/>
              </w:rPr>
            </w:pPr>
            <w:r>
              <w:rPr>
                <w:rFonts w:hint="eastAsia" w:ascii="宋体" w:hAnsi="宋体"/>
                <w:sz w:val="24"/>
                <w:szCs w:val="24"/>
              </w:rPr>
              <w:t>功放输出功率：</w:t>
            </w:r>
            <w:r>
              <w:rPr>
                <w:rFonts w:hint="eastAsia" w:ascii="宋体" w:hAnsi="宋体"/>
                <w:kern w:val="0"/>
                <w:sz w:val="24"/>
                <w:szCs w:val="24"/>
              </w:rPr>
              <w:t>≥</w:t>
            </w:r>
            <w:r>
              <w:rPr>
                <w:rFonts w:hint="eastAsia" w:ascii="宋体" w:hAnsi="宋体"/>
                <w:sz w:val="24"/>
                <w:szCs w:val="24"/>
              </w:rPr>
              <w:t>16W；</w:t>
            </w:r>
          </w:p>
          <w:p w14:paraId="59D4DE7D">
            <w:pPr>
              <w:pStyle w:val="25"/>
              <w:numPr>
                <w:ilvl w:val="0"/>
                <w:numId w:val="3"/>
              </w:numPr>
              <w:spacing w:line="300" w:lineRule="auto"/>
              <w:ind w:firstLine="480"/>
              <w:rPr>
                <w:rFonts w:ascii="宋体" w:hAnsi="宋体"/>
                <w:sz w:val="24"/>
                <w:szCs w:val="24"/>
              </w:rPr>
            </w:pPr>
            <w:r>
              <w:rPr>
                <w:rFonts w:hint="eastAsia" w:ascii="宋体" w:hAnsi="宋体"/>
                <w:sz w:val="24"/>
                <w:szCs w:val="24"/>
              </w:rPr>
              <w:t>通信能力：高通量模式支持上行≥5Mbps，下行≥10Mbps，</w:t>
            </w:r>
          </w:p>
          <w:p w14:paraId="59051AD4">
            <w:pPr>
              <w:pStyle w:val="25"/>
              <w:numPr>
                <w:ilvl w:val="0"/>
                <w:numId w:val="3"/>
              </w:numPr>
              <w:spacing w:line="300" w:lineRule="auto"/>
              <w:ind w:firstLine="480"/>
              <w:rPr>
                <w:rFonts w:ascii="宋体" w:hAnsi="宋体"/>
                <w:sz w:val="24"/>
                <w:szCs w:val="24"/>
              </w:rPr>
            </w:pPr>
            <w:r>
              <w:rPr>
                <w:rFonts w:ascii="宋体" w:hAnsi="宋体"/>
                <w:sz w:val="24"/>
                <w:szCs w:val="24"/>
              </w:rPr>
              <w:t xml:space="preserve">辅助功能：支持语音播报，语音告警，语音辅助功能； </w:t>
            </w:r>
          </w:p>
          <w:p w14:paraId="022FB977">
            <w:pPr>
              <w:pStyle w:val="25"/>
              <w:numPr>
                <w:ilvl w:val="0"/>
                <w:numId w:val="3"/>
              </w:numPr>
              <w:spacing w:line="300" w:lineRule="auto"/>
              <w:ind w:firstLine="480"/>
              <w:rPr>
                <w:rFonts w:ascii="宋体" w:hAnsi="宋体"/>
                <w:sz w:val="24"/>
                <w:szCs w:val="24"/>
              </w:rPr>
            </w:pPr>
            <w:r>
              <w:rPr>
                <w:rFonts w:ascii="宋体" w:hAnsi="宋体"/>
                <w:sz w:val="24"/>
                <w:szCs w:val="24"/>
              </w:rPr>
              <w:t>对星时间：≤2</w:t>
            </w:r>
            <w:r>
              <w:rPr>
                <w:rFonts w:hint="eastAsia" w:ascii="宋体" w:hAnsi="宋体"/>
                <w:sz w:val="24"/>
                <w:szCs w:val="24"/>
              </w:rPr>
              <w:t>分钟</w:t>
            </w:r>
            <w:r>
              <w:rPr>
                <w:rFonts w:ascii="宋体" w:hAnsi="宋体"/>
                <w:sz w:val="24"/>
                <w:szCs w:val="24"/>
              </w:rPr>
              <w:t>；</w:t>
            </w:r>
          </w:p>
          <w:p w14:paraId="23B1D2A0">
            <w:pPr>
              <w:pStyle w:val="25"/>
              <w:numPr>
                <w:ilvl w:val="0"/>
                <w:numId w:val="3"/>
              </w:numPr>
              <w:spacing w:line="300" w:lineRule="auto"/>
              <w:ind w:firstLine="480"/>
              <w:rPr>
                <w:rFonts w:ascii="宋体" w:hAnsi="宋体"/>
                <w:sz w:val="24"/>
                <w:szCs w:val="24"/>
              </w:rPr>
            </w:pPr>
            <w:r>
              <w:rPr>
                <w:rFonts w:hint="eastAsia" w:ascii="宋体" w:hAnsi="宋体"/>
                <w:sz w:val="24"/>
                <w:szCs w:val="24"/>
              </w:rPr>
              <w:t>对星方式：支持信标</w:t>
            </w:r>
            <w:r>
              <w:rPr>
                <w:rFonts w:ascii="宋体" w:hAnsi="宋体"/>
                <w:sz w:val="24"/>
                <w:szCs w:val="24"/>
              </w:rPr>
              <w:t xml:space="preserve">对星； </w:t>
            </w:r>
          </w:p>
          <w:p w14:paraId="4B198003">
            <w:pPr>
              <w:pStyle w:val="25"/>
              <w:numPr>
                <w:ilvl w:val="0"/>
                <w:numId w:val="3"/>
              </w:numPr>
              <w:spacing w:line="300" w:lineRule="auto"/>
              <w:ind w:firstLine="480"/>
              <w:rPr>
                <w:rFonts w:ascii="宋体" w:hAnsi="宋体"/>
                <w:sz w:val="24"/>
                <w:szCs w:val="24"/>
              </w:rPr>
            </w:pPr>
            <w:r>
              <w:rPr>
                <w:rFonts w:hint="eastAsia" w:ascii="宋体" w:hAnsi="宋体"/>
                <w:sz w:val="24"/>
                <w:szCs w:val="24"/>
              </w:rPr>
              <w:t>管理界面：</w:t>
            </w:r>
            <w:r>
              <w:rPr>
                <w:rFonts w:ascii="宋体" w:hAnsi="宋体"/>
                <w:sz w:val="24"/>
                <w:szCs w:val="24"/>
              </w:rPr>
              <w:t>A</w:t>
            </w:r>
            <w:r>
              <w:rPr>
                <w:rFonts w:hint="eastAsia" w:ascii="宋体" w:hAnsi="宋体"/>
                <w:sz w:val="24"/>
                <w:szCs w:val="24"/>
              </w:rPr>
              <w:t>pp</w:t>
            </w:r>
            <w:r>
              <w:rPr>
                <w:rFonts w:ascii="宋体" w:hAnsi="宋体"/>
                <w:sz w:val="24"/>
                <w:szCs w:val="24"/>
              </w:rPr>
              <w:t>/Web界面</w:t>
            </w:r>
            <w:r>
              <w:rPr>
                <w:rFonts w:hint="eastAsia" w:ascii="宋体" w:hAnsi="宋体"/>
                <w:sz w:val="24"/>
                <w:szCs w:val="24"/>
              </w:rPr>
              <w:t>；</w:t>
            </w:r>
          </w:p>
          <w:p w14:paraId="08EEC44F">
            <w:pPr>
              <w:pStyle w:val="25"/>
              <w:numPr>
                <w:ilvl w:val="0"/>
                <w:numId w:val="3"/>
              </w:numPr>
              <w:spacing w:line="300" w:lineRule="auto"/>
              <w:ind w:firstLine="480"/>
              <w:rPr>
                <w:rFonts w:ascii="宋体" w:hAnsi="宋体"/>
                <w:sz w:val="24"/>
                <w:szCs w:val="24"/>
              </w:rPr>
            </w:pPr>
            <w:r>
              <w:rPr>
                <w:rFonts w:hint="eastAsia" w:ascii="宋体" w:hAnsi="宋体"/>
                <w:sz w:val="24"/>
                <w:szCs w:val="24"/>
              </w:rPr>
              <w:t>★定位方式</w:t>
            </w:r>
            <w:r>
              <w:rPr>
                <w:rFonts w:ascii="宋体" w:hAnsi="宋体"/>
                <w:sz w:val="24"/>
                <w:szCs w:val="24"/>
              </w:rPr>
              <w:t>/位置信息上报：支持单北斗定位模式，符合北斗规模应用要求</w:t>
            </w:r>
            <w:r>
              <w:rPr>
                <w:rFonts w:ascii="宋体" w:hAnsi="宋体"/>
                <w:b/>
                <w:sz w:val="24"/>
                <w:szCs w:val="24"/>
              </w:rPr>
              <w:t>（需提交由国家认可具有北斗检测资质的检测机构出具的检测证明材料</w:t>
            </w:r>
            <w:r>
              <w:rPr>
                <w:rFonts w:hint="eastAsia" w:ascii="宋体" w:hAnsi="宋体"/>
                <w:b/>
                <w:bCs/>
                <w:sz w:val="24"/>
                <w:szCs w:val="24"/>
              </w:rPr>
              <w:t>予以佐证</w:t>
            </w:r>
            <w:r>
              <w:rPr>
                <w:rFonts w:ascii="宋体" w:hAnsi="宋体"/>
                <w:b/>
                <w:sz w:val="24"/>
                <w:szCs w:val="24"/>
              </w:rPr>
              <w:t>）</w:t>
            </w:r>
            <w:r>
              <w:rPr>
                <w:rFonts w:hint="eastAsia" w:ascii="宋体" w:hAnsi="宋体"/>
                <w:sz w:val="24"/>
                <w:szCs w:val="24"/>
              </w:rPr>
              <w:t>；</w:t>
            </w:r>
          </w:p>
          <w:p w14:paraId="4AB36BEC">
            <w:pPr>
              <w:pStyle w:val="25"/>
              <w:numPr>
                <w:ilvl w:val="0"/>
                <w:numId w:val="3"/>
              </w:numPr>
              <w:spacing w:line="300" w:lineRule="auto"/>
              <w:ind w:firstLine="480"/>
              <w:rPr>
                <w:rFonts w:ascii="宋体" w:hAnsi="宋体"/>
                <w:sz w:val="24"/>
                <w:szCs w:val="24"/>
              </w:rPr>
            </w:pPr>
            <w:r>
              <w:rPr>
                <w:rFonts w:hint="eastAsia" w:ascii="宋体" w:hAnsi="宋体"/>
                <w:sz w:val="24"/>
                <w:szCs w:val="24"/>
              </w:rPr>
              <w:t>对外接口：</w:t>
            </w:r>
            <w:r>
              <w:rPr>
                <w:rFonts w:ascii="宋体" w:hAnsi="宋体"/>
                <w:sz w:val="24"/>
                <w:szCs w:val="24"/>
              </w:rPr>
              <w:t>10/100/1000BaseT 802.1q 以太网端口、Wi-Fi；</w:t>
            </w:r>
          </w:p>
          <w:p w14:paraId="547E9FBE">
            <w:pPr>
              <w:pStyle w:val="25"/>
              <w:numPr>
                <w:ilvl w:val="0"/>
                <w:numId w:val="3"/>
              </w:numPr>
              <w:spacing w:line="300" w:lineRule="auto"/>
              <w:ind w:firstLine="480"/>
              <w:rPr>
                <w:rFonts w:ascii="宋体" w:hAnsi="宋体"/>
                <w:sz w:val="24"/>
                <w:szCs w:val="24"/>
              </w:rPr>
            </w:pPr>
            <w:r>
              <w:rPr>
                <w:rFonts w:ascii="宋体" w:hAnsi="宋体"/>
                <w:sz w:val="24"/>
                <w:szCs w:val="24"/>
              </w:rPr>
              <w:t>整机功耗：≤65W</w:t>
            </w:r>
            <w:r>
              <w:rPr>
                <w:rFonts w:hint="eastAsia" w:ascii="宋体" w:hAnsi="宋体"/>
                <w:sz w:val="24"/>
                <w:szCs w:val="24"/>
              </w:rPr>
              <w:t>（典型值）</w:t>
            </w:r>
            <w:r>
              <w:rPr>
                <w:rFonts w:ascii="宋体" w:hAnsi="宋体"/>
                <w:sz w:val="24"/>
                <w:szCs w:val="24"/>
              </w:rPr>
              <w:t>；</w:t>
            </w:r>
          </w:p>
          <w:p w14:paraId="68DBEC00">
            <w:pPr>
              <w:pStyle w:val="25"/>
              <w:numPr>
                <w:ilvl w:val="0"/>
                <w:numId w:val="3"/>
              </w:numPr>
              <w:spacing w:line="300" w:lineRule="auto"/>
              <w:ind w:firstLine="480"/>
              <w:rPr>
                <w:rFonts w:ascii="宋体" w:hAnsi="宋体"/>
                <w:sz w:val="24"/>
                <w:szCs w:val="24"/>
              </w:rPr>
            </w:pPr>
            <w:r>
              <w:rPr>
                <w:rFonts w:ascii="宋体" w:hAnsi="宋体"/>
                <w:sz w:val="24"/>
                <w:szCs w:val="24"/>
              </w:rPr>
              <w:t>电池供电</w:t>
            </w:r>
            <w:r>
              <w:rPr>
                <w:rFonts w:hint="eastAsia" w:ascii="宋体" w:hAnsi="宋体"/>
                <w:sz w:val="24"/>
                <w:szCs w:val="24"/>
              </w:rPr>
              <w:t>工作</w:t>
            </w:r>
            <w:r>
              <w:rPr>
                <w:rFonts w:ascii="宋体" w:hAnsi="宋体"/>
                <w:sz w:val="24"/>
                <w:szCs w:val="24"/>
              </w:rPr>
              <w:t>时长≥1.5小时；</w:t>
            </w:r>
          </w:p>
          <w:p w14:paraId="7807BE89">
            <w:pPr>
              <w:pStyle w:val="25"/>
              <w:numPr>
                <w:ilvl w:val="0"/>
                <w:numId w:val="3"/>
              </w:numPr>
              <w:spacing w:line="300" w:lineRule="auto"/>
              <w:ind w:firstLine="480"/>
              <w:rPr>
                <w:rFonts w:ascii="宋体" w:hAnsi="宋体"/>
                <w:sz w:val="24"/>
                <w:szCs w:val="24"/>
              </w:rPr>
            </w:pPr>
            <w:r>
              <w:rPr>
                <w:rFonts w:hint="eastAsia" w:ascii="宋体" w:hAnsi="宋体"/>
                <w:sz w:val="24"/>
                <w:szCs w:val="24"/>
              </w:rPr>
              <w:t>★</w:t>
            </w:r>
            <w:r>
              <w:rPr>
                <w:rFonts w:ascii="宋体" w:hAnsi="宋体"/>
                <w:sz w:val="24"/>
                <w:szCs w:val="24"/>
              </w:rPr>
              <w:t>设备尺寸：≤4</w:t>
            </w:r>
            <w:r>
              <w:rPr>
                <w:rFonts w:hint="eastAsia" w:ascii="宋体" w:hAnsi="宋体"/>
                <w:sz w:val="24"/>
                <w:szCs w:val="24"/>
              </w:rPr>
              <w:t>20</w:t>
            </w:r>
            <w:r>
              <w:rPr>
                <w:rFonts w:ascii="宋体" w:hAnsi="宋体"/>
                <w:sz w:val="24"/>
                <w:szCs w:val="24"/>
              </w:rPr>
              <w:t>*3</w:t>
            </w:r>
            <w:r>
              <w:rPr>
                <w:rFonts w:hint="eastAsia" w:ascii="宋体" w:hAnsi="宋体"/>
                <w:sz w:val="24"/>
                <w:szCs w:val="24"/>
              </w:rPr>
              <w:t>30</w:t>
            </w:r>
            <w:r>
              <w:rPr>
                <w:rFonts w:ascii="宋体" w:hAnsi="宋体"/>
                <w:sz w:val="24"/>
                <w:szCs w:val="24"/>
              </w:rPr>
              <w:t>*</w:t>
            </w:r>
            <w:r>
              <w:rPr>
                <w:rFonts w:hint="eastAsia" w:ascii="宋体" w:hAnsi="宋体"/>
                <w:sz w:val="24"/>
                <w:szCs w:val="24"/>
              </w:rPr>
              <w:t>120</w:t>
            </w:r>
            <w:r>
              <w:rPr>
                <w:rFonts w:ascii="宋体" w:hAnsi="宋体"/>
                <w:sz w:val="24"/>
                <w:szCs w:val="24"/>
              </w:rPr>
              <w:t>mm；</w:t>
            </w:r>
          </w:p>
          <w:p w14:paraId="620C7128">
            <w:pPr>
              <w:pStyle w:val="25"/>
              <w:numPr>
                <w:ilvl w:val="0"/>
                <w:numId w:val="3"/>
              </w:numPr>
              <w:spacing w:line="300" w:lineRule="auto"/>
              <w:ind w:firstLine="480"/>
              <w:rPr>
                <w:rFonts w:ascii="宋体" w:hAnsi="宋体"/>
                <w:sz w:val="24"/>
                <w:szCs w:val="24"/>
              </w:rPr>
            </w:pPr>
            <w:r>
              <w:rPr>
                <w:rFonts w:ascii="宋体" w:hAnsi="宋体"/>
                <w:sz w:val="24"/>
                <w:szCs w:val="24"/>
              </w:rPr>
              <w:t>防护等级：≥IP6</w:t>
            </w:r>
            <w:r>
              <w:rPr>
                <w:rFonts w:hint="eastAsia" w:ascii="宋体" w:hAnsi="宋体"/>
                <w:sz w:val="24"/>
                <w:szCs w:val="24"/>
              </w:rPr>
              <w:t>6</w:t>
            </w:r>
            <w:r>
              <w:rPr>
                <w:rFonts w:ascii="宋体" w:hAnsi="宋体"/>
                <w:sz w:val="24"/>
                <w:szCs w:val="24"/>
              </w:rPr>
              <w:t>；</w:t>
            </w:r>
          </w:p>
          <w:p w14:paraId="31900BF7">
            <w:pPr>
              <w:pStyle w:val="25"/>
              <w:numPr>
                <w:ilvl w:val="0"/>
                <w:numId w:val="3"/>
              </w:numPr>
              <w:spacing w:line="300" w:lineRule="auto"/>
              <w:ind w:firstLine="480"/>
              <w:rPr>
                <w:rFonts w:ascii="宋体" w:hAnsi="宋体"/>
                <w:sz w:val="24"/>
                <w:szCs w:val="24"/>
              </w:rPr>
            </w:pPr>
            <w:r>
              <w:rPr>
                <w:rFonts w:hint="eastAsia" w:ascii="宋体" w:hAnsi="宋体"/>
                <w:sz w:val="24"/>
                <w:szCs w:val="24"/>
              </w:rPr>
              <w:t>★</w:t>
            </w:r>
            <w:r>
              <w:rPr>
                <w:rFonts w:ascii="宋体" w:hAnsi="宋体"/>
                <w:sz w:val="24"/>
                <w:szCs w:val="24"/>
              </w:rPr>
              <w:t>设备净重：≤6.</w:t>
            </w:r>
            <w:r>
              <w:rPr>
                <w:rFonts w:hint="eastAsia" w:ascii="宋体" w:hAnsi="宋体"/>
                <w:sz w:val="24"/>
                <w:szCs w:val="24"/>
              </w:rPr>
              <w:t>8</w:t>
            </w:r>
            <w:r>
              <w:rPr>
                <w:rFonts w:ascii="宋体" w:hAnsi="宋体"/>
                <w:sz w:val="24"/>
                <w:szCs w:val="24"/>
              </w:rPr>
              <w:t>kg；</w:t>
            </w:r>
          </w:p>
          <w:p w14:paraId="7E32E295">
            <w:pPr>
              <w:pStyle w:val="25"/>
              <w:numPr>
                <w:ilvl w:val="0"/>
                <w:numId w:val="3"/>
              </w:numPr>
              <w:spacing w:line="300" w:lineRule="auto"/>
              <w:ind w:firstLine="480"/>
              <w:rPr>
                <w:rFonts w:ascii="宋体" w:hAnsi="宋体"/>
                <w:sz w:val="24"/>
                <w:szCs w:val="24"/>
              </w:rPr>
            </w:pPr>
            <w:r>
              <w:rPr>
                <w:rFonts w:hint="eastAsia" w:ascii="宋体" w:hAnsi="宋体"/>
                <w:sz w:val="24"/>
                <w:szCs w:val="24"/>
              </w:rPr>
              <w:t>工作温度：-25℃～+55℃；</w:t>
            </w:r>
          </w:p>
          <w:p w14:paraId="77F3D9C4">
            <w:pPr>
              <w:numPr>
                <w:ilvl w:val="0"/>
                <w:numId w:val="3"/>
              </w:numPr>
              <w:spacing w:line="300" w:lineRule="auto"/>
              <w:ind w:firstLine="482" w:firstLineChars="200"/>
              <w:rPr>
                <w:rFonts w:ascii="宋体" w:hAnsi="宋体"/>
                <w:b/>
                <w:bCs/>
                <w:sz w:val="24"/>
              </w:rPr>
            </w:pPr>
            <w:bookmarkStart w:id="65" w:name="_Hlk168559063"/>
            <w:r>
              <w:rPr>
                <w:rFonts w:hint="eastAsia" w:ascii="宋体" w:hAnsi="宋体"/>
                <w:b/>
                <w:bCs/>
                <w:sz w:val="24"/>
              </w:rPr>
              <w:t>内置高通量卫星调制解调器指标满足：</w:t>
            </w:r>
          </w:p>
          <w:p w14:paraId="63E6546F">
            <w:pPr>
              <w:pStyle w:val="25"/>
              <w:numPr>
                <w:ilvl w:val="0"/>
                <w:numId w:val="3"/>
              </w:numPr>
              <w:spacing w:line="300" w:lineRule="auto"/>
              <w:ind w:firstLine="480"/>
              <w:rPr>
                <w:rFonts w:ascii="宋体" w:hAnsi="宋体"/>
                <w:sz w:val="24"/>
                <w:szCs w:val="24"/>
              </w:rPr>
            </w:pPr>
            <w:r>
              <w:rPr>
                <w:rFonts w:hint="eastAsia" w:ascii="宋体" w:hAnsi="宋体" w:cs="宋体"/>
                <w:sz w:val="24"/>
                <w:szCs w:val="24"/>
              </w:rPr>
              <w:t>★</w:t>
            </w:r>
            <w:r>
              <w:rPr>
                <w:rFonts w:hint="eastAsia" w:ascii="宋体" w:hAnsi="宋体"/>
                <w:sz w:val="24"/>
                <w:szCs w:val="24"/>
              </w:rPr>
              <w:t>支持接入亚太</w:t>
            </w:r>
            <w:r>
              <w:rPr>
                <w:rFonts w:ascii="宋体" w:hAnsi="宋体"/>
                <w:sz w:val="24"/>
                <w:szCs w:val="24"/>
              </w:rPr>
              <w:t>6D国产</w:t>
            </w:r>
            <w:r>
              <w:rPr>
                <w:rFonts w:hint="eastAsia" w:ascii="宋体" w:hAnsi="宋体"/>
                <w:sz w:val="24"/>
                <w:szCs w:val="24"/>
              </w:rPr>
              <w:t>TDMA体制基带系统</w:t>
            </w:r>
          </w:p>
          <w:p w14:paraId="4BBA318D">
            <w:pPr>
              <w:pStyle w:val="25"/>
              <w:numPr>
                <w:ilvl w:val="0"/>
                <w:numId w:val="3"/>
              </w:numPr>
              <w:spacing w:line="300" w:lineRule="auto"/>
              <w:ind w:firstLine="480"/>
              <w:rPr>
                <w:rFonts w:ascii="宋体" w:hAnsi="宋体"/>
                <w:sz w:val="24"/>
                <w:szCs w:val="24"/>
              </w:rPr>
            </w:pPr>
            <w:r>
              <w:rPr>
                <w:rFonts w:hint="eastAsia" w:ascii="宋体" w:hAnsi="宋体"/>
                <w:sz w:val="24"/>
                <w:szCs w:val="24"/>
              </w:rPr>
              <w:t>调制解调方式：前向：</w:t>
            </w:r>
            <w:r>
              <w:rPr>
                <w:rFonts w:ascii="宋体" w:hAnsi="宋体"/>
                <w:sz w:val="24"/>
                <w:szCs w:val="24"/>
              </w:rPr>
              <w:t>QPSK, 8PSK, 16APSK, 32APSK</w:t>
            </w:r>
            <w:r>
              <w:rPr>
                <w:rFonts w:hint="eastAsia" w:ascii="宋体" w:hAnsi="宋体"/>
                <w:sz w:val="24"/>
                <w:szCs w:val="24"/>
              </w:rPr>
              <w:t>，反向：</w:t>
            </w:r>
            <w:r>
              <w:rPr>
                <w:rFonts w:ascii="宋体" w:hAnsi="宋体"/>
                <w:sz w:val="24"/>
                <w:szCs w:val="24"/>
              </w:rPr>
              <w:t xml:space="preserve">QPSK, 8PSK, 16QAM； </w:t>
            </w:r>
          </w:p>
          <w:p w14:paraId="63A55F9E">
            <w:pPr>
              <w:numPr>
                <w:ilvl w:val="0"/>
                <w:numId w:val="3"/>
              </w:numPr>
              <w:spacing w:line="360" w:lineRule="auto"/>
              <w:ind w:firstLine="480" w:firstLineChars="200"/>
              <w:jc w:val="left"/>
              <w:rPr>
                <w:rFonts w:ascii="宋体" w:hAnsi="宋体"/>
                <w:b/>
                <w:bCs/>
                <w:sz w:val="24"/>
              </w:rPr>
            </w:pPr>
            <w:r>
              <w:rPr>
                <w:rFonts w:hint="eastAsia" w:ascii="宋体" w:hAnsi="宋体" w:cs="宋体"/>
                <w:sz w:val="24"/>
              </w:rPr>
              <w:t>★</w:t>
            </w:r>
            <w:r>
              <w:rPr>
                <w:rFonts w:hint="eastAsia" w:ascii="宋体" w:hAnsi="宋体"/>
                <w:sz w:val="24"/>
              </w:rPr>
              <w:t>符号</w:t>
            </w:r>
            <w:r>
              <w:rPr>
                <w:rFonts w:ascii="宋体" w:hAnsi="宋体"/>
                <w:sz w:val="24"/>
              </w:rPr>
              <w:t>速率：</w:t>
            </w:r>
            <w:r>
              <w:rPr>
                <w:rFonts w:hint="eastAsia" w:ascii="宋体" w:hAnsi="宋体"/>
                <w:sz w:val="24"/>
              </w:rPr>
              <w:t>前向：</w:t>
            </w:r>
            <w:r>
              <w:rPr>
                <w:rFonts w:ascii="宋体" w:hAnsi="宋体"/>
                <w:sz w:val="24"/>
              </w:rPr>
              <w:t>1Msps～45Msps</w:t>
            </w:r>
            <w:r>
              <w:rPr>
                <w:rFonts w:hint="eastAsia" w:ascii="宋体" w:hAnsi="宋体"/>
                <w:sz w:val="24"/>
              </w:rPr>
              <w:t>，反向：</w:t>
            </w:r>
            <w:r>
              <w:rPr>
                <w:rFonts w:ascii="宋体" w:hAnsi="宋体"/>
                <w:sz w:val="24"/>
              </w:rPr>
              <w:t>256ksps～10Msps；</w:t>
            </w:r>
            <w:bookmarkEnd w:id="65"/>
          </w:p>
          <w:p w14:paraId="15814511">
            <w:pPr>
              <w:spacing w:line="360" w:lineRule="auto"/>
              <w:jc w:val="left"/>
              <w:rPr>
                <w:rFonts w:ascii="宋体" w:hAnsi="宋体"/>
                <w:b/>
                <w:bCs/>
                <w:sz w:val="24"/>
              </w:rPr>
            </w:pPr>
            <w:r>
              <w:rPr>
                <w:rFonts w:hint="eastAsia" w:ascii="宋体" w:hAnsi="宋体"/>
                <w:b/>
                <w:bCs/>
                <w:sz w:val="24"/>
              </w:rPr>
              <w:t>卫星通APP</w:t>
            </w:r>
          </w:p>
          <w:p w14:paraId="45BA5F87">
            <w:pPr>
              <w:numPr>
                <w:ilvl w:val="0"/>
                <w:numId w:val="4"/>
              </w:numPr>
              <w:tabs>
                <w:tab w:val="left" w:pos="1134"/>
              </w:tabs>
              <w:adjustRightInd w:val="0"/>
              <w:snapToGrid w:val="0"/>
              <w:spacing w:line="300" w:lineRule="auto"/>
              <w:ind w:firstLine="480" w:firstLineChars="200"/>
              <w:textAlignment w:val="baseline"/>
              <w:rPr>
                <w:rFonts w:ascii="宋体" w:hAnsi="宋体"/>
                <w:sz w:val="24"/>
              </w:rPr>
            </w:pPr>
            <w:r>
              <w:rPr>
                <w:rFonts w:hint="eastAsia" w:ascii="宋体" w:hAnsi="宋体"/>
                <w:sz w:val="24"/>
              </w:rPr>
              <w:t>支持一键对星入网功能，简化用户操作；</w:t>
            </w:r>
          </w:p>
          <w:p w14:paraId="0018CABC">
            <w:pPr>
              <w:numPr>
                <w:ilvl w:val="0"/>
                <w:numId w:val="4"/>
              </w:numPr>
              <w:tabs>
                <w:tab w:val="left" w:pos="1134"/>
              </w:tabs>
              <w:adjustRightInd w:val="0"/>
              <w:snapToGrid w:val="0"/>
              <w:spacing w:line="300" w:lineRule="auto"/>
              <w:ind w:firstLine="480" w:firstLineChars="200"/>
              <w:textAlignment w:val="baseline"/>
              <w:rPr>
                <w:rFonts w:ascii="宋体" w:hAnsi="宋体"/>
                <w:sz w:val="24"/>
              </w:rPr>
            </w:pPr>
            <w:r>
              <w:rPr>
                <w:rFonts w:hint="eastAsia" w:ascii="宋体" w:hAnsi="宋体"/>
                <w:sz w:val="24"/>
              </w:rPr>
              <w:t>支持根据九轴、北斗、光电开关等传感器对方位、俯仰、极化电机进行控制；</w:t>
            </w:r>
          </w:p>
          <w:p w14:paraId="5AE4690A">
            <w:pPr>
              <w:numPr>
                <w:ilvl w:val="0"/>
                <w:numId w:val="4"/>
              </w:numPr>
              <w:tabs>
                <w:tab w:val="left" w:pos="1134"/>
              </w:tabs>
              <w:adjustRightInd w:val="0"/>
              <w:snapToGrid w:val="0"/>
              <w:spacing w:line="300" w:lineRule="auto"/>
              <w:ind w:firstLine="480" w:firstLineChars="200"/>
              <w:textAlignment w:val="baseline"/>
              <w:rPr>
                <w:rFonts w:ascii="宋体" w:hAnsi="宋体"/>
                <w:sz w:val="24"/>
              </w:rPr>
            </w:pPr>
            <w:r>
              <w:rPr>
                <w:rFonts w:hint="eastAsia" w:ascii="宋体" w:hAnsi="宋体"/>
                <w:sz w:val="24"/>
              </w:rPr>
              <w:t>支持通过APP实现整机的状态监控；</w:t>
            </w:r>
          </w:p>
          <w:p w14:paraId="15C647F6">
            <w:pPr>
              <w:numPr>
                <w:ilvl w:val="0"/>
                <w:numId w:val="4"/>
              </w:numPr>
              <w:tabs>
                <w:tab w:val="left" w:pos="1134"/>
              </w:tabs>
              <w:adjustRightInd w:val="0"/>
              <w:snapToGrid w:val="0"/>
              <w:spacing w:line="300" w:lineRule="auto"/>
              <w:ind w:firstLine="480" w:firstLineChars="200"/>
              <w:textAlignment w:val="baseline"/>
              <w:rPr>
                <w:rFonts w:ascii="宋体" w:hAnsi="宋体"/>
                <w:sz w:val="24"/>
              </w:rPr>
            </w:pPr>
            <w:r>
              <w:rPr>
                <w:rFonts w:hint="eastAsia" w:ascii="宋体" w:hAnsi="宋体"/>
                <w:sz w:val="24"/>
              </w:rPr>
              <w:t>支持具备不平坦地面的对星功能，可以适应多种地形使用</w:t>
            </w:r>
          </w:p>
          <w:p w14:paraId="7F9BBDE0">
            <w:pPr>
              <w:numPr>
                <w:ilvl w:val="0"/>
                <w:numId w:val="4"/>
              </w:numPr>
              <w:spacing w:line="360" w:lineRule="auto"/>
              <w:ind w:firstLine="480" w:firstLineChars="200"/>
              <w:jc w:val="left"/>
              <w:rPr>
                <w:rFonts w:ascii="宋体" w:hAnsi="宋体" w:cs="Calibri"/>
                <w:bCs/>
                <w:sz w:val="24"/>
              </w:rPr>
            </w:pPr>
            <w:r>
              <w:rPr>
                <w:rFonts w:hint="eastAsia" w:ascii="宋体" w:hAnsi="宋体" w:cs="宋体"/>
                <w:sz w:val="24"/>
              </w:rPr>
              <w:t>★</w:t>
            </w:r>
            <w:r>
              <w:rPr>
                <w:rFonts w:hint="eastAsia" w:ascii="宋体" w:hAnsi="宋体"/>
                <w:sz w:val="24"/>
              </w:rPr>
              <w:t>提供卫星便携站终端控制软件的软件著作权证书</w:t>
            </w:r>
          </w:p>
        </w:tc>
        <w:tc>
          <w:tcPr>
            <w:tcW w:w="1490" w:type="dxa"/>
            <w:vAlign w:val="center"/>
          </w:tcPr>
          <w:p w14:paraId="27ADBA3A">
            <w:pPr>
              <w:spacing w:line="360" w:lineRule="auto"/>
              <w:jc w:val="center"/>
              <w:rPr>
                <w:rFonts w:ascii="宋体" w:hAnsi="宋体" w:cs="Calibri"/>
                <w:bCs/>
                <w:sz w:val="24"/>
              </w:rPr>
            </w:pPr>
            <w:r>
              <w:rPr>
                <w:rFonts w:hint="eastAsia"/>
              </w:rPr>
              <w:t>1台</w:t>
            </w:r>
          </w:p>
        </w:tc>
      </w:tr>
      <w:tr w14:paraId="02FA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913" w:type="dxa"/>
            <w:vAlign w:val="center"/>
          </w:tcPr>
          <w:p w14:paraId="0548CB7B">
            <w:pPr>
              <w:spacing w:line="360" w:lineRule="auto"/>
              <w:jc w:val="center"/>
              <w:rPr>
                <w:rFonts w:ascii="宋体" w:hAnsi="宋体" w:cs="Calibri"/>
                <w:bCs/>
                <w:sz w:val="24"/>
              </w:rPr>
            </w:pPr>
            <w:r>
              <w:rPr>
                <w:rFonts w:hint="eastAsia" w:ascii="宋体" w:hAnsi="宋体" w:cs="Calibri"/>
                <w:bCs/>
                <w:sz w:val="24"/>
              </w:rPr>
              <w:t>应急指挥通信箱</w:t>
            </w:r>
          </w:p>
        </w:tc>
        <w:tc>
          <w:tcPr>
            <w:tcW w:w="5976" w:type="dxa"/>
          </w:tcPr>
          <w:p w14:paraId="6BF77A3A">
            <w:pPr>
              <w:spacing w:line="360" w:lineRule="auto"/>
              <w:jc w:val="left"/>
              <w:rPr>
                <w:rFonts w:ascii="宋体" w:hAnsi="宋体" w:cs="Calibri"/>
                <w:b/>
                <w:sz w:val="24"/>
              </w:rPr>
            </w:pPr>
            <w:r>
              <w:rPr>
                <w:rFonts w:hint="eastAsia" w:ascii="宋体" w:hAnsi="宋体" w:cs="Calibri"/>
                <w:b/>
                <w:sz w:val="24"/>
              </w:rPr>
              <w:t>支持视频调度、语音调度、视频会商、地图调度和远程录像等可视化指挥调度功能，快速搭建可视化调度平台。具体参数如下：</w:t>
            </w:r>
          </w:p>
          <w:p w14:paraId="40D30E51">
            <w:pPr>
              <w:rPr>
                <w:rFonts w:ascii="宋体" w:hAnsi="宋体" w:cs="宋体"/>
                <w:sz w:val="24"/>
              </w:rPr>
            </w:pPr>
            <w:r>
              <w:rPr>
                <w:rFonts w:hint="eastAsia" w:ascii="宋体" w:hAnsi="宋体" w:cs="宋体"/>
                <w:sz w:val="24"/>
              </w:rPr>
              <w:t>1.一体化拉杆箱滚轮设计。设备尺寸≤580mm×360mm×250mm，重量≤25kg。</w:t>
            </w:r>
          </w:p>
          <w:p w14:paraId="7B0A5C81">
            <w:pPr>
              <w:rPr>
                <w:rFonts w:ascii="宋体" w:hAnsi="宋体" w:cs="宋体"/>
                <w:sz w:val="24"/>
              </w:rPr>
            </w:pPr>
            <w:r>
              <w:rPr>
                <w:rFonts w:hint="eastAsia" w:ascii="宋体" w:hAnsi="宋体" w:cs="宋体"/>
                <w:sz w:val="24"/>
              </w:rPr>
              <w:t>2.★整机集成指挥视频终端、调度台、音视频矩阵、电话、话筒、音箱、网络、锂电池等模块，具有视频指挥调度、视频切换、语音通信、显示控制、音源组合、电话值守、信息展示等功能。</w:t>
            </w:r>
          </w:p>
          <w:p w14:paraId="62CE86AD">
            <w:pPr>
              <w:rPr>
                <w:rFonts w:ascii="宋体" w:hAnsi="宋体" w:cs="宋体"/>
                <w:sz w:val="24"/>
              </w:rPr>
            </w:pPr>
            <w:r>
              <w:rPr>
                <w:rFonts w:hint="eastAsia" w:ascii="宋体" w:hAnsi="宋体" w:cs="宋体"/>
                <w:sz w:val="24"/>
              </w:rPr>
              <w:t>3.★具备接入三门峡市应急管理局指挥调度管理平台，对平台内图像资源进行视音频调度和语音对讲，可对图像资源的视频码率、分辨率、帧率等参数远程调节（提供证明材料或承诺函)。</w:t>
            </w:r>
          </w:p>
          <w:p w14:paraId="14706684">
            <w:pPr>
              <w:rPr>
                <w:rFonts w:ascii="宋体" w:hAnsi="宋体" w:cs="宋体"/>
                <w:sz w:val="24"/>
              </w:rPr>
            </w:pPr>
            <w:r>
              <w:rPr>
                <w:rFonts w:hint="eastAsia" w:ascii="宋体" w:hAnsi="宋体" w:cs="宋体"/>
                <w:sz w:val="24"/>
              </w:rPr>
              <w:t>4.设备面板上具备主控一键开关机，具备指挥终端、调度台、视频矩阵、音频矩阵、网络模块、电话模块、无线麦、内置摄像头模块独立开关机。</w:t>
            </w:r>
          </w:p>
          <w:p w14:paraId="27CB8E79">
            <w:pPr>
              <w:rPr>
                <w:rFonts w:ascii="宋体" w:hAnsi="宋体" w:cs="宋体"/>
                <w:sz w:val="24"/>
              </w:rPr>
            </w:pPr>
            <w:r>
              <w:rPr>
                <w:rFonts w:hint="eastAsia" w:ascii="宋体" w:hAnsi="宋体" w:cs="宋体"/>
                <w:sz w:val="24"/>
              </w:rPr>
              <w:t>5.支持通过语音控制音视频矩阵、网络模块、电话模块、内置摄像头模块、指挥终端等功能模块的开关机。</w:t>
            </w:r>
          </w:p>
          <w:p w14:paraId="2D70A47E">
            <w:pPr>
              <w:rPr>
                <w:rFonts w:ascii="宋体" w:hAnsi="宋体" w:cs="宋体"/>
                <w:sz w:val="24"/>
              </w:rPr>
            </w:pPr>
            <w:r>
              <w:rPr>
                <w:rFonts w:hint="eastAsia" w:ascii="宋体" w:hAnsi="宋体" w:cs="宋体"/>
                <w:sz w:val="24"/>
              </w:rPr>
              <w:t>6.支持视频调度、语音调度、视频会商、地图调度和远程录像等可视化指挥调度功能。</w:t>
            </w:r>
          </w:p>
          <w:p w14:paraId="01B251FB">
            <w:pPr>
              <w:rPr>
                <w:rFonts w:ascii="宋体" w:hAnsi="宋体" w:cs="宋体"/>
                <w:sz w:val="24"/>
              </w:rPr>
            </w:pPr>
            <w:r>
              <w:rPr>
                <w:rFonts w:hint="eastAsia" w:ascii="宋体" w:hAnsi="宋体" w:cs="宋体"/>
                <w:sz w:val="24"/>
              </w:rPr>
              <w:t>7.★支持在终端上直接创建和召开调度会议，并具备会议模板设置、音视频广播、视频轮询、云台控制、会议录像、预案调度、邀请、请出、锁定等会控功能。</w:t>
            </w:r>
          </w:p>
          <w:p w14:paraId="39A91B2E">
            <w:pPr>
              <w:rPr>
                <w:rFonts w:ascii="宋体" w:hAnsi="宋体" w:cs="宋体"/>
                <w:sz w:val="24"/>
              </w:rPr>
            </w:pPr>
            <w:r>
              <w:rPr>
                <w:rFonts w:hint="eastAsia" w:ascii="宋体" w:hAnsi="宋体" w:cs="宋体"/>
                <w:sz w:val="24"/>
              </w:rPr>
              <w:t>8.内置指挥调度软件，具备多分屏多画面显示，单屏具备画面≥30，分屏间视频画面具备鼠标拖拽漫游切换。</w:t>
            </w:r>
          </w:p>
          <w:p w14:paraId="3FFEA270">
            <w:pPr>
              <w:rPr>
                <w:rFonts w:ascii="宋体" w:hAnsi="宋体" w:cs="宋体"/>
                <w:sz w:val="24"/>
              </w:rPr>
            </w:pPr>
            <w:r>
              <w:rPr>
                <w:rFonts w:hint="eastAsia" w:ascii="宋体" w:hAnsi="宋体" w:cs="宋体"/>
                <w:sz w:val="24"/>
              </w:rPr>
              <w:t>9.支持通过触控屏操作控制画面分割，同时在显示屏中显示画面分割效果，画面分割控制数≥4。</w:t>
            </w:r>
          </w:p>
          <w:p w14:paraId="29C5F5A3">
            <w:pPr>
              <w:rPr>
                <w:rFonts w:ascii="宋体" w:hAnsi="宋体" w:cs="宋体"/>
                <w:sz w:val="24"/>
              </w:rPr>
            </w:pPr>
            <w:r>
              <w:rPr>
                <w:rFonts w:hint="eastAsia" w:ascii="宋体" w:hAnsi="宋体" w:cs="宋体"/>
                <w:sz w:val="24"/>
              </w:rPr>
              <w:t>10.</w:t>
            </w:r>
            <w:r>
              <w:rPr>
                <w:rFonts w:hint="eastAsia" w:ascii="宋体" w:hAnsi="宋体" w:cs="宋体"/>
                <w:sz w:val="24"/>
              </w:rPr>
              <w:tab/>
            </w:r>
            <w:r>
              <w:rPr>
                <w:rFonts w:hint="eastAsia" w:ascii="宋体" w:hAnsi="宋体" w:cs="宋体"/>
                <w:sz w:val="24"/>
              </w:rPr>
              <w:t>支持电话呼入呼出功能，支持呼叫手机、座机等语音设备;支持与无线对讲机集群语音通信。</w:t>
            </w:r>
          </w:p>
          <w:p w14:paraId="4E3C8E6F">
            <w:pPr>
              <w:rPr>
                <w:rFonts w:ascii="宋体" w:hAnsi="宋体" w:cs="宋体"/>
                <w:sz w:val="24"/>
              </w:rPr>
            </w:pPr>
            <w:r>
              <w:rPr>
                <w:rFonts w:hint="eastAsia" w:ascii="宋体" w:hAnsi="宋体" w:cs="宋体"/>
                <w:sz w:val="24"/>
              </w:rPr>
              <w:t>11.</w:t>
            </w:r>
            <w:r>
              <w:rPr>
                <w:rFonts w:hint="eastAsia" w:ascii="宋体" w:hAnsi="宋体" w:cs="宋体"/>
                <w:sz w:val="24"/>
              </w:rPr>
              <w:tab/>
            </w:r>
            <w:r>
              <w:rPr>
                <w:rFonts w:hint="eastAsia" w:ascii="宋体" w:hAnsi="宋体" w:cs="宋体"/>
                <w:sz w:val="24"/>
              </w:rPr>
              <w:t>支持多码流，具有高码流、中码流、低码流可选。</w:t>
            </w:r>
          </w:p>
          <w:p w14:paraId="00003B1B">
            <w:pPr>
              <w:rPr>
                <w:rFonts w:ascii="宋体" w:hAnsi="宋体" w:cs="宋体"/>
                <w:sz w:val="24"/>
              </w:rPr>
            </w:pPr>
            <w:r>
              <w:rPr>
                <w:rFonts w:hint="eastAsia" w:ascii="宋体" w:hAnsi="宋体" w:cs="宋体"/>
                <w:sz w:val="24"/>
              </w:rPr>
              <w:t>12.</w:t>
            </w:r>
            <w:r>
              <w:rPr>
                <w:rFonts w:hint="eastAsia" w:ascii="宋体" w:hAnsi="宋体" w:cs="宋体"/>
                <w:sz w:val="24"/>
              </w:rPr>
              <w:tab/>
            </w:r>
            <w:r>
              <w:rPr>
                <w:rFonts w:hint="eastAsia" w:ascii="宋体" w:hAnsi="宋体" w:cs="宋体"/>
                <w:sz w:val="24"/>
              </w:rPr>
              <w:t>视频支持H.265/H.264BP/H.264HP;</w:t>
            </w:r>
          </w:p>
          <w:p w14:paraId="55BB0CB0">
            <w:pPr>
              <w:rPr>
                <w:rFonts w:ascii="宋体" w:hAnsi="宋体" w:cs="宋体"/>
                <w:sz w:val="24"/>
              </w:rPr>
            </w:pPr>
            <w:r>
              <w:rPr>
                <w:rFonts w:hint="eastAsia" w:ascii="宋体" w:hAnsi="宋体" w:cs="宋体"/>
                <w:sz w:val="24"/>
              </w:rPr>
              <w:t>13.★视频分辨率支持4K（3840×2160）、1080P（1920×1080）、720P（1280×720）、AUTO；帧率支持1fps/5fps/10fps/15fps/30fps/60fps。</w:t>
            </w:r>
          </w:p>
          <w:p w14:paraId="1AFF878D">
            <w:pPr>
              <w:rPr>
                <w:rFonts w:ascii="宋体" w:hAnsi="宋体" w:cs="宋体"/>
                <w:sz w:val="24"/>
              </w:rPr>
            </w:pPr>
            <w:r>
              <w:rPr>
                <w:rFonts w:hint="eastAsia" w:ascii="宋体" w:hAnsi="宋体" w:cs="宋体"/>
                <w:sz w:val="24"/>
              </w:rPr>
              <w:t>14.</w:t>
            </w:r>
            <w:r>
              <w:rPr>
                <w:rFonts w:hint="eastAsia" w:ascii="宋体" w:hAnsi="宋体" w:cs="宋体"/>
                <w:sz w:val="24"/>
              </w:rPr>
              <w:tab/>
            </w:r>
            <w:r>
              <w:rPr>
                <w:rFonts w:hint="eastAsia" w:ascii="宋体" w:hAnsi="宋体" w:cs="宋体"/>
                <w:sz w:val="24"/>
              </w:rPr>
              <w:t>折叠三联屏设计，三个屏幕均≥15英寸液晶屏，单屏幕分辨率不低于1920×1080；支持显示屏间图像切换，可以同时显示现场视频调度、GIS地图和业务调度画面，并支持通过HDMI输出接口将指定屏幕画面按需投影至上级大屏系统显示。</w:t>
            </w:r>
          </w:p>
          <w:p w14:paraId="7334E092">
            <w:pPr>
              <w:rPr>
                <w:rFonts w:ascii="宋体" w:hAnsi="宋体" w:cs="宋体"/>
                <w:sz w:val="24"/>
              </w:rPr>
            </w:pPr>
            <w:r>
              <w:rPr>
                <w:rFonts w:hint="eastAsia" w:ascii="宋体" w:hAnsi="宋体" w:cs="宋体"/>
                <w:sz w:val="24"/>
              </w:rPr>
              <w:t>15.</w:t>
            </w:r>
            <w:r>
              <w:rPr>
                <w:rFonts w:hint="eastAsia" w:ascii="宋体" w:hAnsi="宋体" w:cs="宋体"/>
                <w:sz w:val="24"/>
              </w:rPr>
              <w:tab/>
            </w:r>
            <w:r>
              <w:rPr>
                <w:rFonts w:hint="eastAsia" w:ascii="宋体" w:hAnsi="宋体" w:cs="宋体"/>
                <w:sz w:val="24"/>
              </w:rPr>
              <w:t>集成触摸控制屏，屏幕尺寸≥8英寸，具备视频矩阵切换、4画面分割控制、显示模式控制、音频切换、对讲机PTT、拨打电话、键盘切换、电池电量显示、充电状态显示、模块开/关机状态显示等功能，其中4画面分割控制具备全屏、双屏、1大3小的视频拼接多种模式。</w:t>
            </w:r>
          </w:p>
          <w:p w14:paraId="2ECC73D7">
            <w:pPr>
              <w:rPr>
                <w:rFonts w:ascii="宋体" w:hAnsi="宋体" w:cs="宋体"/>
                <w:sz w:val="24"/>
              </w:rPr>
            </w:pPr>
            <w:r>
              <w:rPr>
                <w:rFonts w:hint="eastAsia" w:ascii="宋体" w:hAnsi="宋体" w:cs="宋体"/>
                <w:sz w:val="24"/>
              </w:rPr>
              <w:t>16</w:t>
            </w:r>
            <w:r>
              <w:rPr>
                <w:rFonts w:hint="eastAsia" w:ascii="宋体" w:hAnsi="宋体" w:cs="宋体"/>
                <w:sz w:val="24"/>
              </w:rPr>
              <w:tab/>
            </w:r>
            <w:r>
              <w:rPr>
                <w:rFonts w:hint="eastAsia" w:ascii="宋体" w:hAnsi="宋体" w:cs="宋体"/>
                <w:sz w:val="24"/>
              </w:rPr>
              <w:t>至少具有1个RCA输入接口、1个3.5mm输入接口、1个卡依输入接口；2个RCA输出接口、1个3.5mm输出接口；具有鹅颈麦和无线麦，鹅颈麦与无线麦有独立的静音物理按键。</w:t>
            </w:r>
          </w:p>
          <w:p w14:paraId="0B165408">
            <w:pPr>
              <w:rPr>
                <w:rFonts w:ascii="宋体" w:hAnsi="宋体" w:cs="宋体"/>
                <w:sz w:val="24"/>
              </w:rPr>
            </w:pPr>
            <w:r>
              <w:rPr>
                <w:rFonts w:hint="eastAsia" w:ascii="宋体" w:hAnsi="宋体" w:cs="宋体"/>
                <w:sz w:val="24"/>
              </w:rPr>
              <w:t xml:space="preserve">17.★至少具有6个HDMI输入接口、1个SDI输入接口；6个HDMI输出接口；内置1个1080P高清摄像头，支持水平270°和垂直105°旋转。 </w:t>
            </w:r>
          </w:p>
          <w:p w14:paraId="58241229">
            <w:pPr>
              <w:rPr>
                <w:rFonts w:ascii="宋体" w:hAnsi="宋体" w:cs="宋体"/>
                <w:sz w:val="24"/>
              </w:rPr>
            </w:pPr>
            <w:r>
              <w:rPr>
                <w:rFonts w:hint="eastAsia" w:ascii="宋体" w:hAnsi="宋体" w:cs="宋体"/>
                <w:sz w:val="24"/>
              </w:rPr>
              <w:t>18.</w:t>
            </w:r>
            <w:r>
              <w:rPr>
                <w:rFonts w:hint="eastAsia" w:ascii="宋体" w:hAnsi="宋体" w:cs="宋体"/>
                <w:sz w:val="24"/>
              </w:rPr>
              <w:tab/>
            </w:r>
            <w:r>
              <w:rPr>
                <w:rFonts w:hint="eastAsia" w:ascii="宋体" w:hAnsi="宋体" w:cs="宋体"/>
                <w:sz w:val="24"/>
              </w:rPr>
              <w:t xml:space="preserve">支持4×USB接口，4×4G/5G天线接口，2×4G/5G SIM卡槽，1×电话 SIM卡槽，1×对讲机接口； </w:t>
            </w:r>
          </w:p>
          <w:p w14:paraId="3F3FF206">
            <w:pPr>
              <w:rPr>
                <w:rFonts w:ascii="宋体" w:hAnsi="宋体" w:cs="宋体"/>
                <w:sz w:val="24"/>
              </w:rPr>
            </w:pPr>
            <w:r>
              <w:rPr>
                <w:rFonts w:hint="eastAsia" w:ascii="宋体" w:hAnsi="宋体" w:cs="宋体"/>
                <w:sz w:val="24"/>
              </w:rPr>
              <w:t>19.</w:t>
            </w:r>
            <w:r>
              <w:rPr>
                <w:rFonts w:hint="eastAsia" w:ascii="宋体" w:hAnsi="宋体" w:cs="宋体"/>
                <w:sz w:val="24"/>
              </w:rPr>
              <w:tab/>
            </w:r>
            <w:r>
              <w:rPr>
                <w:rFonts w:hint="eastAsia" w:ascii="宋体" w:hAnsi="宋体" w:cs="宋体"/>
                <w:sz w:val="24"/>
              </w:rPr>
              <w:t>支持接入MESH自组网，支持5G全网通；支持设置VPN协议为L2TP、IPSec、VPN、APN；具有至少3个千兆网口。</w:t>
            </w:r>
          </w:p>
          <w:p w14:paraId="0BCD0C37">
            <w:pPr>
              <w:rPr>
                <w:rFonts w:ascii="宋体" w:hAnsi="宋体" w:cs="宋体"/>
                <w:sz w:val="24"/>
              </w:rPr>
            </w:pPr>
            <w:r>
              <w:rPr>
                <w:rFonts w:hint="eastAsia" w:ascii="宋体" w:hAnsi="宋体" w:cs="宋体"/>
                <w:sz w:val="24"/>
              </w:rPr>
              <w:t>20.</w:t>
            </w:r>
            <w:r>
              <w:rPr>
                <w:rFonts w:hint="eastAsia" w:ascii="宋体" w:hAnsi="宋体" w:cs="宋体"/>
                <w:sz w:val="24"/>
              </w:rPr>
              <w:tab/>
            </w:r>
            <w:r>
              <w:rPr>
                <w:rFonts w:hint="eastAsia" w:ascii="宋体" w:hAnsi="宋体" w:cs="宋体"/>
                <w:sz w:val="24"/>
              </w:rPr>
              <w:t>支持在AC(90~264)V范围内正常工作，AC供电接口为标准C14电源插座；具备内置电池供电；工作频率(47~63)Hz。使用内置电池供电时，续航时间不低于2小时，具备关机状态下可查看电池电量。</w:t>
            </w:r>
          </w:p>
          <w:p w14:paraId="1C2FDD52">
            <w:pPr>
              <w:rPr>
                <w:rFonts w:ascii="宋体" w:hAnsi="宋体" w:cs="宋体"/>
                <w:sz w:val="24"/>
              </w:rPr>
            </w:pPr>
            <w:r>
              <w:rPr>
                <w:rFonts w:hint="eastAsia" w:ascii="宋体" w:hAnsi="宋体" w:cs="宋体"/>
                <w:sz w:val="24"/>
              </w:rPr>
              <w:t>21.</w:t>
            </w:r>
            <w:r>
              <w:rPr>
                <w:rFonts w:hint="eastAsia" w:ascii="宋体" w:hAnsi="宋体" w:cs="宋体"/>
                <w:sz w:val="24"/>
              </w:rPr>
              <w:tab/>
            </w:r>
            <w:r>
              <w:rPr>
                <w:rFonts w:hint="eastAsia" w:ascii="宋体" w:hAnsi="宋体" w:cs="宋体"/>
                <w:sz w:val="24"/>
              </w:rPr>
              <w:t>内置单北斗定位模块，仅单北斗定位功能。</w:t>
            </w:r>
          </w:p>
          <w:p w14:paraId="5DF26AFA">
            <w:pPr>
              <w:rPr>
                <w:rFonts w:ascii="宋体" w:hAnsi="宋体" w:cs="宋体"/>
                <w:sz w:val="24"/>
              </w:rPr>
            </w:pPr>
            <w:r>
              <w:rPr>
                <w:rFonts w:hint="eastAsia" w:ascii="宋体" w:hAnsi="宋体" w:cs="宋体"/>
                <w:sz w:val="24"/>
              </w:rPr>
              <w:t>22.</w:t>
            </w:r>
            <w:r>
              <w:rPr>
                <w:rFonts w:hint="eastAsia" w:ascii="宋体" w:hAnsi="宋体" w:cs="宋体"/>
                <w:sz w:val="24"/>
              </w:rPr>
              <w:tab/>
            </w:r>
            <w:r>
              <w:rPr>
                <w:rFonts w:hint="eastAsia" w:ascii="宋体" w:hAnsi="宋体" w:cs="宋体"/>
                <w:sz w:val="24"/>
              </w:rPr>
              <w:t>机器自带配件收纳槽，所有标准配件都可以收纳入设备内。</w:t>
            </w:r>
          </w:p>
          <w:p w14:paraId="4FE4ED03">
            <w:r>
              <w:rPr>
                <w:rFonts w:hint="eastAsia" w:ascii="宋体" w:hAnsi="宋体" w:cs="宋体"/>
                <w:sz w:val="24"/>
              </w:rPr>
              <w:t>23.</w:t>
            </w:r>
            <w:r>
              <w:rPr>
                <w:rFonts w:hint="eastAsia" w:ascii="宋体" w:hAnsi="宋体" w:cs="宋体"/>
                <w:sz w:val="24"/>
              </w:rPr>
              <w:tab/>
            </w:r>
            <w:r>
              <w:rPr>
                <w:rFonts w:hint="eastAsia" w:ascii="宋体" w:hAnsi="宋体" w:cs="宋体"/>
                <w:sz w:val="24"/>
              </w:rPr>
              <w:t>工作环境温度支持-20℃~ 45℃正常工作；</w:t>
            </w:r>
          </w:p>
        </w:tc>
        <w:tc>
          <w:tcPr>
            <w:tcW w:w="1490" w:type="dxa"/>
            <w:vAlign w:val="center"/>
          </w:tcPr>
          <w:p w14:paraId="294B002F">
            <w:pPr>
              <w:spacing w:line="360" w:lineRule="auto"/>
              <w:jc w:val="center"/>
              <w:rPr>
                <w:rFonts w:ascii="宋体" w:hAnsi="宋体" w:cs="Calibri"/>
                <w:bCs/>
                <w:sz w:val="24"/>
              </w:rPr>
            </w:pPr>
            <w:r>
              <w:rPr>
                <w:rFonts w:hint="eastAsia"/>
              </w:rPr>
              <w:t>1台</w:t>
            </w:r>
          </w:p>
        </w:tc>
      </w:tr>
    </w:tbl>
    <w:p w14:paraId="59F8F8DD">
      <w:pPr>
        <w:spacing w:line="460" w:lineRule="exact"/>
        <w:ind w:firstLine="482" w:firstLineChars="200"/>
        <w:rPr>
          <w:rFonts w:ascii="宋体" w:hAnsi="宋体" w:cs="Calibri"/>
          <w:b/>
          <w:sz w:val="24"/>
        </w:rPr>
      </w:pPr>
      <w:r>
        <w:rPr>
          <w:rFonts w:hint="eastAsia" w:ascii="宋体" w:hAnsi="宋体" w:cs="Calibri"/>
          <w:b/>
          <w:sz w:val="24"/>
        </w:rPr>
        <w:t>1、货物基本要求</w:t>
      </w:r>
      <w:bookmarkEnd w:id="58"/>
    </w:p>
    <w:p w14:paraId="7A4F1D3C">
      <w:pPr>
        <w:spacing w:line="460" w:lineRule="exact"/>
        <w:ind w:firstLine="480" w:firstLineChars="200"/>
        <w:rPr>
          <w:rFonts w:ascii="宋体" w:hAnsi="宋体" w:cs="Calibri"/>
          <w:sz w:val="24"/>
        </w:rPr>
      </w:pPr>
      <w:r>
        <w:rPr>
          <w:rFonts w:hint="eastAsia" w:ascii="宋体" w:hAnsi="宋体" w:cs="Calibri"/>
          <w:sz w:val="24"/>
        </w:rPr>
        <w:t>①投标人所提供的产品必须为投标货物生产厂家提供的原厂设备，包装未开封，而且设备（包括零部件）应是交付前最新生产或技术较为先进的且未被使用过的全新设备，同时必须在中国境内具有合法使用权。</w:t>
      </w:r>
    </w:p>
    <w:p w14:paraId="7F3A3804">
      <w:pPr>
        <w:spacing w:line="460" w:lineRule="exact"/>
        <w:ind w:firstLine="480" w:firstLineChars="200"/>
        <w:rPr>
          <w:rFonts w:ascii="宋体" w:hAnsi="宋体" w:cs="Calibri"/>
          <w:sz w:val="24"/>
        </w:rPr>
      </w:pPr>
      <w:r>
        <w:rPr>
          <w:rFonts w:hint="eastAsia" w:ascii="宋体" w:hAnsi="宋体" w:cs="Calibri"/>
          <w:sz w:val="24"/>
        </w:rPr>
        <w:t>②磋商文件中没有列出，而对产品的正常运行和维护必不可少的备件、专用工具和消耗品，投标人有责任予以补充。</w:t>
      </w:r>
    </w:p>
    <w:p w14:paraId="70DA26B8">
      <w:pPr>
        <w:spacing w:line="460" w:lineRule="exact"/>
        <w:ind w:firstLine="480" w:firstLineChars="200"/>
        <w:rPr>
          <w:rFonts w:ascii="宋体" w:hAnsi="宋体" w:cs="Calibri"/>
          <w:sz w:val="24"/>
        </w:rPr>
      </w:pPr>
      <w:r>
        <w:rPr>
          <w:rFonts w:hint="eastAsia" w:ascii="宋体" w:hAnsi="宋体" w:cs="Calibri"/>
          <w:sz w:val="24"/>
        </w:rPr>
        <w:t>③投标人所提供的产品必须满足磋商文件的要求，其性能须达到或超过需求中技术指标的要求。</w:t>
      </w:r>
    </w:p>
    <w:p w14:paraId="2B504D22">
      <w:pPr>
        <w:spacing w:line="460" w:lineRule="exact"/>
        <w:ind w:firstLine="480" w:firstLineChars="200"/>
        <w:rPr>
          <w:rFonts w:ascii="宋体" w:hAnsi="宋体" w:cs="Calibri"/>
          <w:sz w:val="24"/>
        </w:rPr>
      </w:pPr>
      <w:r>
        <w:rPr>
          <w:rFonts w:hint="eastAsia" w:ascii="宋体" w:hAnsi="宋体" w:cs="Calibri"/>
          <w:sz w:val="24"/>
        </w:rPr>
        <w:t>④如果投标人在中标并签署合同后，在供货时出现软、硬件的任何遗漏，均由中标人免费提供，招标人将不再支付任何费用。</w:t>
      </w:r>
    </w:p>
    <w:p w14:paraId="6979ED79">
      <w:pPr>
        <w:spacing w:line="460" w:lineRule="exact"/>
        <w:ind w:firstLine="480" w:firstLineChars="200"/>
        <w:rPr>
          <w:rFonts w:ascii="宋体" w:hAnsi="宋体" w:cs="Calibri"/>
          <w:sz w:val="24"/>
        </w:rPr>
      </w:pPr>
      <w:r>
        <w:rPr>
          <w:rFonts w:hint="eastAsia" w:ascii="宋体" w:hAnsi="宋体" w:cs="Calibri"/>
          <w:sz w:val="24"/>
        </w:rPr>
        <w:t>⑤运行要求：产品安装后能够接通并正常运转、如涉及到软件产品的须能够在招标人相应平台上正常运行，并达到磋商文件要求的性能和产品技术规格中的性能。</w:t>
      </w:r>
    </w:p>
    <w:p w14:paraId="55140727">
      <w:pPr>
        <w:spacing w:line="460" w:lineRule="exact"/>
        <w:ind w:firstLine="480" w:firstLineChars="200"/>
        <w:rPr>
          <w:rFonts w:ascii="宋体" w:hAnsi="宋体" w:cs="Calibri"/>
          <w:sz w:val="24"/>
        </w:rPr>
      </w:pPr>
      <w:r>
        <w:rPr>
          <w:rFonts w:hint="eastAsia" w:ascii="宋体" w:hAnsi="宋体" w:cs="Calibri"/>
          <w:sz w:val="24"/>
        </w:rPr>
        <w:t>⑥投标人必须按照磋商文件格式提供投标产品的分项报价及详细的配置清单。</w:t>
      </w:r>
      <w:bookmarkStart w:id="66" w:name="_Toc267581945"/>
    </w:p>
    <w:bookmarkEnd w:id="66"/>
    <w:p w14:paraId="1CF34B6D">
      <w:pPr>
        <w:spacing w:line="460" w:lineRule="exact"/>
        <w:jc w:val="left"/>
        <w:outlineLvl w:val="1"/>
        <w:rPr>
          <w:rFonts w:ascii="宋体" w:hAnsi="宋体" w:cs="Calibri"/>
          <w:b/>
          <w:sz w:val="28"/>
          <w:szCs w:val="28"/>
        </w:rPr>
      </w:pPr>
      <w:bookmarkStart w:id="67" w:name="_Toc534621202"/>
      <w:bookmarkStart w:id="68" w:name="_Toc2255"/>
      <w:bookmarkStart w:id="69" w:name="_Toc267581946"/>
      <w:bookmarkStart w:id="70" w:name="_Toc516499660"/>
      <w:bookmarkStart w:id="71" w:name="_Toc57708781"/>
      <w:r>
        <w:rPr>
          <w:rFonts w:hint="eastAsia" w:ascii="宋体" w:hAnsi="宋体" w:cs="Calibri"/>
          <w:b/>
          <w:sz w:val="28"/>
          <w:szCs w:val="28"/>
        </w:rPr>
        <w:t>三、安装调试、验收要求</w:t>
      </w:r>
      <w:bookmarkEnd w:id="67"/>
      <w:bookmarkEnd w:id="68"/>
      <w:bookmarkEnd w:id="69"/>
      <w:bookmarkEnd w:id="70"/>
      <w:bookmarkEnd w:id="71"/>
    </w:p>
    <w:p w14:paraId="3F9C748C">
      <w:pPr>
        <w:spacing w:line="460" w:lineRule="exact"/>
        <w:ind w:left="42" w:leftChars="20" w:firstLine="357" w:firstLineChars="148"/>
        <w:rPr>
          <w:rFonts w:ascii="宋体" w:hAnsi="宋体" w:cs="Calibri"/>
          <w:b/>
          <w:sz w:val="24"/>
        </w:rPr>
      </w:pPr>
      <w:r>
        <w:rPr>
          <w:rFonts w:hint="eastAsia" w:ascii="宋体" w:hAnsi="宋体" w:cs="Calibri"/>
          <w:b/>
          <w:sz w:val="24"/>
        </w:rPr>
        <w:t>1、安装、调试要求</w:t>
      </w:r>
    </w:p>
    <w:p w14:paraId="4CDEB8A0">
      <w:pPr>
        <w:spacing w:line="460" w:lineRule="exact"/>
        <w:ind w:firstLine="480" w:firstLineChars="200"/>
        <w:rPr>
          <w:rFonts w:ascii="宋体" w:hAnsi="宋体" w:cs="Calibri"/>
          <w:sz w:val="24"/>
        </w:rPr>
      </w:pPr>
      <w:r>
        <w:rPr>
          <w:rFonts w:hint="eastAsia" w:ascii="宋体" w:hAnsi="宋体" w:cs="Calibri"/>
          <w:sz w:val="24"/>
        </w:rPr>
        <w:t>①中标人应及时向招标人提供设备及服务，并承诺与招标人进行积极主动的合作，中标人必须服从招标人的统一协调，在设备供货、技术支持、运行维护等方面相互配合；</w:t>
      </w:r>
    </w:p>
    <w:p w14:paraId="275192E7">
      <w:pPr>
        <w:spacing w:line="460" w:lineRule="exact"/>
        <w:ind w:firstLine="480" w:firstLineChars="200"/>
        <w:rPr>
          <w:rFonts w:ascii="宋体" w:hAnsi="宋体" w:cs="Calibri"/>
          <w:sz w:val="24"/>
        </w:rPr>
      </w:pPr>
      <w:r>
        <w:rPr>
          <w:rFonts w:hint="eastAsia" w:ascii="宋体" w:hAnsi="宋体" w:cs="Calibri"/>
          <w:sz w:val="24"/>
        </w:rPr>
        <w:t>②中标人负责本次招标内容的安装、调试，以达到系统应具有的功能和技术指标，并负责相关技术支持和维护。同时中标人必须提供设备制造厂商承诺的全部售后服务条款(如质保期、现场维修等)，不得擅自缩小售后服务范围；</w:t>
      </w:r>
    </w:p>
    <w:p w14:paraId="77F0D80C">
      <w:pPr>
        <w:spacing w:line="460" w:lineRule="exact"/>
        <w:ind w:firstLine="480" w:firstLineChars="200"/>
        <w:rPr>
          <w:rFonts w:ascii="宋体" w:hAnsi="宋体" w:cs="Calibri"/>
          <w:sz w:val="24"/>
        </w:rPr>
      </w:pPr>
      <w:r>
        <w:rPr>
          <w:rFonts w:hint="eastAsia" w:ascii="宋体" w:hAnsi="宋体" w:cs="Calibri"/>
          <w:sz w:val="24"/>
        </w:rPr>
        <w:t>③产品未经验收时，由中标人负责保管至采购项目交货结束，其间发生的损坏、遗失由中标人负责；</w:t>
      </w:r>
    </w:p>
    <w:p w14:paraId="4ED62D12">
      <w:pPr>
        <w:spacing w:line="460" w:lineRule="exact"/>
        <w:ind w:firstLine="480" w:firstLineChars="200"/>
        <w:rPr>
          <w:rFonts w:ascii="宋体" w:hAnsi="宋体" w:cs="Calibri"/>
          <w:sz w:val="24"/>
        </w:rPr>
      </w:pPr>
      <w:r>
        <w:rPr>
          <w:rFonts w:hint="eastAsia" w:ascii="宋体" w:hAnsi="宋体" w:cs="Calibri"/>
          <w:sz w:val="24"/>
        </w:rPr>
        <w:t>④设备到货后中标人应免费派技术人员在现场安装、调试；</w:t>
      </w:r>
    </w:p>
    <w:p w14:paraId="3211351A">
      <w:pPr>
        <w:spacing w:line="460" w:lineRule="exact"/>
        <w:ind w:firstLine="480" w:firstLineChars="200"/>
        <w:rPr>
          <w:rFonts w:ascii="宋体" w:hAnsi="宋体" w:cs="Calibri"/>
          <w:sz w:val="24"/>
        </w:rPr>
      </w:pPr>
      <w:r>
        <w:rPr>
          <w:rFonts w:hint="eastAsia" w:ascii="宋体" w:hAnsi="宋体" w:cs="Calibri"/>
          <w:sz w:val="24"/>
        </w:rPr>
        <w:t>⑤中标人应遵守招标人安装现场的一切规章制度；</w:t>
      </w:r>
    </w:p>
    <w:p w14:paraId="4D1B0B22">
      <w:pPr>
        <w:spacing w:line="460" w:lineRule="exact"/>
        <w:ind w:firstLine="480" w:firstLineChars="200"/>
        <w:rPr>
          <w:rFonts w:ascii="宋体" w:hAnsi="宋体" w:cs="Calibri"/>
          <w:sz w:val="24"/>
        </w:rPr>
      </w:pPr>
      <w:r>
        <w:rPr>
          <w:rFonts w:hint="eastAsia" w:ascii="宋体" w:hAnsi="宋体" w:cs="Calibri"/>
          <w:sz w:val="24"/>
        </w:rPr>
        <w:t>⑥中标人在设备全部安装完工并通过招标人的验收之前应对安装好的设备及设备的安装工具等提供适当的保护、包装或覆盖等处理，直至验收合格，以免设备受损；</w:t>
      </w:r>
    </w:p>
    <w:p w14:paraId="1591303F">
      <w:pPr>
        <w:spacing w:line="460" w:lineRule="exact"/>
        <w:ind w:firstLine="480" w:firstLineChars="200"/>
        <w:rPr>
          <w:rFonts w:ascii="宋体" w:hAnsi="宋体" w:cs="Calibri"/>
          <w:sz w:val="24"/>
        </w:rPr>
      </w:pPr>
      <w:r>
        <w:rPr>
          <w:rFonts w:hint="eastAsia" w:ascii="宋体" w:hAnsi="宋体" w:cs="Calibri"/>
          <w:sz w:val="24"/>
        </w:rPr>
        <w:t>⑦安装调试人员在安装中对其他邻近设备、管线等造成损坏，应负责修复及承担一切费用；</w:t>
      </w:r>
    </w:p>
    <w:p w14:paraId="75C967BC">
      <w:pPr>
        <w:spacing w:line="460" w:lineRule="exact"/>
        <w:ind w:firstLine="480" w:firstLineChars="200"/>
        <w:rPr>
          <w:rFonts w:ascii="宋体" w:hAnsi="宋体" w:cs="Calibri"/>
          <w:sz w:val="24"/>
        </w:rPr>
      </w:pPr>
      <w:r>
        <w:rPr>
          <w:rFonts w:hint="eastAsia" w:ascii="宋体" w:hAnsi="宋体" w:cs="Calibri"/>
          <w:sz w:val="24"/>
        </w:rPr>
        <w:t>⑧调试期间或保修过程中，中标人负责及时清理垃圾，并将包装物及垃圾堆放至招标人指定地点。</w:t>
      </w:r>
    </w:p>
    <w:p w14:paraId="4C7873F4">
      <w:pPr>
        <w:spacing w:line="460" w:lineRule="exact"/>
        <w:ind w:left="42" w:leftChars="20" w:firstLine="357" w:firstLineChars="148"/>
        <w:rPr>
          <w:rFonts w:ascii="宋体" w:hAnsi="宋体" w:cs="Calibri"/>
          <w:b/>
          <w:sz w:val="24"/>
        </w:rPr>
      </w:pPr>
      <w:r>
        <w:rPr>
          <w:rFonts w:hint="eastAsia" w:ascii="宋体" w:hAnsi="宋体" w:cs="Calibri"/>
          <w:b/>
          <w:sz w:val="24"/>
        </w:rPr>
        <w:t>2、产品验收要求：</w:t>
      </w:r>
    </w:p>
    <w:p w14:paraId="5F062EF3">
      <w:pPr>
        <w:spacing w:line="460" w:lineRule="exact"/>
        <w:ind w:firstLine="480" w:firstLineChars="200"/>
        <w:rPr>
          <w:rFonts w:ascii="宋体" w:hAnsi="宋体" w:cs="Calibri"/>
          <w:sz w:val="24"/>
        </w:rPr>
      </w:pPr>
      <w:r>
        <w:rPr>
          <w:rFonts w:hint="eastAsia" w:ascii="宋体" w:hAnsi="宋体" w:cs="Calibri"/>
          <w:sz w:val="24"/>
        </w:rPr>
        <w:t>①招标人将依磋商文件及投标人的投标文件的要求对全部交货设备的型号、规格、数量、外型、包装及资料、文件（如装箱单、保修单、随箱介质等）进行随机抽取验收。验收主要包括：招标人与中标人在设备到货后共同进行开箱检查设备数量、外观、质量性能、备件备品、装箱单等资料及包装；所有货物和附（配）件应符合其规定的性能，无瑕疵和缺陷，质量为全新合格产品，同时有明确的生产制造厂商标志，供方在交货前未经招标人允许不得私自拆毁原包装，否则，招标人有权不予验收，供方产品质量问题负责包退、包换和包修，由此发生的费用由供方负责；</w:t>
      </w:r>
    </w:p>
    <w:p w14:paraId="1754405F">
      <w:pPr>
        <w:spacing w:line="460" w:lineRule="exact"/>
        <w:ind w:firstLine="480" w:firstLineChars="200"/>
        <w:rPr>
          <w:rFonts w:ascii="宋体" w:hAnsi="宋体" w:cs="Calibri"/>
          <w:sz w:val="24"/>
        </w:rPr>
      </w:pPr>
      <w:r>
        <w:rPr>
          <w:rFonts w:hint="eastAsia" w:ascii="宋体" w:hAnsi="宋体" w:cs="Calibri"/>
          <w:sz w:val="24"/>
        </w:rPr>
        <w:t>②验收中设备出现性能指标或功能上不符合磋商文件和合同要求时，招标人有拒收的权利；</w:t>
      </w:r>
    </w:p>
    <w:p w14:paraId="56698243">
      <w:pPr>
        <w:spacing w:line="460" w:lineRule="exact"/>
        <w:ind w:firstLine="480" w:firstLineChars="200"/>
        <w:rPr>
          <w:rFonts w:ascii="宋体" w:hAnsi="宋体" w:cs="Calibri"/>
          <w:sz w:val="24"/>
        </w:rPr>
      </w:pPr>
      <w:r>
        <w:rPr>
          <w:rFonts w:hint="eastAsia" w:ascii="宋体" w:hAnsi="宋体" w:cs="Calibri"/>
          <w:sz w:val="24"/>
        </w:rPr>
        <w:t>③验收中出现不符合磋商文件和合同要求的严重质量问题时，招标人保留索赔的权利；</w:t>
      </w:r>
    </w:p>
    <w:p w14:paraId="53F71CE3">
      <w:pPr>
        <w:spacing w:line="460" w:lineRule="exact"/>
        <w:ind w:firstLine="480" w:firstLineChars="200"/>
        <w:rPr>
          <w:rFonts w:ascii="宋体" w:hAnsi="宋体" w:cs="Calibri"/>
          <w:sz w:val="24"/>
        </w:rPr>
      </w:pPr>
      <w:r>
        <w:rPr>
          <w:rFonts w:hint="eastAsia" w:ascii="宋体" w:hAnsi="宋体" w:cs="Calibri"/>
          <w:sz w:val="24"/>
        </w:rPr>
        <w:t>④在安装现场直至进行最终验收所发生的一切费用均由中标人承担；</w:t>
      </w:r>
    </w:p>
    <w:p w14:paraId="3E06DB82">
      <w:pPr>
        <w:spacing w:line="460" w:lineRule="exact"/>
        <w:ind w:firstLine="480" w:firstLineChars="200"/>
        <w:rPr>
          <w:rFonts w:ascii="宋体" w:hAnsi="宋体" w:cs="Calibri"/>
          <w:sz w:val="24"/>
        </w:rPr>
      </w:pPr>
      <w:r>
        <w:rPr>
          <w:rFonts w:hint="eastAsia" w:ascii="宋体" w:hAnsi="宋体" w:cs="Calibri"/>
          <w:sz w:val="24"/>
        </w:rPr>
        <w:t>⑤投标人所提供的货物/工程须符合国家强制性规定或相关法律法规要求；</w:t>
      </w:r>
    </w:p>
    <w:p w14:paraId="566E9D38">
      <w:pPr>
        <w:pStyle w:val="8"/>
        <w:spacing w:line="460" w:lineRule="exact"/>
        <w:ind w:firstLine="480" w:firstLineChars="200"/>
        <w:rPr>
          <w:rFonts w:ascii="黑体" w:hAnsi="黑体" w:eastAsia="黑体"/>
          <w:b/>
          <w:sz w:val="36"/>
          <w:szCs w:val="36"/>
        </w:rPr>
      </w:pPr>
      <w:r>
        <w:rPr>
          <w:rFonts w:hint="eastAsia" w:ascii="宋体" w:hAnsi="宋体" w:cs="Calibri"/>
          <w:kern w:val="2"/>
          <w:sz w:val="24"/>
          <w:szCs w:val="24"/>
        </w:rPr>
        <w:t>⑥验收时间和地点：投标人中标后须按照磋商文件的交货要求分别交货至招标人指定地点，设备全部交货并布线完毕后由招标人进行现场验收并最终填写验收报告。基本标准为：是否按交货要求及时完成设备的到货、安装、调试工作，投标人提供的设备质量情况是否确保达到磋商文件要求。</w:t>
      </w:r>
    </w:p>
    <w:p w14:paraId="2F0EE34B">
      <w:pPr>
        <w:rPr>
          <w:rFonts w:ascii="黑体" w:hAnsi="黑体" w:eastAsia="黑体"/>
          <w:b/>
          <w:color w:val="000000"/>
          <w:sz w:val="36"/>
          <w:szCs w:val="36"/>
        </w:rPr>
      </w:pPr>
      <w:r>
        <w:rPr>
          <w:rFonts w:hint="eastAsia" w:ascii="黑体" w:hAnsi="黑体" w:eastAsia="黑体"/>
          <w:b/>
          <w:color w:val="000000"/>
          <w:sz w:val="36"/>
          <w:szCs w:val="36"/>
        </w:rPr>
        <w:br w:type="page"/>
      </w:r>
    </w:p>
    <w:p w14:paraId="6AD708FF">
      <w:pPr>
        <w:spacing w:line="360" w:lineRule="auto"/>
        <w:jc w:val="center"/>
        <w:outlineLvl w:val="0"/>
        <w:rPr>
          <w:rFonts w:ascii="宋体" w:hAnsi="宋体"/>
          <w:b/>
          <w:color w:val="000000"/>
          <w:sz w:val="36"/>
          <w:szCs w:val="36"/>
        </w:rPr>
      </w:pPr>
      <w:r>
        <w:rPr>
          <w:rFonts w:hint="eastAsia" w:ascii="黑体" w:hAnsi="黑体" w:eastAsia="黑体"/>
          <w:b/>
          <w:color w:val="000000"/>
          <w:sz w:val="36"/>
          <w:szCs w:val="36"/>
        </w:rPr>
        <w:t xml:space="preserve">第四章 </w:t>
      </w:r>
      <w:bookmarkEnd w:id="59"/>
      <w:bookmarkEnd w:id="60"/>
      <w:bookmarkEnd w:id="61"/>
      <w:bookmarkEnd w:id="62"/>
      <w:bookmarkEnd w:id="63"/>
      <w:r>
        <w:rPr>
          <w:rFonts w:hint="eastAsia" w:ascii="宋体" w:hAnsi="宋体"/>
          <w:b/>
          <w:color w:val="000000"/>
          <w:sz w:val="36"/>
          <w:szCs w:val="36"/>
        </w:rPr>
        <w:t>评标办法（综合评估法）</w:t>
      </w:r>
      <w:bookmarkEnd w:id="64"/>
    </w:p>
    <w:p w14:paraId="73A55F75">
      <w:pPr>
        <w:jc w:val="center"/>
        <w:rPr>
          <w:rFonts w:ascii="宋体" w:hAnsi="宋体"/>
          <w:b/>
          <w:color w:val="000000"/>
          <w:sz w:val="24"/>
        </w:rPr>
      </w:pPr>
      <w:r>
        <w:rPr>
          <w:rFonts w:hint="eastAsia" w:ascii="宋体" w:hAnsi="宋体"/>
          <w:b/>
          <w:color w:val="000000"/>
          <w:sz w:val="24"/>
        </w:rPr>
        <w:t>评标办法前附表</w:t>
      </w:r>
    </w:p>
    <w:tbl>
      <w:tblPr>
        <w:tblStyle w:val="19"/>
        <w:tblW w:w="864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276"/>
        <w:gridCol w:w="1701"/>
        <w:gridCol w:w="4677"/>
      </w:tblGrid>
      <w:tr w14:paraId="271F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3" w:type="dxa"/>
            <w:gridSpan w:val="2"/>
            <w:vAlign w:val="center"/>
          </w:tcPr>
          <w:p w14:paraId="0F38E5FE">
            <w:pPr>
              <w:spacing w:line="360" w:lineRule="auto"/>
              <w:jc w:val="center"/>
              <w:rPr>
                <w:rFonts w:ascii="宋体" w:hAnsi="宋体" w:cs="宋体"/>
                <w:snapToGrid w:val="0"/>
                <w:color w:val="000000"/>
                <w:sz w:val="24"/>
              </w:rPr>
            </w:pPr>
            <w:r>
              <w:rPr>
                <w:rFonts w:hint="eastAsia" w:ascii="宋体" w:hAnsi="宋体" w:cs="宋体"/>
                <w:b/>
                <w:color w:val="000000"/>
                <w:kern w:val="0"/>
                <w:sz w:val="24"/>
              </w:rPr>
              <w:t>条款号</w:t>
            </w:r>
          </w:p>
        </w:tc>
        <w:tc>
          <w:tcPr>
            <w:tcW w:w="1701" w:type="dxa"/>
            <w:vAlign w:val="center"/>
          </w:tcPr>
          <w:p w14:paraId="0D79E53E">
            <w:pPr>
              <w:spacing w:line="360" w:lineRule="auto"/>
              <w:jc w:val="center"/>
              <w:rPr>
                <w:rFonts w:ascii="宋体" w:hAnsi="宋体" w:cs="宋体"/>
                <w:snapToGrid w:val="0"/>
                <w:color w:val="000000"/>
                <w:sz w:val="24"/>
              </w:rPr>
            </w:pPr>
            <w:r>
              <w:rPr>
                <w:rFonts w:hint="eastAsia" w:ascii="宋体" w:hAnsi="宋体" w:cs="宋体"/>
                <w:b/>
                <w:color w:val="000000"/>
                <w:kern w:val="0"/>
                <w:sz w:val="24"/>
              </w:rPr>
              <w:t>评审因素</w:t>
            </w:r>
          </w:p>
        </w:tc>
        <w:tc>
          <w:tcPr>
            <w:tcW w:w="4677" w:type="dxa"/>
            <w:vAlign w:val="center"/>
          </w:tcPr>
          <w:p w14:paraId="243E7E68">
            <w:pPr>
              <w:spacing w:line="360" w:lineRule="auto"/>
              <w:jc w:val="center"/>
              <w:rPr>
                <w:rFonts w:ascii="宋体" w:hAnsi="宋体" w:cs="宋体"/>
                <w:snapToGrid w:val="0"/>
                <w:color w:val="000000"/>
                <w:sz w:val="24"/>
              </w:rPr>
            </w:pPr>
            <w:r>
              <w:rPr>
                <w:rFonts w:hint="eastAsia" w:ascii="宋体" w:hAnsi="宋体" w:cs="宋体"/>
                <w:b/>
                <w:color w:val="000000"/>
                <w:kern w:val="0"/>
                <w:sz w:val="24"/>
              </w:rPr>
              <w:t>评审标准</w:t>
            </w:r>
          </w:p>
        </w:tc>
      </w:tr>
      <w:tr w14:paraId="369F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87" w:type="dxa"/>
            <w:vMerge w:val="restart"/>
            <w:vAlign w:val="center"/>
          </w:tcPr>
          <w:p w14:paraId="41B3BD91">
            <w:pPr>
              <w:spacing w:line="360" w:lineRule="auto"/>
              <w:rPr>
                <w:rFonts w:ascii="宋体" w:hAnsi="宋体" w:cs="宋体"/>
                <w:snapToGrid w:val="0"/>
                <w:color w:val="000000"/>
                <w:sz w:val="24"/>
              </w:rPr>
            </w:pPr>
            <w:r>
              <w:rPr>
                <w:rFonts w:hint="eastAsia" w:ascii="宋体" w:hAnsi="宋体" w:cs="宋体"/>
                <w:color w:val="000000"/>
                <w:kern w:val="0"/>
                <w:sz w:val="24"/>
              </w:rPr>
              <w:t>2.1.1</w:t>
            </w:r>
          </w:p>
        </w:tc>
        <w:tc>
          <w:tcPr>
            <w:tcW w:w="1276" w:type="dxa"/>
            <w:vMerge w:val="restart"/>
            <w:vAlign w:val="center"/>
          </w:tcPr>
          <w:p w14:paraId="26BBD353">
            <w:pPr>
              <w:spacing w:line="360" w:lineRule="auto"/>
              <w:jc w:val="center"/>
              <w:rPr>
                <w:rFonts w:ascii="宋体" w:hAnsi="宋体"/>
                <w:color w:val="000000"/>
                <w:sz w:val="24"/>
              </w:rPr>
            </w:pPr>
            <w:r>
              <w:rPr>
                <w:rFonts w:hint="eastAsia" w:ascii="宋体" w:hAnsi="宋体"/>
                <w:color w:val="000000"/>
                <w:sz w:val="24"/>
              </w:rPr>
              <w:t>形式</w:t>
            </w:r>
          </w:p>
          <w:p w14:paraId="1E3B5C8C">
            <w:pPr>
              <w:spacing w:line="360" w:lineRule="auto"/>
              <w:jc w:val="center"/>
              <w:rPr>
                <w:rFonts w:ascii="宋体" w:hAnsi="宋体"/>
                <w:color w:val="000000"/>
                <w:sz w:val="24"/>
              </w:rPr>
            </w:pPr>
            <w:r>
              <w:rPr>
                <w:rFonts w:hint="eastAsia" w:ascii="宋体" w:hAnsi="宋体"/>
                <w:color w:val="000000"/>
                <w:sz w:val="24"/>
              </w:rPr>
              <w:t>评审标准</w:t>
            </w:r>
          </w:p>
        </w:tc>
        <w:tc>
          <w:tcPr>
            <w:tcW w:w="1701" w:type="dxa"/>
            <w:vAlign w:val="center"/>
          </w:tcPr>
          <w:p w14:paraId="5B2B85E7">
            <w:pPr>
              <w:spacing w:line="360" w:lineRule="auto"/>
              <w:jc w:val="center"/>
              <w:rPr>
                <w:rFonts w:ascii="宋体" w:hAnsi="宋体"/>
                <w:color w:val="000000"/>
                <w:sz w:val="24"/>
              </w:rPr>
            </w:pPr>
            <w:r>
              <w:rPr>
                <w:rFonts w:hint="eastAsia" w:ascii="宋体" w:hAnsi="宋体"/>
                <w:color w:val="000000"/>
                <w:sz w:val="24"/>
              </w:rPr>
              <w:t>投标人名称</w:t>
            </w:r>
          </w:p>
        </w:tc>
        <w:tc>
          <w:tcPr>
            <w:tcW w:w="4677" w:type="dxa"/>
            <w:vAlign w:val="center"/>
          </w:tcPr>
          <w:p w14:paraId="504866E3">
            <w:pPr>
              <w:spacing w:line="360" w:lineRule="auto"/>
              <w:rPr>
                <w:rFonts w:ascii="宋体" w:hAnsi="宋体"/>
                <w:color w:val="000000"/>
                <w:sz w:val="24"/>
              </w:rPr>
            </w:pPr>
            <w:r>
              <w:rPr>
                <w:rFonts w:hint="eastAsia" w:ascii="宋体" w:hAnsi="宋体"/>
                <w:color w:val="000000"/>
                <w:sz w:val="24"/>
              </w:rPr>
              <w:t>与营业执照或事业单位法人证书一致</w:t>
            </w:r>
          </w:p>
        </w:tc>
      </w:tr>
      <w:tr w14:paraId="2ACF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600BE040">
            <w:pPr>
              <w:spacing w:line="360" w:lineRule="auto"/>
              <w:rPr>
                <w:rFonts w:ascii="宋体" w:hAnsi="宋体" w:cs="宋体"/>
                <w:snapToGrid w:val="0"/>
                <w:color w:val="000000"/>
                <w:sz w:val="24"/>
              </w:rPr>
            </w:pPr>
          </w:p>
        </w:tc>
        <w:tc>
          <w:tcPr>
            <w:tcW w:w="1276" w:type="dxa"/>
            <w:vMerge w:val="continue"/>
            <w:vAlign w:val="center"/>
          </w:tcPr>
          <w:p w14:paraId="68CB205E">
            <w:pPr>
              <w:spacing w:line="360" w:lineRule="auto"/>
              <w:jc w:val="center"/>
              <w:rPr>
                <w:rFonts w:ascii="宋体" w:hAnsi="宋体"/>
                <w:color w:val="000000"/>
                <w:sz w:val="24"/>
              </w:rPr>
            </w:pPr>
          </w:p>
        </w:tc>
        <w:tc>
          <w:tcPr>
            <w:tcW w:w="1701" w:type="dxa"/>
            <w:vAlign w:val="center"/>
          </w:tcPr>
          <w:p w14:paraId="06B77EE6">
            <w:pPr>
              <w:spacing w:line="360" w:lineRule="auto"/>
              <w:jc w:val="center"/>
              <w:rPr>
                <w:rFonts w:ascii="宋体" w:hAnsi="宋体"/>
                <w:color w:val="000000"/>
                <w:sz w:val="24"/>
              </w:rPr>
            </w:pPr>
            <w:r>
              <w:rPr>
                <w:rFonts w:hint="eastAsia" w:ascii="宋体" w:hAnsi="宋体"/>
                <w:color w:val="000000"/>
                <w:sz w:val="24"/>
              </w:rPr>
              <w:t>响应文件签字盖章</w:t>
            </w:r>
          </w:p>
        </w:tc>
        <w:tc>
          <w:tcPr>
            <w:tcW w:w="4677" w:type="dxa"/>
            <w:vAlign w:val="center"/>
          </w:tcPr>
          <w:p w14:paraId="44D1EB29">
            <w:pPr>
              <w:spacing w:line="360" w:lineRule="auto"/>
              <w:rPr>
                <w:rFonts w:ascii="宋体" w:hAnsi="宋体"/>
                <w:color w:val="000000"/>
                <w:sz w:val="24"/>
              </w:rPr>
            </w:pPr>
            <w:r>
              <w:rPr>
                <w:rFonts w:hint="eastAsia" w:ascii="宋体" w:hAnsi="宋体"/>
                <w:color w:val="000000"/>
                <w:sz w:val="24"/>
              </w:rPr>
              <w:t>磋商文件中要求法定代表人或授权委托人签字或盖章的，投标人在进行电子化响应文件签章时，以签盖法定代表人签章为准</w:t>
            </w:r>
          </w:p>
        </w:tc>
      </w:tr>
      <w:tr w14:paraId="1F7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87" w:type="dxa"/>
            <w:vMerge w:val="continue"/>
            <w:vAlign w:val="center"/>
          </w:tcPr>
          <w:p w14:paraId="61E3EB4B">
            <w:pPr>
              <w:spacing w:line="360" w:lineRule="auto"/>
              <w:rPr>
                <w:rFonts w:ascii="宋体" w:hAnsi="宋体" w:cs="宋体"/>
                <w:snapToGrid w:val="0"/>
                <w:color w:val="000000"/>
                <w:sz w:val="24"/>
              </w:rPr>
            </w:pPr>
          </w:p>
        </w:tc>
        <w:tc>
          <w:tcPr>
            <w:tcW w:w="1276" w:type="dxa"/>
            <w:vMerge w:val="continue"/>
            <w:vAlign w:val="center"/>
          </w:tcPr>
          <w:p w14:paraId="42BC3D3E">
            <w:pPr>
              <w:spacing w:line="360" w:lineRule="auto"/>
              <w:jc w:val="center"/>
              <w:rPr>
                <w:rFonts w:ascii="宋体" w:hAnsi="宋体"/>
                <w:color w:val="000000"/>
                <w:sz w:val="24"/>
              </w:rPr>
            </w:pPr>
          </w:p>
        </w:tc>
        <w:tc>
          <w:tcPr>
            <w:tcW w:w="1701" w:type="dxa"/>
            <w:vAlign w:val="center"/>
          </w:tcPr>
          <w:p w14:paraId="1A384D81">
            <w:pPr>
              <w:spacing w:line="360" w:lineRule="auto"/>
              <w:jc w:val="center"/>
              <w:rPr>
                <w:rFonts w:ascii="宋体" w:hAnsi="宋体"/>
                <w:color w:val="000000"/>
                <w:sz w:val="24"/>
              </w:rPr>
            </w:pPr>
            <w:r>
              <w:rPr>
                <w:rFonts w:hint="eastAsia" w:ascii="宋体" w:hAnsi="宋体"/>
                <w:color w:val="000000"/>
                <w:sz w:val="24"/>
              </w:rPr>
              <w:t>响应文件格式</w:t>
            </w:r>
          </w:p>
        </w:tc>
        <w:tc>
          <w:tcPr>
            <w:tcW w:w="4677" w:type="dxa"/>
            <w:vAlign w:val="center"/>
          </w:tcPr>
          <w:p w14:paraId="591C6F5D">
            <w:pPr>
              <w:spacing w:line="360" w:lineRule="auto"/>
              <w:rPr>
                <w:rFonts w:ascii="宋体" w:hAnsi="宋体"/>
                <w:color w:val="000000"/>
                <w:sz w:val="24"/>
              </w:rPr>
            </w:pPr>
            <w:r>
              <w:rPr>
                <w:rFonts w:hint="eastAsia" w:ascii="宋体" w:hAnsi="宋体"/>
                <w:color w:val="000000"/>
                <w:sz w:val="24"/>
              </w:rPr>
              <w:t>符合“响应文件格式”的要求</w:t>
            </w:r>
          </w:p>
        </w:tc>
      </w:tr>
      <w:tr w14:paraId="0D72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87" w:type="dxa"/>
            <w:vMerge w:val="continue"/>
            <w:vAlign w:val="center"/>
          </w:tcPr>
          <w:p w14:paraId="2DDA5A38">
            <w:pPr>
              <w:spacing w:line="360" w:lineRule="auto"/>
              <w:rPr>
                <w:rFonts w:ascii="宋体" w:hAnsi="宋体" w:cs="宋体"/>
                <w:snapToGrid w:val="0"/>
                <w:color w:val="000000"/>
                <w:sz w:val="24"/>
              </w:rPr>
            </w:pPr>
          </w:p>
        </w:tc>
        <w:tc>
          <w:tcPr>
            <w:tcW w:w="1276" w:type="dxa"/>
            <w:vMerge w:val="continue"/>
            <w:vAlign w:val="center"/>
          </w:tcPr>
          <w:p w14:paraId="538238CA">
            <w:pPr>
              <w:spacing w:line="360" w:lineRule="auto"/>
              <w:jc w:val="center"/>
              <w:rPr>
                <w:rFonts w:ascii="宋体" w:hAnsi="宋体"/>
                <w:color w:val="000000"/>
                <w:sz w:val="24"/>
              </w:rPr>
            </w:pPr>
          </w:p>
        </w:tc>
        <w:tc>
          <w:tcPr>
            <w:tcW w:w="1701" w:type="dxa"/>
            <w:vAlign w:val="center"/>
          </w:tcPr>
          <w:p w14:paraId="0626A337">
            <w:pPr>
              <w:spacing w:line="360" w:lineRule="auto"/>
              <w:jc w:val="center"/>
              <w:rPr>
                <w:rFonts w:ascii="宋体" w:hAnsi="宋体"/>
                <w:color w:val="000000"/>
                <w:sz w:val="24"/>
              </w:rPr>
            </w:pPr>
            <w:r>
              <w:rPr>
                <w:rFonts w:hint="eastAsia" w:ascii="宋体" w:hAnsi="宋体"/>
                <w:color w:val="000000"/>
                <w:sz w:val="24"/>
              </w:rPr>
              <w:t>报价唯一</w:t>
            </w:r>
          </w:p>
        </w:tc>
        <w:tc>
          <w:tcPr>
            <w:tcW w:w="4677" w:type="dxa"/>
            <w:vAlign w:val="center"/>
          </w:tcPr>
          <w:p w14:paraId="50BA15D3">
            <w:pPr>
              <w:spacing w:line="360" w:lineRule="auto"/>
              <w:rPr>
                <w:rFonts w:ascii="宋体" w:hAnsi="宋体"/>
                <w:color w:val="000000"/>
                <w:sz w:val="24"/>
              </w:rPr>
            </w:pPr>
            <w:r>
              <w:rPr>
                <w:rFonts w:hint="eastAsia" w:ascii="宋体" w:hAnsi="宋体"/>
                <w:color w:val="000000"/>
                <w:sz w:val="24"/>
              </w:rPr>
              <w:t>只能有一个有效报价</w:t>
            </w:r>
          </w:p>
        </w:tc>
      </w:tr>
      <w:tr w14:paraId="07EB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vAlign w:val="center"/>
          </w:tcPr>
          <w:p w14:paraId="271F67DA">
            <w:pPr>
              <w:spacing w:line="360" w:lineRule="auto"/>
              <w:rPr>
                <w:rFonts w:ascii="宋体" w:hAnsi="宋体" w:cs="宋体"/>
                <w:color w:val="000000"/>
                <w:kern w:val="0"/>
                <w:sz w:val="24"/>
              </w:rPr>
            </w:pPr>
            <w:r>
              <w:rPr>
                <w:rFonts w:hint="eastAsia" w:ascii="宋体" w:hAnsi="宋体" w:cs="宋体"/>
                <w:color w:val="000000"/>
                <w:kern w:val="0"/>
                <w:sz w:val="24"/>
              </w:rPr>
              <w:t>2.1.2</w:t>
            </w:r>
          </w:p>
        </w:tc>
        <w:tc>
          <w:tcPr>
            <w:tcW w:w="1276" w:type="dxa"/>
            <w:vMerge w:val="restart"/>
            <w:vAlign w:val="center"/>
          </w:tcPr>
          <w:p w14:paraId="1D07DEF1">
            <w:pPr>
              <w:spacing w:line="360" w:lineRule="auto"/>
              <w:jc w:val="center"/>
              <w:rPr>
                <w:rFonts w:ascii="宋体" w:hAnsi="宋体"/>
                <w:color w:val="000000"/>
                <w:sz w:val="24"/>
              </w:rPr>
            </w:pPr>
            <w:r>
              <w:rPr>
                <w:rFonts w:hint="eastAsia" w:ascii="宋体" w:hAnsi="宋体"/>
                <w:color w:val="000000"/>
                <w:sz w:val="24"/>
              </w:rPr>
              <w:t>资格</w:t>
            </w:r>
          </w:p>
          <w:p w14:paraId="2DCB25CB">
            <w:pPr>
              <w:spacing w:line="360" w:lineRule="auto"/>
              <w:jc w:val="center"/>
              <w:rPr>
                <w:rFonts w:ascii="宋体" w:hAnsi="宋体"/>
                <w:color w:val="000000"/>
                <w:sz w:val="24"/>
              </w:rPr>
            </w:pPr>
            <w:r>
              <w:rPr>
                <w:rFonts w:hint="eastAsia" w:ascii="宋体" w:hAnsi="宋体"/>
                <w:color w:val="000000"/>
                <w:sz w:val="24"/>
              </w:rPr>
              <w:t>评审标准</w:t>
            </w:r>
          </w:p>
        </w:tc>
        <w:tc>
          <w:tcPr>
            <w:tcW w:w="1701" w:type="dxa"/>
            <w:vAlign w:val="center"/>
          </w:tcPr>
          <w:p w14:paraId="45D001E0">
            <w:pPr>
              <w:spacing w:line="360" w:lineRule="auto"/>
              <w:jc w:val="center"/>
              <w:rPr>
                <w:rFonts w:ascii="宋体" w:hAnsi="宋体"/>
                <w:color w:val="000000"/>
                <w:sz w:val="24"/>
              </w:rPr>
            </w:pPr>
            <w:r>
              <w:rPr>
                <w:rFonts w:hint="eastAsia" w:ascii="宋体" w:hAnsi="宋体"/>
                <w:color w:val="000000"/>
                <w:sz w:val="24"/>
              </w:rPr>
              <w:t>合格的投标人</w:t>
            </w:r>
          </w:p>
        </w:tc>
        <w:tc>
          <w:tcPr>
            <w:tcW w:w="4677" w:type="dxa"/>
            <w:vAlign w:val="center"/>
          </w:tcPr>
          <w:p w14:paraId="685783C0">
            <w:pPr>
              <w:spacing w:line="360" w:lineRule="auto"/>
              <w:rPr>
                <w:rFonts w:ascii="宋体" w:hAnsi="宋体"/>
                <w:color w:val="000000"/>
                <w:sz w:val="24"/>
              </w:rPr>
            </w:pPr>
            <w:r>
              <w:rPr>
                <w:rFonts w:hint="eastAsia" w:ascii="宋体" w:hAnsi="宋体"/>
                <w:color w:val="000000"/>
                <w:sz w:val="24"/>
              </w:rPr>
              <w:t>符合《中华人民共和国政府采购法》第二十二条规定</w:t>
            </w:r>
          </w:p>
        </w:tc>
      </w:tr>
      <w:tr w14:paraId="1E57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1CF182A6">
            <w:pPr>
              <w:spacing w:line="360" w:lineRule="auto"/>
              <w:rPr>
                <w:rFonts w:ascii="宋体" w:hAnsi="宋体" w:cs="宋体"/>
                <w:snapToGrid w:val="0"/>
                <w:color w:val="000000"/>
                <w:sz w:val="24"/>
              </w:rPr>
            </w:pPr>
          </w:p>
        </w:tc>
        <w:tc>
          <w:tcPr>
            <w:tcW w:w="1276" w:type="dxa"/>
            <w:vMerge w:val="continue"/>
            <w:vAlign w:val="center"/>
          </w:tcPr>
          <w:p w14:paraId="6E4FDF03">
            <w:pPr>
              <w:spacing w:line="360" w:lineRule="auto"/>
              <w:jc w:val="center"/>
              <w:rPr>
                <w:rFonts w:ascii="宋体" w:hAnsi="宋体"/>
                <w:color w:val="000000"/>
                <w:sz w:val="24"/>
              </w:rPr>
            </w:pPr>
          </w:p>
        </w:tc>
        <w:tc>
          <w:tcPr>
            <w:tcW w:w="1701" w:type="dxa"/>
            <w:vAlign w:val="center"/>
          </w:tcPr>
          <w:p w14:paraId="20FA804E">
            <w:pPr>
              <w:spacing w:line="360" w:lineRule="auto"/>
              <w:jc w:val="center"/>
              <w:rPr>
                <w:rFonts w:ascii="宋体" w:hAnsi="宋体"/>
                <w:color w:val="000000"/>
                <w:sz w:val="24"/>
              </w:rPr>
            </w:pPr>
            <w:r>
              <w:rPr>
                <w:rFonts w:hint="eastAsia" w:ascii="宋体" w:hAnsi="宋体"/>
                <w:color w:val="000000"/>
                <w:sz w:val="24"/>
              </w:rPr>
              <w:t>营业执照</w:t>
            </w:r>
          </w:p>
        </w:tc>
        <w:tc>
          <w:tcPr>
            <w:tcW w:w="4677" w:type="dxa"/>
            <w:vAlign w:val="center"/>
          </w:tcPr>
          <w:p w14:paraId="2D050D83">
            <w:pPr>
              <w:spacing w:line="360" w:lineRule="auto"/>
              <w:rPr>
                <w:rFonts w:ascii="宋体" w:hAnsi="宋体"/>
                <w:color w:val="000000"/>
                <w:sz w:val="24"/>
              </w:rPr>
            </w:pPr>
            <w:r>
              <w:rPr>
                <w:rFonts w:hint="eastAsia" w:ascii="宋体" w:hAnsi="宋体"/>
                <w:color w:val="000000"/>
                <w:sz w:val="24"/>
              </w:rPr>
              <w:t>具备有效的营业执照</w:t>
            </w:r>
          </w:p>
        </w:tc>
      </w:tr>
      <w:tr w14:paraId="1ED5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23E9C0DC">
            <w:pPr>
              <w:spacing w:line="360" w:lineRule="auto"/>
              <w:rPr>
                <w:rFonts w:ascii="宋体" w:hAnsi="宋体" w:cs="宋体"/>
                <w:snapToGrid w:val="0"/>
                <w:color w:val="000000"/>
                <w:sz w:val="24"/>
              </w:rPr>
            </w:pPr>
          </w:p>
        </w:tc>
        <w:tc>
          <w:tcPr>
            <w:tcW w:w="1276" w:type="dxa"/>
            <w:vMerge w:val="continue"/>
            <w:vAlign w:val="center"/>
          </w:tcPr>
          <w:p w14:paraId="72AE087D">
            <w:pPr>
              <w:spacing w:line="360" w:lineRule="auto"/>
              <w:jc w:val="center"/>
              <w:rPr>
                <w:rFonts w:ascii="宋体" w:hAnsi="宋体"/>
                <w:color w:val="000000"/>
                <w:sz w:val="24"/>
              </w:rPr>
            </w:pPr>
          </w:p>
        </w:tc>
        <w:tc>
          <w:tcPr>
            <w:tcW w:w="1701" w:type="dxa"/>
            <w:vAlign w:val="center"/>
          </w:tcPr>
          <w:p w14:paraId="3E7970AF">
            <w:pPr>
              <w:spacing w:line="360" w:lineRule="auto"/>
              <w:jc w:val="center"/>
              <w:rPr>
                <w:rFonts w:ascii="宋体" w:hAnsi="宋体"/>
                <w:color w:val="000000"/>
                <w:sz w:val="24"/>
              </w:rPr>
            </w:pPr>
            <w:r>
              <w:rPr>
                <w:rFonts w:hint="eastAsia" w:ascii="宋体" w:hAnsi="宋体"/>
                <w:color w:val="000000"/>
                <w:sz w:val="24"/>
              </w:rPr>
              <w:t>财务状况</w:t>
            </w:r>
          </w:p>
        </w:tc>
        <w:tc>
          <w:tcPr>
            <w:tcW w:w="4677" w:type="dxa"/>
            <w:vAlign w:val="center"/>
          </w:tcPr>
          <w:p w14:paraId="4F6E098B">
            <w:pPr>
              <w:spacing w:line="360" w:lineRule="auto"/>
              <w:rPr>
                <w:rFonts w:ascii="宋体" w:hAnsi="宋体"/>
                <w:color w:val="000000"/>
                <w:sz w:val="24"/>
              </w:rPr>
            </w:pPr>
            <w:r>
              <w:rPr>
                <w:rFonts w:hint="eastAsia" w:ascii="宋体" w:hAnsi="宋体" w:cs="宋体"/>
                <w:sz w:val="24"/>
              </w:rPr>
              <w:t>具有良好的商业信誉和健全的财务会计制度（自行作出承诺，格式自拟）；</w:t>
            </w:r>
          </w:p>
        </w:tc>
      </w:tr>
      <w:tr w14:paraId="5D74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7E7D3366">
            <w:pPr>
              <w:spacing w:line="360" w:lineRule="auto"/>
              <w:rPr>
                <w:rFonts w:ascii="宋体" w:hAnsi="宋体" w:cs="宋体"/>
                <w:snapToGrid w:val="0"/>
                <w:color w:val="000000"/>
                <w:sz w:val="24"/>
              </w:rPr>
            </w:pPr>
          </w:p>
        </w:tc>
        <w:tc>
          <w:tcPr>
            <w:tcW w:w="1276" w:type="dxa"/>
            <w:vMerge w:val="continue"/>
            <w:vAlign w:val="center"/>
          </w:tcPr>
          <w:p w14:paraId="7E5F8B37">
            <w:pPr>
              <w:spacing w:line="360" w:lineRule="auto"/>
              <w:jc w:val="center"/>
              <w:rPr>
                <w:rFonts w:ascii="宋体" w:hAnsi="宋体"/>
                <w:color w:val="000000"/>
                <w:sz w:val="24"/>
              </w:rPr>
            </w:pPr>
          </w:p>
        </w:tc>
        <w:tc>
          <w:tcPr>
            <w:tcW w:w="1701" w:type="dxa"/>
            <w:vAlign w:val="center"/>
          </w:tcPr>
          <w:p w14:paraId="27552D83">
            <w:pPr>
              <w:spacing w:line="360" w:lineRule="auto"/>
              <w:jc w:val="center"/>
              <w:rPr>
                <w:rFonts w:ascii="宋体" w:hAnsi="宋体"/>
                <w:color w:val="000000"/>
                <w:sz w:val="24"/>
              </w:rPr>
            </w:pPr>
            <w:r>
              <w:rPr>
                <w:rFonts w:hint="eastAsia" w:ascii="宋体" w:hAnsi="宋体"/>
                <w:color w:val="000000"/>
                <w:sz w:val="24"/>
              </w:rPr>
              <w:t>承诺书</w:t>
            </w:r>
          </w:p>
        </w:tc>
        <w:tc>
          <w:tcPr>
            <w:tcW w:w="4677" w:type="dxa"/>
            <w:vAlign w:val="center"/>
          </w:tcPr>
          <w:p w14:paraId="1769A282">
            <w:pPr>
              <w:spacing w:line="360" w:lineRule="auto"/>
              <w:rPr>
                <w:rFonts w:ascii="宋体" w:hAnsi="宋体" w:cs="宋体"/>
                <w:sz w:val="24"/>
              </w:rPr>
            </w:pPr>
            <w:r>
              <w:rPr>
                <w:rFonts w:hint="eastAsia" w:ascii="宋体" w:hAnsi="宋体" w:cs="宋体"/>
                <w:sz w:val="24"/>
              </w:rPr>
              <w:t>具有履行合同所必需的设备和专业技术能力（自行作出承诺，格式自拟）</w:t>
            </w:r>
          </w:p>
        </w:tc>
      </w:tr>
      <w:tr w14:paraId="188A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267E38E8">
            <w:pPr>
              <w:spacing w:line="360" w:lineRule="auto"/>
              <w:rPr>
                <w:rFonts w:ascii="宋体" w:hAnsi="宋体" w:cs="宋体"/>
                <w:snapToGrid w:val="0"/>
                <w:color w:val="000000"/>
                <w:sz w:val="24"/>
              </w:rPr>
            </w:pPr>
          </w:p>
        </w:tc>
        <w:tc>
          <w:tcPr>
            <w:tcW w:w="1276" w:type="dxa"/>
            <w:vMerge w:val="continue"/>
            <w:vAlign w:val="center"/>
          </w:tcPr>
          <w:p w14:paraId="48BEC5C7">
            <w:pPr>
              <w:spacing w:line="360" w:lineRule="auto"/>
              <w:jc w:val="center"/>
              <w:rPr>
                <w:rFonts w:ascii="宋体" w:hAnsi="宋体"/>
                <w:color w:val="000000"/>
                <w:sz w:val="24"/>
              </w:rPr>
            </w:pPr>
          </w:p>
        </w:tc>
        <w:tc>
          <w:tcPr>
            <w:tcW w:w="1701" w:type="dxa"/>
            <w:vAlign w:val="center"/>
          </w:tcPr>
          <w:p w14:paraId="4D4AA760">
            <w:pPr>
              <w:spacing w:line="360" w:lineRule="auto"/>
              <w:jc w:val="center"/>
              <w:rPr>
                <w:rFonts w:ascii="宋体" w:hAnsi="宋体"/>
                <w:color w:val="000000"/>
                <w:sz w:val="24"/>
              </w:rPr>
            </w:pPr>
            <w:r>
              <w:rPr>
                <w:rFonts w:hint="eastAsia" w:ascii="宋体" w:hAnsi="宋体" w:cs="宋体"/>
                <w:sz w:val="24"/>
              </w:rPr>
              <w:t>纳税证明</w:t>
            </w:r>
          </w:p>
        </w:tc>
        <w:tc>
          <w:tcPr>
            <w:tcW w:w="4677" w:type="dxa"/>
            <w:vAlign w:val="center"/>
          </w:tcPr>
          <w:p w14:paraId="7B2A2F9F">
            <w:pPr>
              <w:spacing w:line="360" w:lineRule="auto"/>
              <w:rPr>
                <w:rFonts w:ascii="宋体" w:hAnsi="宋体" w:cs="宋体"/>
                <w:sz w:val="24"/>
              </w:rPr>
            </w:pPr>
            <w:r>
              <w:rPr>
                <w:rFonts w:hint="eastAsia" w:ascii="宋体" w:hAnsi="宋体" w:cs="宋体"/>
                <w:sz w:val="24"/>
              </w:rPr>
              <w:t>具有依法缴纳税收和社会保障资金的良好记录（自行作出承诺，格式自拟）。</w:t>
            </w:r>
          </w:p>
        </w:tc>
      </w:tr>
      <w:tr w14:paraId="25F2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62A9DE60">
            <w:pPr>
              <w:spacing w:line="360" w:lineRule="auto"/>
              <w:rPr>
                <w:rFonts w:ascii="宋体" w:hAnsi="宋体" w:cs="宋体"/>
                <w:snapToGrid w:val="0"/>
                <w:color w:val="000000"/>
                <w:sz w:val="24"/>
              </w:rPr>
            </w:pPr>
          </w:p>
        </w:tc>
        <w:tc>
          <w:tcPr>
            <w:tcW w:w="1276" w:type="dxa"/>
            <w:vMerge w:val="continue"/>
            <w:vAlign w:val="center"/>
          </w:tcPr>
          <w:p w14:paraId="5C3EE694">
            <w:pPr>
              <w:spacing w:line="360" w:lineRule="auto"/>
              <w:jc w:val="center"/>
              <w:rPr>
                <w:rFonts w:ascii="宋体" w:hAnsi="宋体"/>
                <w:color w:val="000000"/>
                <w:sz w:val="24"/>
              </w:rPr>
            </w:pPr>
          </w:p>
        </w:tc>
        <w:tc>
          <w:tcPr>
            <w:tcW w:w="1701" w:type="dxa"/>
            <w:vAlign w:val="center"/>
          </w:tcPr>
          <w:p w14:paraId="488EF9D8">
            <w:pPr>
              <w:spacing w:line="360" w:lineRule="auto"/>
              <w:jc w:val="center"/>
              <w:rPr>
                <w:rFonts w:ascii="宋体" w:hAnsi="宋体" w:cs="宋体"/>
                <w:sz w:val="24"/>
              </w:rPr>
            </w:pPr>
            <w:r>
              <w:rPr>
                <w:rFonts w:hint="eastAsia" w:ascii="宋体" w:hAnsi="宋体" w:cs="宋体"/>
                <w:sz w:val="24"/>
              </w:rPr>
              <w:t>反商业贿赂承诺书</w:t>
            </w:r>
          </w:p>
        </w:tc>
        <w:tc>
          <w:tcPr>
            <w:tcW w:w="4677" w:type="dxa"/>
            <w:vAlign w:val="center"/>
          </w:tcPr>
          <w:p w14:paraId="78BD729C">
            <w:pPr>
              <w:spacing w:line="360" w:lineRule="auto"/>
              <w:rPr>
                <w:rFonts w:ascii="宋体" w:hAnsi="宋体" w:cs="宋体"/>
                <w:sz w:val="24"/>
              </w:rPr>
            </w:pPr>
            <w:r>
              <w:rPr>
                <w:rFonts w:hint="eastAsia" w:ascii="宋体" w:hAnsi="宋体" w:cs="宋体"/>
                <w:sz w:val="24"/>
              </w:rPr>
              <w:t>出具本单位无商业贿赂及无不正当竞争行为的承诺书（自行作出承诺，格式自拟）</w:t>
            </w:r>
          </w:p>
        </w:tc>
      </w:tr>
      <w:tr w14:paraId="6FC8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87" w:type="dxa"/>
            <w:vMerge w:val="continue"/>
            <w:vAlign w:val="center"/>
          </w:tcPr>
          <w:p w14:paraId="0C993457">
            <w:pPr>
              <w:spacing w:line="360" w:lineRule="auto"/>
              <w:rPr>
                <w:rFonts w:ascii="宋体" w:hAnsi="宋体" w:cs="宋体"/>
                <w:snapToGrid w:val="0"/>
                <w:color w:val="000000"/>
                <w:sz w:val="24"/>
              </w:rPr>
            </w:pPr>
          </w:p>
        </w:tc>
        <w:tc>
          <w:tcPr>
            <w:tcW w:w="1276" w:type="dxa"/>
            <w:vMerge w:val="continue"/>
            <w:vAlign w:val="center"/>
          </w:tcPr>
          <w:p w14:paraId="75797DFB">
            <w:pPr>
              <w:spacing w:line="360" w:lineRule="auto"/>
              <w:jc w:val="center"/>
              <w:rPr>
                <w:rFonts w:ascii="宋体" w:hAnsi="宋体"/>
                <w:color w:val="000000"/>
                <w:sz w:val="24"/>
              </w:rPr>
            </w:pPr>
          </w:p>
        </w:tc>
        <w:tc>
          <w:tcPr>
            <w:tcW w:w="1701" w:type="dxa"/>
            <w:vAlign w:val="center"/>
          </w:tcPr>
          <w:p w14:paraId="6E86483C">
            <w:pPr>
              <w:spacing w:line="360" w:lineRule="auto"/>
              <w:jc w:val="center"/>
              <w:rPr>
                <w:rFonts w:ascii="宋体" w:hAnsi="宋体"/>
                <w:color w:val="000000"/>
                <w:sz w:val="24"/>
              </w:rPr>
            </w:pPr>
            <w:r>
              <w:rPr>
                <w:rFonts w:hint="eastAsia" w:ascii="宋体" w:hAnsi="宋体"/>
                <w:color w:val="000000"/>
                <w:sz w:val="24"/>
              </w:rPr>
              <w:t>声明函</w:t>
            </w:r>
          </w:p>
        </w:tc>
        <w:tc>
          <w:tcPr>
            <w:tcW w:w="4677" w:type="dxa"/>
            <w:vAlign w:val="center"/>
          </w:tcPr>
          <w:p w14:paraId="32009D4B">
            <w:pPr>
              <w:spacing w:line="360" w:lineRule="auto"/>
              <w:rPr>
                <w:rFonts w:ascii="宋体" w:hAnsi="宋体"/>
                <w:color w:val="000000"/>
                <w:sz w:val="24"/>
              </w:rPr>
            </w:pPr>
            <w:r>
              <w:rPr>
                <w:rFonts w:hint="eastAsia" w:ascii="宋体" w:hAnsi="宋体" w:cs="宋体"/>
                <w:sz w:val="24"/>
              </w:rPr>
              <w:t>参加政府采购活动前3年内在经营活动中没有重大违法记录的书面声明</w:t>
            </w:r>
          </w:p>
        </w:tc>
      </w:tr>
      <w:tr w14:paraId="13BD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87" w:type="dxa"/>
            <w:vMerge w:val="continue"/>
            <w:vAlign w:val="center"/>
          </w:tcPr>
          <w:p w14:paraId="1BAE803E">
            <w:pPr>
              <w:spacing w:line="360" w:lineRule="auto"/>
              <w:rPr>
                <w:rFonts w:ascii="宋体" w:hAnsi="宋体" w:cs="宋体"/>
                <w:snapToGrid w:val="0"/>
                <w:color w:val="000000"/>
                <w:sz w:val="24"/>
              </w:rPr>
            </w:pPr>
          </w:p>
        </w:tc>
        <w:tc>
          <w:tcPr>
            <w:tcW w:w="1276" w:type="dxa"/>
            <w:vMerge w:val="continue"/>
            <w:vAlign w:val="center"/>
          </w:tcPr>
          <w:p w14:paraId="3BDE3CB0">
            <w:pPr>
              <w:spacing w:line="360" w:lineRule="auto"/>
              <w:jc w:val="center"/>
              <w:rPr>
                <w:rFonts w:ascii="宋体" w:hAnsi="宋体"/>
                <w:color w:val="000000"/>
                <w:sz w:val="24"/>
              </w:rPr>
            </w:pPr>
          </w:p>
        </w:tc>
        <w:tc>
          <w:tcPr>
            <w:tcW w:w="1701" w:type="dxa"/>
            <w:vAlign w:val="center"/>
          </w:tcPr>
          <w:p w14:paraId="0FBA2164">
            <w:pPr>
              <w:spacing w:line="360" w:lineRule="auto"/>
              <w:jc w:val="center"/>
              <w:rPr>
                <w:rFonts w:ascii="宋体" w:hAnsi="宋体"/>
                <w:color w:val="000000"/>
                <w:sz w:val="24"/>
              </w:rPr>
            </w:pPr>
            <w:r>
              <w:rPr>
                <w:rFonts w:hint="eastAsia" w:ascii="宋体" w:hAnsi="宋体"/>
                <w:color w:val="000000"/>
                <w:sz w:val="24"/>
              </w:rPr>
              <w:t>信用查询</w:t>
            </w:r>
          </w:p>
        </w:tc>
        <w:tc>
          <w:tcPr>
            <w:tcW w:w="4677" w:type="dxa"/>
            <w:vAlign w:val="center"/>
          </w:tcPr>
          <w:p w14:paraId="5F56ABE9">
            <w:pPr>
              <w:spacing w:line="360" w:lineRule="auto"/>
              <w:rPr>
                <w:rFonts w:ascii="宋体" w:hAnsi="宋体"/>
                <w:color w:val="000000"/>
                <w:sz w:val="24"/>
              </w:rPr>
            </w:pPr>
            <w:r>
              <w:rPr>
                <w:rFonts w:hint="eastAsia" w:ascii="宋体" w:hAnsi="宋体" w:cs="宋体"/>
                <w:sz w:val="24"/>
              </w:rPr>
              <w:t>根据《关于在政府采购活动中查询及使用信用记录有关问题的通知》(财库[2016]125号)和豫财购【2016】15号的规定，企业没有被列入“中国执行信息公开网”网站的“失信被执行人”、“信用中国”网站的“重大税收违法失信主体”“失信被执行人”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6A5E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vAlign w:val="center"/>
          </w:tcPr>
          <w:p w14:paraId="2F2230F5">
            <w:pPr>
              <w:spacing w:line="360" w:lineRule="auto"/>
              <w:rPr>
                <w:rFonts w:ascii="宋体" w:hAnsi="宋体" w:cs="宋体"/>
                <w:snapToGrid w:val="0"/>
                <w:color w:val="000000"/>
                <w:sz w:val="24"/>
              </w:rPr>
            </w:pPr>
            <w:r>
              <w:rPr>
                <w:rFonts w:hint="eastAsia" w:ascii="宋体" w:hAnsi="宋体" w:cs="宋体"/>
                <w:color w:val="000000"/>
                <w:kern w:val="0"/>
                <w:sz w:val="24"/>
              </w:rPr>
              <w:t>2.1.3</w:t>
            </w:r>
          </w:p>
        </w:tc>
        <w:tc>
          <w:tcPr>
            <w:tcW w:w="1276" w:type="dxa"/>
            <w:vMerge w:val="restart"/>
            <w:vAlign w:val="center"/>
          </w:tcPr>
          <w:p w14:paraId="22007F22">
            <w:pPr>
              <w:spacing w:line="360" w:lineRule="auto"/>
              <w:jc w:val="center"/>
              <w:rPr>
                <w:rFonts w:ascii="宋体" w:hAnsi="宋体"/>
                <w:color w:val="000000"/>
                <w:sz w:val="24"/>
              </w:rPr>
            </w:pPr>
            <w:r>
              <w:rPr>
                <w:rFonts w:hint="eastAsia" w:ascii="宋体" w:hAnsi="宋体"/>
                <w:color w:val="000000"/>
                <w:sz w:val="24"/>
              </w:rPr>
              <w:t>响应性评审标准</w:t>
            </w:r>
          </w:p>
        </w:tc>
        <w:tc>
          <w:tcPr>
            <w:tcW w:w="1701" w:type="dxa"/>
            <w:vAlign w:val="center"/>
          </w:tcPr>
          <w:p w14:paraId="1EF76F3E">
            <w:pPr>
              <w:spacing w:line="360" w:lineRule="auto"/>
              <w:jc w:val="center"/>
              <w:rPr>
                <w:rFonts w:ascii="宋体" w:hAnsi="宋体"/>
                <w:color w:val="000000"/>
                <w:sz w:val="24"/>
              </w:rPr>
            </w:pPr>
            <w:r>
              <w:rPr>
                <w:rFonts w:hint="eastAsia" w:ascii="宋体" w:hAnsi="宋体"/>
                <w:color w:val="000000"/>
                <w:sz w:val="24"/>
              </w:rPr>
              <w:t>采购范围</w:t>
            </w:r>
          </w:p>
        </w:tc>
        <w:tc>
          <w:tcPr>
            <w:tcW w:w="4677" w:type="dxa"/>
            <w:vAlign w:val="center"/>
          </w:tcPr>
          <w:p w14:paraId="7A1496B5">
            <w:pPr>
              <w:spacing w:line="360" w:lineRule="auto"/>
              <w:rPr>
                <w:rFonts w:ascii="宋体" w:hAnsi="宋体"/>
                <w:color w:val="000000"/>
                <w:sz w:val="24"/>
              </w:rPr>
            </w:pPr>
            <w:r>
              <w:rPr>
                <w:rFonts w:hint="eastAsia" w:ascii="宋体" w:hAnsi="宋体"/>
                <w:color w:val="000000"/>
                <w:sz w:val="24"/>
              </w:rPr>
              <w:t>符合磋商文件规定</w:t>
            </w:r>
          </w:p>
        </w:tc>
      </w:tr>
      <w:tr w14:paraId="047E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987" w:type="dxa"/>
            <w:vMerge w:val="continue"/>
            <w:vAlign w:val="center"/>
          </w:tcPr>
          <w:p w14:paraId="3A5F12B6">
            <w:pPr>
              <w:spacing w:line="360" w:lineRule="auto"/>
              <w:rPr>
                <w:rFonts w:ascii="宋体" w:hAnsi="宋体" w:cs="宋体"/>
                <w:snapToGrid w:val="0"/>
                <w:color w:val="000000"/>
                <w:sz w:val="24"/>
              </w:rPr>
            </w:pPr>
          </w:p>
        </w:tc>
        <w:tc>
          <w:tcPr>
            <w:tcW w:w="1276" w:type="dxa"/>
            <w:vMerge w:val="continue"/>
            <w:vAlign w:val="center"/>
          </w:tcPr>
          <w:p w14:paraId="4ABE6B50">
            <w:pPr>
              <w:spacing w:line="360" w:lineRule="auto"/>
              <w:jc w:val="center"/>
              <w:rPr>
                <w:rFonts w:ascii="宋体" w:hAnsi="宋体"/>
                <w:color w:val="000000"/>
                <w:sz w:val="24"/>
              </w:rPr>
            </w:pPr>
          </w:p>
        </w:tc>
        <w:tc>
          <w:tcPr>
            <w:tcW w:w="1701" w:type="dxa"/>
            <w:vAlign w:val="center"/>
          </w:tcPr>
          <w:p w14:paraId="0E2ECF00">
            <w:pPr>
              <w:spacing w:line="360" w:lineRule="auto"/>
              <w:jc w:val="center"/>
              <w:rPr>
                <w:rFonts w:ascii="宋体" w:hAnsi="宋体"/>
                <w:color w:val="000000"/>
                <w:sz w:val="24"/>
              </w:rPr>
            </w:pPr>
            <w:r>
              <w:rPr>
                <w:rFonts w:hint="eastAsia" w:ascii="宋体" w:hAnsi="宋体"/>
                <w:color w:val="000000"/>
                <w:sz w:val="24"/>
              </w:rPr>
              <w:t>交货期</w:t>
            </w:r>
          </w:p>
        </w:tc>
        <w:tc>
          <w:tcPr>
            <w:tcW w:w="4677" w:type="dxa"/>
            <w:vAlign w:val="center"/>
          </w:tcPr>
          <w:p w14:paraId="3C834655">
            <w:pPr>
              <w:spacing w:line="360" w:lineRule="auto"/>
              <w:rPr>
                <w:rFonts w:ascii="宋体" w:hAnsi="宋体"/>
                <w:color w:val="000000"/>
                <w:sz w:val="24"/>
              </w:rPr>
            </w:pPr>
            <w:r>
              <w:rPr>
                <w:rFonts w:hint="eastAsia" w:ascii="宋体" w:hAnsi="宋体" w:cs="宋体"/>
                <w:sz w:val="24"/>
              </w:rPr>
              <w:t>合同签订后5天内完成</w:t>
            </w:r>
          </w:p>
        </w:tc>
      </w:tr>
      <w:tr w14:paraId="0FA2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671514BE">
            <w:pPr>
              <w:spacing w:line="360" w:lineRule="auto"/>
              <w:rPr>
                <w:rFonts w:ascii="宋体" w:hAnsi="宋体" w:cs="宋体"/>
                <w:snapToGrid w:val="0"/>
                <w:color w:val="000000"/>
                <w:sz w:val="24"/>
              </w:rPr>
            </w:pPr>
          </w:p>
        </w:tc>
        <w:tc>
          <w:tcPr>
            <w:tcW w:w="1276" w:type="dxa"/>
            <w:vMerge w:val="continue"/>
            <w:vAlign w:val="center"/>
          </w:tcPr>
          <w:p w14:paraId="7904DD41">
            <w:pPr>
              <w:spacing w:line="360" w:lineRule="auto"/>
              <w:jc w:val="center"/>
              <w:rPr>
                <w:rFonts w:ascii="宋体" w:hAnsi="宋体"/>
                <w:color w:val="000000"/>
                <w:sz w:val="24"/>
              </w:rPr>
            </w:pPr>
          </w:p>
        </w:tc>
        <w:tc>
          <w:tcPr>
            <w:tcW w:w="1701" w:type="dxa"/>
            <w:vAlign w:val="center"/>
          </w:tcPr>
          <w:p w14:paraId="5DB422C9">
            <w:pPr>
              <w:spacing w:line="360" w:lineRule="auto"/>
              <w:jc w:val="center"/>
              <w:rPr>
                <w:rFonts w:ascii="宋体" w:hAnsi="宋体"/>
                <w:color w:val="000000"/>
                <w:sz w:val="24"/>
              </w:rPr>
            </w:pPr>
            <w:r>
              <w:rPr>
                <w:rFonts w:hint="eastAsia" w:ascii="宋体" w:hAnsi="宋体"/>
                <w:color w:val="000000"/>
                <w:sz w:val="24"/>
              </w:rPr>
              <w:t>质量标准</w:t>
            </w:r>
          </w:p>
        </w:tc>
        <w:tc>
          <w:tcPr>
            <w:tcW w:w="4677" w:type="dxa"/>
            <w:vAlign w:val="center"/>
          </w:tcPr>
          <w:p w14:paraId="108C5022">
            <w:pPr>
              <w:spacing w:line="360" w:lineRule="auto"/>
              <w:rPr>
                <w:rFonts w:ascii="宋体" w:hAnsi="宋体"/>
                <w:color w:val="000000"/>
                <w:sz w:val="24"/>
              </w:rPr>
            </w:pPr>
            <w:r>
              <w:rPr>
                <w:rFonts w:hint="eastAsia" w:ascii="宋体" w:hAnsi="宋体"/>
                <w:color w:val="000000"/>
                <w:sz w:val="24"/>
              </w:rPr>
              <w:t>符合国家及行业标准需求并满足采购人要求。</w:t>
            </w:r>
          </w:p>
        </w:tc>
      </w:tr>
      <w:tr w14:paraId="1E69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097BD1CA">
            <w:pPr>
              <w:spacing w:line="360" w:lineRule="auto"/>
              <w:rPr>
                <w:rFonts w:ascii="宋体" w:hAnsi="宋体" w:cs="宋体"/>
                <w:snapToGrid w:val="0"/>
                <w:color w:val="000000"/>
                <w:sz w:val="24"/>
              </w:rPr>
            </w:pPr>
          </w:p>
        </w:tc>
        <w:tc>
          <w:tcPr>
            <w:tcW w:w="1276" w:type="dxa"/>
            <w:vMerge w:val="continue"/>
            <w:vAlign w:val="center"/>
          </w:tcPr>
          <w:p w14:paraId="65C63BC7">
            <w:pPr>
              <w:spacing w:line="360" w:lineRule="auto"/>
              <w:jc w:val="center"/>
              <w:rPr>
                <w:rFonts w:ascii="宋体" w:hAnsi="宋体"/>
                <w:color w:val="000000"/>
                <w:sz w:val="24"/>
              </w:rPr>
            </w:pPr>
          </w:p>
        </w:tc>
        <w:tc>
          <w:tcPr>
            <w:tcW w:w="1701" w:type="dxa"/>
            <w:vAlign w:val="center"/>
          </w:tcPr>
          <w:p w14:paraId="2D552DB4">
            <w:pPr>
              <w:spacing w:line="360" w:lineRule="auto"/>
              <w:jc w:val="center"/>
              <w:rPr>
                <w:rFonts w:ascii="宋体" w:hAnsi="宋体"/>
                <w:color w:val="000000"/>
                <w:sz w:val="24"/>
              </w:rPr>
            </w:pPr>
            <w:r>
              <w:rPr>
                <w:rFonts w:hint="eastAsia" w:ascii="宋体" w:hAnsi="宋体"/>
                <w:color w:val="000000"/>
                <w:sz w:val="24"/>
              </w:rPr>
              <w:t>质保期</w:t>
            </w:r>
          </w:p>
        </w:tc>
        <w:tc>
          <w:tcPr>
            <w:tcW w:w="4677" w:type="dxa"/>
            <w:vAlign w:val="center"/>
          </w:tcPr>
          <w:p w14:paraId="6B02A895">
            <w:pPr>
              <w:spacing w:line="360" w:lineRule="auto"/>
              <w:rPr>
                <w:rFonts w:ascii="宋体" w:hAnsi="宋体"/>
                <w:color w:val="000000"/>
                <w:sz w:val="24"/>
              </w:rPr>
            </w:pPr>
            <w:r>
              <w:rPr>
                <w:rFonts w:hint="eastAsia" w:ascii="宋体" w:hAnsi="宋体"/>
                <w:color w:val="000000"/>
                <w:sz w:val="24"/>
              </w:rPr>
              <w:t>质保期自验收合格之日起1年</w:t>
            </w:r>
          </w:p>
        </w:tc>
      </w:tr>
      <w:tr w14:paraId="11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68B4A52D">
            <w:pPr>
              <w:spacing w:line="360" w:lineRule="auto"/>
              <w:rPr>
                <w:rFonts w:ascii="宋体" w:hAnsi="宋体" w:cs="宋体"/>
                <w:snapToGrid w:val="0"/>
                <w:color w:val="000000"/>
                <w:sz w:val="24"/>
              </w:rPr>
            </w:pPr>
          </w:p>
        </w:tc>
        <w:tc>
          <w:tcPr>
            <w:tcW w:w="1276" w:type="dxa"/>
            <w:vMerge w:val="continue"/>
            <w:vAlign w:val="center"/>
          </w:tcPr>
          <w:p w14:paraId="4DD57479">
            <w:pPr>
              <w:spacing w:line="360" w:lineRule="auto"/>
              <w:jc w:val="center"/>
              <w:rPr>
                <w:rFonts w:ascii="宋体" w:hAnsi="宋体"/>
                <w:color w:val="000000"/>
                <w:sz w:val="24"/>
              </w:rPr>
            </w:pPr>
          </w:p>
        </w:tc>
        <w:tc>
          <w:tcPr>
            <w:tcW w:w="1701" w:type="dxa"/>
            <w:vAlign w:val="center"/>
          </w:tcPr>
          <w:p w14:paraId="4920C087">
            <w:pPr>
              <w:spacing w:line="360" w:lineRule="auto"/>
              <w:jc w:val="center"/>
              <w:rPr>
                <w:rFonts w:ascii="宋体" w:hAnsi="宋体"/>
                <w:color w:val="000000"/>
                <w:sz w:val="24"/>
              </w:rPr>
            </w:pPr>
            <w:r>
              <w:rPr>
                <w:rFonts w:hint="eastAsia" w:ascii="宋体" w:hAnsi="宋体"/>
                <w:color w:val="000000"/>
                <w:sz w:val="24"/>
              </w:rPr>
              <w:t>磋商有效期</w:t>
            </w:r>
          </w:p>
        </w:tc>
        <w:tc>
          <w:tcPr>
            <w:tcW w:w="4677" w:type="dxa"/>
            <w:vAlign w:val="center"/>
          </w:tcPr>
          <w:p w14:paraId="4D6DD076">
            <w:pPr>
              <w:spacing w:line="360" w:lineRule="auto"/>
              <w:rPr>
                <w:rFonts w:ascii="宋体" w:hAnsi="宋体"/>
                <w:color w:val="000000"/>
                <w:sz w:val="24"/>
              </w:rPr>
            </w:pPr>
            <w:r>
              <w:rPr>
                <w:rFonts w:hint="eastAsia" w:ascii="宋体" w:hAnsi="宋体"/>
                <w:color w:val="000000"/>
                <w:sz w:val="24"/>
              </w:rPr>
              <w:t>符合磋商文件规定</w:t>
            </w:r>
          </w:p>
        </w:tc>
      </w:tr>
      <w:tr w14:paraId="3F14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4C688D4A">
            <w:pPr>
              <w:spacing w:line="360" w:lineRule="auto"/>
              <w:rPr>
                <w:rFonts w:ascii="宋体" w:hAnsi="宋体" w:cs="宋体"/>
                <w:snapToGrid w:val="0"/>
                <w:color w:val="000000"/>
                <w:sz w:val="24"/>
              </w:rPr>
            </w:pPr>
          </w:p>
        </w:tc>
        <w:tc>
          <w:tcPr>
            <w:tcW w:w="1276" w:type="dxa"/>
            <w:vMerge w:val="continue"/>
            <w:vAlign w:val="center"/>
          </w:tcPr>
          <w:p w14:paraId="4E68E931">
            <w:pPr>
              <w:spacing w:line="360" w:lineRule="auto"/>
              <w:jc w:val="center"/>
              <w:rPr>
                <w:rFonts w:ascii="宋体" w:hAnsi="宋体"/>
                <w:color w:val="000000"/>
                <w:sz w:val="24"/>
              </w:rPr>
            </w:pPr>
          </w:p>
        </w:tc>
        <w:tc>
          <w:tcPr>
            <w:tcW w:w="1701" w:type="dxa"/>
            <w:vAlign w:val="center"/>
          </w:tcPr>
          <w:p w14:paraId="3F30D139">
            <w:pPr>
              <w:spacing w:line="360" w:lineRule="auto"/>
              <w:jc w:val="center"/>
              <w:rPr>
                <w:rFonts w:ascii="宋体" w:hAnsi="宋体"/>
                <w:color w:val="000000"/>
                <w:sz w:val="24"/>
              </w:rPr>
            </w:pPr>
            <w:r>
              <w:rPr>
                <w:rFonts w:hint="eastAsia" w:ascii="宋体" w:hAnsi="宋体"/>
                <w:color w:val="000000"/>
                <w:sz w:val="24"/>
              </w:rPr>
              <w:t>投标保证金</w:t>
            </w:r>
          </w:p>
        </w:tc>
        <w:tc>
          <w:tcPr>
            <w:tcW w:w="4677" w:type="dxa"/>
            <w:vAlign w:val="center"/>
          </w:tcPr>
          <w:p w14:paraId="4C2F8E31">
            <w:pPr>
              <w:spacing w:line="360" w:lineRule="auto"/>
              <w:rPr>
                <w:rFonts w:ascii="宋体" w:hAnsi="宋体" w:cs="宋体"/>
                <w:bCs/>
                <w:color w:val="000000"/>
                <w:sz w:val="24"/>
              </w:rPr>
            </w:pPr>
            <w:r>
              <w:rPr>
                <w:rFonts w:hint="eastAsia" w:ascii="宋体" w:hAnsi="宋体" w:cs="宋体"/>
                <w:bCs/>
                <w:color w:val="000000"/>
                <w:sz w:val="24"/>
              </w:rPr>
              <w:t>根据《河南省财政厅关于优化政府采购营商环境有关问题的通知》（豫财购【2019】4号）第6条的规定，磋商保证金不再收取。</w:t>
            </w:r>
          </w:p>
          <w:p w14:paraId="56815C12">
            <w:pPr>
              <w:spacing w:line="360" w:lineRule="auto"/>
              <w:rPr>
                <w:rFonts w:ascii="宋体" w:hAnsi="宋体"/>
                <w:color w:val="000000"/>
                <w:sz w:val="24"/>
              </w:rPr>
            </w:pPr>
            <w:r>
              <w:rPr>
                <w:rFonts w:hint="eastAsia" w:ascii="宋体" w:hAnsi="宋体" w:cs="宋体"/>
                <w:bCs/>
                <w:color w:val="000000"/>
                <w:sz w:val="24"/>
              </w:rPr>
              <w:t>以投标承诺函形式替代投标保证金。供应商应按附件格式进行投标承诺、违背承诺的责任追究。</w:t>
            </w:r>
          </w:p>
        </w:tc>
      </w:tr>
      <w:tr w14:paraId="6CBF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693A9E0D">
            <w:pPr>
              <w:spacing w:line="360" w:lineRule="auto"/>
              <w:rPr>
                <w:rFonts w:ascii="宋体" w:hAnsi="宋体" w:cs="宋体"/>
                <w:snapToGrid w:val="0"/>
                <w:color w:val="000000"/>
                <w:sz w:val="24"/>
              </w:rPr>
            </w:pPr>
          </w:p>
        </w:tc>
        <w:tc>
          <w:tcPr>
            <w:tcW w:w="1276" w:type="dxa"/>
            <w:vMerge w:val="continue"/>
            <w:vAlign w:val="center"/>
          </w:tcPr>
          <w:p w14:paraId="7B270BA4">
            <w:pPr>
              <w:spacing w:line="360" w:lineRule="auto"/>
              <w:jc w:val="center"/>
              <w:rPr>
                <w:rFonts w:ascii="宋体" w:hAnsi="宋体"/>
                <w:color w:val="000000"/>
                <w:sz w:val="24"/>
              </w:rPr>
            </w:pPr>
          </w:p>
        </w:tc>
        <w:tc>
          <w:tcPr>
            <w:tcW w:w="1701" w:type="dxa"/>
            <w:vAlign w:val="center"/>
          </w:tcPr>
          <w:p w14:paraId="6BD1B684">
            <w:pPr>
              <w:spacing w:line="360" w:lineRule="auto"/>
              <w:jc w:val="center"/>
              <w:rPr>
                <w:rFonts w:ascii="宋体" w:hAnsi="宋体"/>
                <w:color w:val="000000"/>
                <w:sz w:val="24"/>
              </w:rPr>
            </w:pPr>
            <w:r>
              <w:rPr>
                <w:rFonts w:hint="eastAsia" w:ascii="宋体" w:hAnsi="宋体"/>
                <w:color w:val="000000"/>
                <w:sz w:val="24"/>
              </w:rPr>
              <w:t>磋商报价</w:t>
            </w:r>
          </w:p>
        </w:tc>
        <w:tc>
          <w:tcPr>
            <w:tcW w:w="4677" w:type="dxa"/>
            <w:vAlign w:val="center"/>
          </w:tcPr>
          <w:p w14:paraId="02B8F251">
            <w:pPr>
              <w:snapToGrid w:val="0"/>
              <w:spacing w:line="360" w:lineRule="auto"/>
              <w:rPr>
                <w:rFonts w:ascii="宋体" w:hAnsi="宋体" w:cs="宋体"/>
                <w:color w:val="000000"/>
                <w:kern w:val="0"/>
                <w:sz w:val="24"/>
              </w:rPr>
            </w:pPr>
            <w:r>
              <w:rPr>
                <w:rFonts w:hint="eastAsia" w:ascii="宋体" w:hAnsi="宋体" w:cs="宋体"/>
                <w:color w:val="000000"/>
                <w:kern w:val="0"/>
                <w:sz w:val="24"/>
              </w:rPr>
              <w:t>第一次报价</w:t>
            </w:r>
            <w:r>
              <w:rPr>
                <w:rFonts w:hint="eastAsia"/>
                <w:color w:val="000000"/>
                <w:sz w:val="24"/>
              </w:rPr>
              <w:t>不得高于项目预算金额且不公开；</w:t>
            </w:r>
            <w:r>
              <w:rPr>
                <w:rFonts w:hint="eastAsia" w:ascii="宋体" w:hAnsi="宋体" w:cs="宋体"/>
                <w:color w:val="000000"/>
                <w:kern w:val="0"/>
                <w:sz w:val="24"/>
              </w:rPr>
              <w:t>第二次报价</w:t>
            </w:r>
            <w:r>
              <w:rPr>
                <w:rFonts w:hint="eastAsia" w:ascii="宋体" w:hAnsi="宋体" w:cs="宋体"/>
                <w:bCs/>
                <w:color w:val="000000"/>
                <w:kern w:val="0"/>
                <w:sz w:val="24"/>
              </w:rPr>
              <w:t>不得高于第一轮报价且为</w:t>
            </w:r>
            <w:r>
              <w:rPr>
                <w:rFonts w:hint="eastAsia" w:ascii="宋体" w:hAnsi="宋体" w:cs="宋体"/>
                <w:color w:val="000000"/>
                <w:kern w:val="0"/>
                <w:sz w:val="24"/>
              </w:rPr>
              <w:t>最终报价</w:t>
            </w:r>
            <w:r>
              <w:rPr>
                <w:rFonts w:hint="eastAsia" w:ascii="宋体" w:hAnsi="宋体" w:cs="宋体"/>
                <w:bCs/>
                <w:color w:val="000000"/>
                <w:kern w:val="0"/>
                <w:sz w:val="24"/>
              </w:rPr>
              <w:t>。</w:t>
            </w:r>
          </w:p>
        </w:tc>
      </w:tr>
    </w:tbl>
    <w:p w14:paraId="3F667085">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1.本次评标采用综合评估法。</w:t>
      </w:r>
      <w:r>
        <w:rPr>
          <w:rFonts w:hint="eastAsia" w:ascii="宋体" w:hAnsi="宋体" w:cs="宋体"/>
          <w:color w:val="000000"/>
          <w:sz w:val="24"/>
          <w:szCs w:val="22"/>
        </w:rPr>
        <w:t>磋商小组</w:t>
      </w:r>
      <w:r>
        <w:rPr>
          <w:rFonts w:ascii="宋体" w:hAnsi="宋体" w:cs="宋体"/>
          <w:color w:val="000000"/>
          <w:sz w:val="24"/>
          <w:szCs w:val="22"/>
        </w:rPr>
        <w:t>对满足磋商文件实质性要求和提交最后报的响应文件，按本章节规定的评分标准进行综合评分，并按得分由高到低顺序推荐</w:t>
      </w:r>
      <w:r>
        <w:rPr>
          <w:rFonts w:hint="eastAsia" w:ascii="宋体" w:hAnsi="宋体" w:cs="宋体"/>
          <w:color w:val="000000"/>
          <w:sz w:val="24"/>
          <w:szCs w:val="22"/>
        </w:rPr>
        <w:t>3</w:t>
      </w:r>
      <w:r>
        <w:rPr>
          <w:rFonts w:ascii="宋体" w:hAnsi="宋体" w:cs="宋体"/>
          <w:color w:val="000000"/>
          <w:sz w:val="24"/>
          <w:szCs w:val="22"/>
        </w:rPr>
        <w:t>名中标候选人。评审得分相同时，按照最后报价由低到高的顺序推荐。评审得分且最后报价相同时，由磋商小组按照技术指标优劣顺序推荐。</w:t>
      </w:r>
    </w:p>
    <w:p w14:paraId="4677A5A1">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w:t>
      </w:r>
      <w:r>
        <w:rPr>
          <w:rFonts w:ascii="宋体" w:hAnsi="宋体" w:cs="宋体"/>
          <w:color w:val="000000"/>
          <w:sz w:val="24"/>
          <w:szCs w:val="22"/>
        </w:rPr>
        <w:t>评审标准</w:t>
      </w:r>
    </w:p>
    <w:p w14:paraId="04565944">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2.1初步评审标准</w:t>
      </w:r>
    </w:p>
    <w:p w14:paraId="6571FF9A">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2.1.1形式评审标准：见评标办法前附表</w:t>
      </w:r>
    </w:p>
    <w:p w14:paraId="3A54AA99">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2.1.1资格评审标准：见评标办法前附表。</w:t>
      </w:r>
    </w:p>
    <w:p w14:paraId="10A47E66">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2.1.2响应性评审标准：见评标办法前附表。</w:t>
      </w:r>
    </w:p>
    <w:p w14:paraId="28A7C625">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2.2分值构成与评分标准</w:t>
      </w:r>
    </w:p>
    <w:p w14:paraId="6D64D205">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2.2.1分值构成</w:t>
      </w:r>
    </w:p>
    <w:p w14:paraId="2866117E">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（1）投标报价的权重占30%</w:t>
      </w:r>
    </w:p>
    <w:p w14:paraId="6AC02B14">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（2）技术部分的权重占50%</w:t>
      </w:r>
    </w:p>
    <w:p w14:paraId="1367F6EA">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（3）综合部分的权重占20%</w:t>
      </w:r>
    </w:p>
    <w:p w14:paraId="1142CB6A">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2.2.2 评分标准：见评标办法前附表。</w:t>
      </w:r>
    </w:p>
    <w:p w14:paraId="5528ECBA">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w:t>
      </w:r>
      <w:r>
        <w:rPr>
          <w:rFonts w:ascii="宋体" w:hAnsi="宋体" w:cs="宋体"/>
          <w:color w:val="000000"/>
          <w:sz w:val="24"/>
          <w:szCs w:val="22"/>
        </w:rPr>
        <w:t>评标程序</w:t>
      </w:r>
    </w:p>
    <w:p w14:paraId="32443802">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3.1</w:t>
      </w:r>
      <w:r>
        <w:rPr>
          <w:rFonts w:ascii="宋体" w:hAnsi="宋体" w:cs="宋体"/>
          <w:color w:val="000000"/>
          <w:sz w:val="24"/>
          <w:szCs w:val="22"/>
        </w:rPr>
        <w:t>初步评审</w:t>
      </w:r>
    </w:p>
    <w:p w14:paraId="72196DEA">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 xml:space="preserve">3.1.1 </w:t>
      </w:r>
      <w:r>
        <w:rPr>
          <w:rFonts w:hint="eastAsia" w:ascii="宋体" w:hAnsi="宋体" w:cs="宋体"/>
          <w:color w:val="000000"/>
          <w:sz w:val="24"/>
          <w:szCs w:val="22"/>
        </w:rPr>
        <w:t>磋商小组</w:t>
      </w:r>
      <w:r>
        <w:rPr>
          <w:rFonts w:ascii="宋体" w:hAnsi="宋体" w:cs="宋体"/>
          <w:color w:val="000000"/>
          <w:sz w:val="24"/>
          <w:szCs w:val="22"/>
        </w:rPr>
        <w:t>应该以投标人上传主体信息库的有关证明和证件的原件为准，进行核验。</w:t>
      </w:r>
      <w:r>
        <w:rPr>
          <w:rFonts w:hint="eastAsia" w:ascii="宋体" w:hAnsi="宋体" w:cs="宋体"/>
          <w:color w:val="000000"/>
          <w:sz w:val="24"/>
          <w:szCs w:val="22"/>
        </w:rPr>
        <w:t>磋商小组</w:t>
      </w:r>
      <w:r>
        <w:rPr>
          <w:rFonts w:ascii="宋体" w:hAnsi="宋体" w:cs="宋体"/>
          <w:color w:val="000000"/>
          <w:sz w:val="24"/>
          <w:szCs w:val="22"/>
        </w:rPr>
        <w:t>依据本章第2.1款规定的标准对响应文件进行初步评审。有一项不符合评审标准的，其投标将被否决。</w:t>
      </w:r>
    </w:p>
    <w:p w14:paraId="3D3B9BD8">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3.1.2</w:t>
      </w:r>
      <w:r>
        <w:rPr>
          <w:rFonts w:hint="eastAsia" w:ascii="宋体" w:hAnsi="宋体" w:cs="宋体"/>
          <w:color w:val="000000"/>
          <w:sz w:val="24"/>
          <w:szCs w:val="22"/>
        </w:rPr>
        <w:t>磋商小组</w:t>
      </w:r>
      <w:r>
        <w:rPr>
          <w:rFonts w:ascii="宋体" w:hAnsi="宋体" w:cs="宋体"/>
          <w:color w:val="000000"/>
          <w:sz w:val="24"/>
          <w:szCs w:val="22"/>
        </w:rPr>
        <w:t>依据本章第2.1.1项、第2.1.2项规定的评审标准对响应文件进行初步评审。有一项不符合评审标准的，其投标将被否决。</w:t>
      </w:r>
    </w:p>
    <w:p w14:paraId="72BD584B">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3.1.3投标人有以下情形之一的，其投标作无效标处理：</w:t>
      </w:r>
    </w:p>
    <w:p w14:paraId="373733B7">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（1）</w:t>
      </w:r>
      <w:r>
        <w:rPr>
          <w:rFonts w:ascii="宋体" w:hAnsi="宋体" w:cs="宋体"/>
          <w:color w:val="000000"/>
          <w:sz w:val="24"/>
          <w:szCs w:val="22"/>
        </w:rPr>
        <w:t>串通投标或弄虚作假或有其他违法行为的；</w:t>
      </w:r>
    </w:p>
    <w:p w14:paraId="419720A7">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（2）不按</w:t>
      </w:r>
      <w:r>
        <w:rPr>
          <w:rFonts w:hint="eastAsia" w:ascii="宋体" w:hAnsi="宋体" w:cs="宋体"/>
          <w:color w:val="000000"/>
          <w:sz w:val="24"/>
          <w:szCs w:val="22"/>
        </w:rPr>
        <w:t>磋商小组</w:t>
      </w:r>
      <w:r>
        <w:rPr>
          <w:rFonts w:ascii="宋体" w:hAnsi="宋体" w:cs="宋体"/>
          <w:color w:val="000000"/>
          <w:sz w:val="24"/>
          <w:szCs w:val="22"/>
        </w:rPr>
        <w:t>要求澄清、说明或补正的。</w:t>
      </w:r>
    </w:p>
    <w:p w14:paraId="0F025405">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3.1.4投标报价有算术错误的，</w:t>
      </w:r>
      <w:r>
        <w:rPr>
          <w:rFonts w:hint="eastAsia" w:ascii="宋体" w:hAnsi="宋体" w:cs="宋体"/>
          <w:color w:val="000000"/>
          <w:sz w:val="24"/>
          <w:szCs w:val="22"/>
        </w:rPr>
        <w:t>磋商小组</w:t>
      </w:r>
      <w:r>
        <w:rPr>
          <w:rFonts w:ascii="宋体" w:hAnsi="宋体" w:cs="宋体"/>
          <w:color w:val="000000"/>
          <w:sz w:val="24"/>
          <w:szCs w:val="22"/>
        </w:rPr>
        <w:t>按以下原则对投标报价进行修正，修正的价格经投标人书面确认后具有约束力。投标人不接受修正价格的，其投标将被否决。响应文件中的大写金额与小写金额不一致的，以大写金额为准；总价金额与依据单价计算出的结果不一致的，以单价金额为准修正总价，但单价金额小数点有明显错误的除外。</w:t>
      </w:r>
    </w:p>
    <w:p w14:paraId="0CC6279C">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3.2 详细评审</w:t>
      </w:r>
    </w:p>
    <w:p w14:paraId="604E3075">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3.2.1磋商小组</w:t>
      </w:r>
      <w:r>
        <w:rPr>
          <w:rFonts w:ascii="宋体" w:hAnsi="宋体" w:cs="宋体"/>
          <w:color w:val="000000"/>
          <w:sz w:val="24"/>
          <w:szCs w:val="22"/>
        </w:rPr>
        <w:t>按本章第2.2款规定的量化因素和分值进行打分，并计算出综合评估得分。</w:t>
      </w:r>
    </w:p>
    <w:p w14:paraId="3D9AF709">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3.2.2磋商小组</w:t>
      </w:r>
      <w:r>
        <w:rPr>
          <w:rFonts w:ascii="宋体" w:hAnsi="宋体" w:cs="宋体"/>
          <w:color w:val="000000"/>
          <w:sz w:val="24"/>
          <w:szCs w:val="22"/>
        </w:rPr>
        <w:t>发现投标人最终提交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ascii="宋体" w:hAnsi="宋体" w:cs="宋体"/>
          <w:color w:val="000000"/>
          <w:sz w:val="24"/>
          <w:szCs w:val="22"/>
        </w:rPr>
        <w:t>磋商小组</w:t>
      </w:r>
      <w:r>
        <w:rPr>
          <w:rFonts w:ascii="宋体" w:hAnsi="宋体" w:cs="宋体"/>
          <w:color w:val="000000"/>
          <w:sz w:val="24"/>
          <w:szCs w:val="22"/>
        </w:rPr>
        <w:t>认定该投标人以低于成本报价竞标，其投标作无效标处理。</w:t>
      </w:r>
    </w:p>
    <w:p w14:paraId="0A8DA3F3">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3.3 响应文件的澄清和补正</w:t>
      </w:r>
    </w:p>
    <w:p w14:paraId="13F625AD">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3.3.1在评标过程中，磋商小组可以书面形式要求投标人对所提交响应文件中不明确的内容进行书面澄清或说明，或者对细微偏差进行补正。磋商小组不接受投标人主动提出的澄清、说明或补正。</w:t>
      </w:r>
    </w:p>
    <w:p w14:paraId="09715D96">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3.3.2 澄清、说明和补正不得改变响应文件的实质性内容（算术性错误修正的除外）。投标人的书面澄清、说明和补正属于响应文件的组成部分。</w:t>
      </w:r>
    </w:p>
    <w:p w14:paraId="00D67AFB">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3.3.3 磋商小组对投标人提交的澄清、说明或补正有疑问的，可以要求投标人进一步澄清、说明或补正，直至满足磋商小组的要求。</w:t>
      </w:r>
    </w:p>
    <w:p w14:paraId="0D9F36FB">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3.4投标人的最总得分</w:t>
      </w:r>
    </w:p>
    <w:p w14:paraId="3ED9DDEA">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（1）磋商小组完成对技术标、商务标和综合标的汇总后，取平均值作为该投标人的最终得分，计算分值均保留两位小数。</w:t>
      </w:r>
    </w:p>
    <w:p w14:paraId="1D257CE8">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3.5评标结果</w:t>
      </w:r>
    </w:p>
    <w:p w14:paraId="18AF91CB">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3.5.1</w:t>
      </w:r>
      <w:r>
        <w:rPr>
          <w:rFonts w:hint="eastAsia" w:ascii="宋体" w:hAnsi="宋体" w:cs="宋体"/>
          <w:color w:val="000000"/>
          <w:sz w:val="24"/>
          <w:szCs w:val="22"/>
        </w:rPr>
        <w:t>磋商小组</w:t>
      </w:r>
      <w:r>
        <w:rPr>
          <w:rFonts w:ascii="宋体" w:hAnsi="宋体" w:cs="宋体"/>
          <w:color w:val="000000"/>
          <w:sz w:val="24"/>
          <w:szCs w:val="22"/>
        </w:rPr>
        <w:t>按照得分由高到低的顺序推荐</w:t>
      </w:r>
      <w:r>
        <w:rPr>
          <w:rFonts w:hint="eastAsia" w:ascii="宋体" w:hAnsi="宋体" w:cs="宋体"/>
          <w:color w:val="000000"/>
          <w:sz w:val="24"/>
          <w:szCs w:val="22"/>
        </w:rPr>
        <w:t>3</w:t>
      </w:r>
      <w:r>
        <w:rPr>
          <w:rFonts w:ascii="宋体" w:hAnsi="宋体" w:cs="宋体"/>
          <w:color w:val="000000"/>
          <w:sz w:val="24"/>
          <w:szCs w:val="22"/>
        </w:rPr>
        <w:t>名中标候选人。</w:t>
      </w:r>
    </w:p>
    <w:p w14:paraId="78E6BBBA">
      <w:pPr>
        <w:spacing w:line="360" w:lineRule="auto"/>
        <w:ind w:firstLine="480" w:firstLineChars="200"/>
        <w:rPr>
          <w:rFonts w:ascii="宋体" w:hAnsi="宋体" w:cs="宋体"/>
          <w:color w:val="000000"/>
          <w:sz w:val="24"/>
          <w:szCs w:val="22"/>
        </w:rPr>
      </w:pPr>
      <w:r>
        <w:rPr>
          <w:rFonts w:ascii="宋体" w:hAnsi="宋体" w:cs="宋体"/>
          <w:color w:val="000000"/>
          <w:sz w:val="24"/>
          <w:szCs w:val="22"/>
        </w:rPr>
        <w:t xml:space="preserve">3.5.2 </w:t>
      </w:r>
      <w:r>
        <w:rPr>
          <w:rFonts w:hint="eastAsia" w:ascii="宋体" w:hAnsi="宋体" w:cs="宋体"/>
          <w:color w:val="000000"/>
          <w:sz w:val="24"/>
          <w:szCs w:val="22"/>
        </w:rPr>
        <w:t>磋商小组</w:t>
      </w:r>
      <w:r>
        <w:rPr>
          <w:rFonts w:ascii="宋体" w:hAnsi="宋体" w:cs="宋体"/>
          <w:color w:val="000000"/>
          <w:sz w:val="24"/>
          <w:szCs w:val="22"/>
        </w:rPr>
        <w:t>完成评标后，应当向采购人提交书面评标报告。</w:t>
      </w:r>
    </w:p>
    <w:p w14:paraId="5DA2E504">
      <w:pPr>
        <w:widowControl/>
        <w:spacing w:line="360" w:lineRule="auto"/>
        <w:ind w:firstLine="480" w:firstLineChars="200"/>
        <w:jc w:val="left"/>
        <w:rPr>
          <w:rFonts w:ascii="宋体" w:hAnsi="宋体" w:cs="宋体"/>
          <w:color w:val="000000"/>
          <w:sz w:val="24"/>
          <w:szCs w:val="22"/>
        </w:rPr>
      </w:pPr>
    </w:p>
    <w:p w14:paraId="1D9346F5">
      <w:pPr>
        <w:spacing w:line="360" w:lineRule="auto"/>
        <w:ind w:firstLine="480" w:firstLineChars="200"/>
        <w:rPr>
          <w:rFonts w:ascii="宋体" w:hAnsi="宋体"/>
          <w:color w:val="000000"/>
          <w:sz w:val="24"/>
        </w:rPr>
      </w:pPr>
    </w:p>
    <w:p w14:paraId="3F309A1E">
      <w:pPr>
        <w:pStyle w:val="8"/>
      </w:pPr>
    </w:p>
    <w:p w14:paraId="560E6230">
      <w:pPr>
        <w:pStyle w:val="7"/>
      </w:pPr>
    </w:p>
    <w:p w14:paraId="1B7CAC3C">
      <w:pPr>
        <w:pStyle w:val="7"/>
      </w:pPr>
    </w:p>
    <w:p w14:paraId="3EAB140E">
      <w:pPr>
        <w:rPr>
          <w:rFonts w:ascii="宋体" w:hAnsi="宋体"/>
          <w:b/>
          <w:color w:val="000000"/>
          <w:sz w:val="24"/>
        </w:rPr>
      </w:pPr>
      <w:r>
        <w:rPr>
          <w:rFonts w:hint="eastAsia" w:ascii="宋体" w:hAnsi="宋体"/>
          <w:b/>
          <w:color w:val="000000"/>
          <w:sz w:val="24"/>
        </w:rPr>
        <w:br w:type="page"/>
      </w:r>
    </w:p>
    <w:p w14:paraId="3081695D">
      <w:pPr>
        <w:spacing w:line="360" w:lineRule="auto"/>
        <w:rPr>
          <w:rFonts w:ascii="宋体" w:hAnsi="宋体"/>
          <w:b/>
          <w:color w:val="000000"/>
          <w:sz w:val="24"/>
        </w:rPr>
      </w:pPr>
      <w:r>
        <w:rPr>
          <w:rFonts w:hint="eastAsia" w:ascii="宋体" w:hAnsi="宋体"/>
          <w:b/>
          <w:color w:val="000000"/>
          <w:sz w:val="24"/>
        </w:rPr>
        <w:t>附：评分计分标准，投标人评标得分</w:t>
      </w:r>
      <w:bookmarkStart w:id="72" w:name="_Toc6512"/>
      <w:bookmarkStart w:id="73" w:name="_Toc29973"/>
      <w:bookmarkStart w:id="74" w:name="_Toc29012"/>
      <w:bookmarkStart w:id="75" w:name="_Toc13887"/>
      <w:r>
        <w:rPr>
          <w:rFonts w:hint="eastAsia" w:ascii="宋体" w:hAnsi="宋体"/>
          <w:b/>
          <w:color w:val="000000"/>
          <w:sz w:val="24"/>
        </w:rPr>
        <w:t>为下表所列所有项的合计得分。</w:t>
      </w:r>
    </w:p>
    <w:tbl>
      <w:tblPr>
        <w:tblStyle w:val="19"/>
        <w:tblpPr w:leftFromText="180" w:rightFromText="180" w:vertAnchor="text" w:horzAnchor="margin" w:tblpXSpec="center" w:tblpY="13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12"/>
        <w:gridCol w:w="1909"/>
        <w:gridCol w:w="5695"/>
      </w:tblGrid>
      <w:tr w14:paraId="7CBD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14" w:type="dxa"/>
            <w:gridSpan w:val="2"/>
            <w:shd w:val="clear" w:color="auto" w:fill="auto"/>
            <w:vAlign w:val="center"/>
          </w:tcPr>
          <w:p w14:paraId="2C1EF971">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条款号</w:t>
            </w:r>
          </w:p>
        </w:tc>
        <w:tc>
          <w:tcPr>
            <w:tcW w:w="1909" w:type="dxa"/>
            <w:shd w:val="clear" w:color="auto" w:fill="auto"/>
            <w:vAlign w:val="center"/>
          </w:tcPr>
          <w:p w14:paraId="30FFD5F9">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条款内容</w:t>
            </w:r>
          </w:p>
        </w:tc>
        <w:tc>
          <w:tcPr>
            <w:tcW w:w="5695" w:type="dxa"/>
            <w:shd w:val="clear" w:color="auto" w:fill="auto"/>
            <w:vAlign w:val="center"/>
          </w:tcPr>
          <w:p w14:paraId="067460DA">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编列内容</w:t>
            </w:r>
          </w:p>
        </w:tc>
      </w:tr>
      <w:tr w14:paraId="07A6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514" w:type="dxa"/>
            <w:gridSpan w:val="2"/>
            <w:shd w:val="clear" w:color="auto" w:fill="auto"/>
            <w:vAlign w:val="center"/>
          </w:tcPr>
          <w:p w14:paraId="35209021">
            <w:pPr>
              <w:wordWrap w:val="0"/>
              <w:topLinePunct/>
              <w:adjustRightInd w:val="0"/>
              <w:snapToGrid w:val="0"/>
              <w:spacing w:line="360" w:lineRule="auto"/>
              <w:jc w:val="center"/>
              <w:rPr>
                <w:rFonts w:ascii="宋体" w:hAnsi="宋体" w:cs="宋体"/>
                <w:sz w:val="24"/>
              </w:rPr>
            </w:pPr>
            <w:r>
              <w:rPr>
                <w:rFonts w:hint="eastAsia" w:ascii="宋体" w:hAnsi="宋体" w:cs="宋体"/>
                <w:sz w:val="24"/>
              </w:rPr>
              <w:t>2.2.1</w:t>
            </w:r>
          </w:p>
        </w:tc>
        <w:tc>
          <w:tcPr>
            <w:tcW w:w="1909" w:type="dxa"/>
            <w:shd w:val="clear" w:color="auto" w:fill="auto"/>
            <w:vAlign w:val="center"/>
          </w:tcPr>
          <w:p w14:paraId="42B53E7F">
            <w:pPr>
              <w:wordWrap w:val="0"/>
              <w:topLinePunct/>
              <w:adjustRightInd w:val="0"/>
              <w:snapToGrid w:val="0"/>
              <w:spacing w:line="360" w:lineRule="auto"/>
              <w:jc w:val="center"/>
              <w:rPr>
                <w:rFonts w:ascii="宋体" w:hAnsi="宋体" w:cs="宋体"/>
                <w:sz w:val="24"/>
              </w:rPr>
            </w:pPr>
            <w:r>
              <w:rPr>
                <w:rFonts w:hint="eastAsia" w:ascii="宋体" w:hAnsi="宋体" w:cs="宋体"/>
                <w:sz w:val="24"/>
              </w:rPr>
              <w:t>分值构成</w:t>
            </w:r>
          </w:p>
          <w:p w14:paraId="147EEC32">
            <w:pPr>
              <w:wordWrap w:val="0"/>
              <w:topLinePunct/>
              <w:adjustRightInd w:val="0"/>
              <w:snapToGrid w:val="0"/>
              <w:spacing w:line="360" w:lineRule="auto"/>
              <w:jc w:val="center"/>
              <w:rPr>
                <w:rFonts w:ascii="宋体" w:hAnsi="宋体" w:cs="宋体"/>
                <w:sz w:val="24"/>
              </w:rPr>
            </w:pPr>
            <w:r>
              <w:rPr>
                <w:rFonts w:hint="eastAsia" w:ascii="宋体" w:hAnsi="宋体" w:cs="宋体"/>
                <w:sz w:val="24"/>
              </w:rPr>
              <w:t>（总分100分）</w:t>
            </w:r>
          </w:p>
        </w:tc>
        <w:tc>
          <w:tcPr>
            <w:tcW w:w="5695" w:type="dxa"/>
            <w:shd w:val="clear" w:color="auto" w:fill="auto"/>
            <w:vAlign w:val="center"/>
          </w:tcPr>
          <w:p w14:paraId="66F79C08">
            <w:pPr>
              <w:wordWrap w:val="0"/>
              <w:topLinePunct/>
              <w:adjustRightInd w:val="0"/>
              <w:snapToGrid w:val="0"/>
              <w:spacing w:line="360" w:lineRule="auto"/>
              <w:rPr>
                <w:rFonts w:ascii="宋体" w:hAnsi="宋体" w:cs="宋体"/>
                <w:sz w:val="24"/>
              </w:rPr>
            </w:pPr>
            <w:r>
              <w:rPr>
                <w:rFonts w:hint="eastAsia" w:ascii="宋体" w:hAnsi="宋体" w:cs="宋体"/>
                <w:sz w:val="24"/>
              </w:rPr>
              <w:t>投标报价：30分</w:t>
            </w:r>
          </w:p>
          <w:p w14:paraId="20E3C417">
            <w:pPr>
              <w:wordWrap w:val="0"/>
              <w:topLinePunct/>
              <w:adjustRightInd w:val="0"/>
              <w:snapToGrid w:val="0"/>
              <w:spacing w:line="360" w:lineRule="auto"/>
              <w:rPr>
                <w:rFonts w:ascii="宋体" w:hAnsi="宋体" w:cs="宋体"/>
                <w:sz w:val="24"/>
              </w:rPr>
            </w:pPr>
            <w:r>
              <w:rPr>
                <w:rFonts w:hint="eastAsia" w:ascii="宋体" w:hAnsi="宋体" w:cs="宋体"/>
                <w:sz w:val="24"/>
              </w:rPr>
              <w:t>商务部分：20分</w:t>
            </w:r>
          </w:p>
          <w:p w14:paraId="097FBB1D">
            <w:pPr>
              <w:wordWrap w:val="0"/>
              <w:topLinePunct/>
              <w:adjustRightInd w:val="0"/>
              <w:snapToGrid w:val="0"/>
              <w:spacing w:line="360" w:lineRule="auto"/>
              <w:rPr>
                <w:rFonts w:ascii="宋体" w:hAnsi="宋体" w:cs="宋体"/>
                <w:sz w:val="24"/>
              </w:rPr>
            </w:pPr>
            <w:r>
              <w:rPr>
                <w:rFonts w:hint="eastAsia" w:ascii="宋体" w:hAnsi="宋体" w:cs="宋体"/>
                <w:sz w:val="24"/>
              </w:rPr>
              <w:t>技术部分：50分</w:t>
            </w:r>
          </w:p>
        </w:tc>
      </w:tr>
      <w:tr w14:paraId="552C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514" w:type="dxa"/>
            <w:gridSpan w:val="2"/>
            <w:shd w:val="clear" w:color="auto" w:fill="auto"/>
            <w:vAlign w:val="center"/>
          </w:tcPr>
          <w:p w14:paraId="36F60F85">
            <w:pPr>
              <w:wordWrap w:val="0"/>
              <w:topLinePunct/>
              <w:adjustRightInd w:val="0"/>
              <w:snapToGrid w:val="0"/>
              <w:spacing w:line="360" w:lineRule="auto"/>
              <w:jc w:val="center"/>
              <w:rPr>
                <w:rFonts w:ascii="宋体" w:hAnsi="宋体" w:cs="宋体"/>
                <w:sz w:val="24"/>
              </w:rPr>
            </w:pPr>
            <w:r>
              <w:rPr>
                <w:rFonts w:hint="eastAsia" w:ascii="宋体" w:hAnsi="宋体" w:cs="宋体"/>
                <w:sz w:val="24"/>
              </w:rPr>
              <w:t>2.2.2</w:t>
            </w:r>
          </w:p>
        </w:tc>
        <w:tc>
          <w:tcPr>
            <w:tcW w:w="1909" w:type="dxa"/>
            <w:shd w:val="clear" w:color="auto" w:fill="auto"/>
            <w:vAlign w:val="center"/>
          </w:tcPr>
          <w:p w14:paraId="1AD9A63B">
            <w:pPr>
              <w:wordWrap w:val="0"/>
              <w:topLinePunct/>
              <w:adjustRightInd w:val="0"/>
              <w:snapToGrid w:val="0"/>
              <w:spacing w:line="360" w:lineRule="auto"/>
              <w:jc w:val="center"/>
              <w:rPr>
                <w:rFonts w:ascii="宋体" w:hAnsi="宋体" w:cs="宋体"/>
                <w:sz w:val="24"/>
              </w:rPr>
            </w:pPr>
            <w:r>
              <w:rPr>
                <w:rFonts w:hint="eastAsia" w:ascii="宋体" w:hAnsi="宋体" w:cs="宋体"/>
                <w:sz w:val="24"/>
              </w:rPr>
              <w:t>评标基准价计算方法</w:t>
            </w:r>
          </w:p>
        </w:tc>
        <w:tc>
          <w:tcPr>
            <w:tcW w:w="5695" w:type="dxa"/>
            <w:shd w:val="clear" w:color="auto" w:fill="auto"/>
            <w:vAlign w:val="center"/>
          </w:tcPr>
          <w:p w14:paraId="5EC036E3">
            <w:pPr>
              <w:wordWrap w:val="0"/>
              <w:topLinePunct/>
              <w:adjustRightInd w:val="0"/>
              <w:snapToGrid w:val="0"/>
              <w:spacing w:line="360" w:lineRule="auto"/>
              <w:rPr>
                <w:rFonts w:ascii="宋体" w:hAnsi="宋体" w:cs="宋体"/>
                <w:sz w:val="24"/>
              </w:rPr>
            </w:pPr>
            <w:r>
              <w:rPr>
                <w:rFonts w:hint="eastAsia" w:ascii="宋体" w:hAnsi="宋体" w:cs="宋体"/>
                <w:kern w:val="0"/>
                <w:sz w:val="24"/>
              </w:rPr>
              <w:t>价格分采用低价优先法计算，即满足招标文件要求且投标价格最低的投标报价为评标基准价，</w:t>
            </w:r>
          </w:p>
        </w:tc>
      </w:tr>
      <w:tr w14:paraId="77CD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14" w:type="dxa"/>
            <w:gridSpan w:val="2"/>
            <w:shd w:val="clear" w:color="auto" w:fill="auto"/>
            <w:vAlign w:val="center"/>
          </w:tcPr>
          <w:p w14:paraId="5785472D">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条款号</w:t>
            </w:r>
          </w:p>
        </w:tc>
        <w:tc>
          <w:tcPr>
            <w:tcW w:w="1909" w:type="dxa"/>
            <w:shd w:val="clear" w:color="auto" w:fill="auto"/>
            <w:vAlign w:val="center"/>
          </w:tcPr>
          <w:p w14:paraId="6C31A1A9">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评分因素</w:t>
            </w:r>
          </w:p>
        </w:tc>
        <w:tc>
          <w:tcPr>
            <w:tcW w:w="5695" w:type="dxa"/>
            <w:shd w:val="clear" w:color="auto" w:fill="auto"/>
            <w:vAlign w:val="center"/>
          </w:tcPr>
          <w:p w14:paraId="53A2D67E">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评分标准</w:t>
            </w:r>
          </w:p>
        </w:tc>
      </w:tr>
      <w:tr w14:paraId="73E5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7" w:hRule="atLeast"/>
          <w:jc w:val="center"/>
        </w:trPr>
        <w:tc>
          <w:tcPr>
            <w:tcW w:w="1514" w:type="dxa"/>
            <w:gridSpan w:val="2"/>
            <w:shd w:val="clear" w:color="auto" w:fill="auto"/>
            <w:vAlign w:val="center"/>
          </w:tcPr>
          <w:p w14:paraId="65A5C7E5">
            <w:pPr>
              <w:wordWrap w:val="0"/>
              <w:topLinePunct/>
              <w:adjustRightInd w:val="0"/>
              <w:snapToGrid w:val="0"/>
              <w:spacing w:line="360" w:lineRule="auto"/>
              <w:jc w:val="center"/>
              <w:rPr>
                <w:rFonts w:ascii="宋体" w:hAnsi="宋体" w:cs="宋体"/>
                <w:sz w:val="24"/>
              </w:rPr>
            </w:pPr>
            <w:r>
              <w:rPr>
                <w:rFonts w:hint="eastAsia" w:ascii="宋体" w:hAnsi="宋体" w:cs="宋体"/>
                <w:sz w:val="24"/>
              </w:rPr>
              <w:t>2.2.4</w:t>
            </w:r>
          </w:p>
          <w:p w14:paraId="17D2A06D">
            <w:pPr>
              <w:wordWrap w:val="0"/>
              <w:topLinePunct/>
              <w:adjustRightInd w:val="0"/>
              <w:snapToGrid w:val="0"/>
              <w:spacing w:line="360" w:lineRule="auto"/>
              <w:jc w:val="center"/>
              <w:rPr>
                <w:rFonts w:ascii="宋体" w:hAnsi="宋体" w:cs="宋体"/>
                <w:b/>
                <w:bCs/>
                <w:sz w:val="24"/>
              </w:rPr>
            </w:pPr>
            <w:r>
              <w:rPr>
                <w:rFonts w:hint="eastAsia" w:ascii="宋体" w:hAnsi="宋体" w:cs="宋体"/>
                <w:sz w:val="24"/>
              </w:rPr>
              <w:t>（1）</w:t>
            </w:r>
          </w:p>
        </w:tc>
        <w:tc>
          <w:tcPr>
            <w:tcW w:w="1909" w:type="dxa"/>
            <w:shd w:val="clear" w:color="auto" w:fill="auto"/>
            <w:vAlign w:val="center"/>
          </w:tcPr>
          <w:p w14:paraId="3F6CD637">
            <w:pPr>
              <w:wordWrap w:val="0"/>
              <w:topLinePunct/>
              <w:adjustRightInd w:val="0"/>
              <w:snapToGrid w:val="0"/>
              <w:spacing w:line="360" w:lineRule="auto"/>
              <w:jc w:val="center"/>
              <w:rPr>
                <w:rFonts w:ascii="宋体" w:hAnsi="宋体" w:cs="宋体"/>
                <w:sz w:val="24"/>
              </w:rPr>
            </w:pPr>
            <w:r>
              <w:rPr>
                <w:rFonts w:hint="eastAsia" w:ascii="宋体" w:hAnsi="宋体" w:cs="宋体"/>
                <w:sz w:val="24"/>
              </w:rPr>
              <w:t>投标报价</w:t>
            </w:r>
          </w:p>
          <w:p w14:paraId="1B16559C">
            <w:pPr>
              <w:wordWrap w:val="0"/>
              <w:topLinePunct/>
              <w:adjustRightInd w:val="0"/>
              <w:snapToGrid w:val="0"/>
              <w:spacing w:line="360" w:lineRule="auto"/>
              <w:jc w:val="center"/>
              <w:rPr>
                <w:rFonts w:ascii="宋体" w:hAnsi="宋体" w:cs="宋体"/>
                <w:b/>
                <w:bCs/>
                <w:sz w:val="24"/>
              </w:rPr>
            </w:pPr>
            <w:r>
              <w:rPr>
                <w:rFonts w:hint="eastAsia" w:ascii="宋体" w:hAnsi="宋体" w:cs="宋体"/>
                <w:sz w:val="24"/>
              </w:rPr>
              <w:t>（30分）</w:t>
            </w:r>
          </w:p>
        </w:tc>
        <w:tc>
          <w:tcPr>
            <w:tcW w:w="5695" w:type="dxa"/>
            <w:shd w:val="clear" w:color="auto" w:fill="auto"/>
            <w:vAlign w:val="center"/>
          </w:tcPr>
          <w:p w14:paraId="29B36978">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本项目投标价超出预算价的，采购人不予接受，且投标为无效。</w:t>
            </w:r>
          </w:p>
          <w:p w14:paraId="418F2337">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投标报价得分：价格分采用低价优先法计算，即满足招标文件要求且投标价格最低的投标报价为评标基准价，得30分，其他供应商的价格分按照下列公式计算：</w:t>
            </w:r>
          </w:p>
          <w:p w14:paraId="612CAA4E">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报价得分=（评标基准价/投标报价）×30(精确到小数点后两位,四舍五入)</w:t>
            </w:r>
          </w:p>
          <w:p w14:paraId="759B9A40">
            <w:pPr>
              <w:pStyle w:val="17"/>
              <w:spacing w:after="0" w:line="360" w:lineRule="auto"/>
              <w:ind w:firstLine="241"/>
              <w:rPr>
                <w:rFonts w:ascii="宋体" w:hAnsi="宋体" w:cs="宋体"/>
                <w:b/>
                <w:bCs/>
                <w:sz w:val="24"/>
                <w:lang w:val="zh-CN"/>
              </w:rPr>
            </w:pPr>
            <w:r>
              <w:rPr>
                <w:rFonts w:hint="eastAsia" w:ascii="宋体" w:hAnsi="宋体" w:cs="宋体"/>
                <w:b/>
                <w:bCs/>
                <w:sz w:val="24"/>
                <w:lang w:val="zh-CN"/>
              </w:rPr>
              <w:t>价格扣除：《三门峡市财政局关于进一步加大政府采购支持中小企业发展有关事项的通知》（三财购〔2022〕9 号）的规定，对于非专门面向中小企业的项目，对小型和微型企业产品的价格给予20%的扣除，用扣除后的价格参与评审。对于中型企业产品的价格不予扣除。供应商须提供中小企业声明函，否则不予认可。（注：小型、微型企业提供中型企业制造的货物的，视同为中型企业。）</w:t>
            </w:r>
          </w:p>
          <w:p w14:paraId="1C58CBC9">
            <w:pPr>
              <w:pStyle w:val="11"/>
              <w:adjustRightInd w:val="0"/>
              <w:snapToGrid w:val="0"/>
              <w:spacing w:line="360" w:lineRule="auto"/>
              <w:ind w:firstLine="0"/>
              <w:rPr>
                <w:rFonts w:hAnsi="宋体" w:cs="宋体"/>
                <w:sz w:val="24"/>
              </w:rPr>
            </w:pPr>
            <w:r>
              <w:rPr>
                <w:rFonts w:hint="eastAsia" w:hAnsi="宋体" w:cs="宋体"/>
                <w:b/>
                <w:bCs/>
                <w:sz w:val="24"/>
                <w:lang w:val="zh-CN"/>
              </w:rPr>
              <w:t>所投中小微企业产品报价=所投中小微企业产品报价×（1-20%）</w:t>
            </w:r>
          </w:p>
        </w:tc>
      </w:tr>
      <w:tr w14:paraId="2B41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802" w:type="dxa"/>
            <w:vMerge w:val="restart"/>
            <w:tcBorders>
              <w:right w:val="single" w:color="auto" w:sz="4" w:space="0"/>
            </w:tcBorders>
            <w:shd w:val="clear" w:color="auto" w:fill="auto"/>
            <w:vAlign w:val="center"/>
          </w:tcPr>
          <w:p w14:paraId="699F25F0">
            <w:pPr>
              <w:wordWrap w:val="0"/>
              <w:topLinePunct/>
              <w:adjustRightInd w:val="0"/>
              <w:snapToGrid w:val="0"/>
              <w:spacing w:line="360" w:lineRule="auto"/>
              <w:jc w:val="center"/>
              <w:rPr>
                <w:rFonts w:ascii="宋体" w:hAnsi="宋体" w:cs="宋体"/>
                <w:sz w:val="24"/>
              </w:rPr>
            </w:pPr>
            <w:r>
              <w:rPr>
                <w:rFonts w:hint="eastAsia" w:ascii="宋体" w:hAnsi="宋体" w:cs="宋体"/>
                <w:sz w:val="24"/>
              </w:rPr>
              <w:t>2.2.4</w:t>
            </w:r>
          </w:p>
          <w:p w14:paraId="21898ADF">
            <w:pPr>
              <w:wordWrap w:val="0"/>
              <w:topLinePunct/>
              <w:adjustRightInd w:val="0"/>
              <w:snapToGrid w:val="0"/>
              <w:spacing w:line="360" w:lineRule="auto"/>
              <w:jc w:val="center"/>
              <w:rPr>
                <w:rFonts w:ascii="宋体" w:hAnsi="宋体" w:cs="宋体"/>
                <w:sz w:val="24"/>
              </w:rPr>
            </w:pPr>
            <w:r>
              <w:rPr>
                <w:rFonts w:hint="eastAsia" w:ascii="宋体" w:hAnsi="宋体" w:cs="宋体"/>
                <w:sz w:val="24"/>
              </w:rPr>
              <w:t>(2)</w:t>
            </w:r>
          </w:p>
        </w:tc>
        <w:tc>
          <w:tcPr>
            <w:tcW w:w="712" w:type="dxa"/>
            <w:vMerge w:val="restart"/>
            <w:tcBorders>
              <w:left w:val="single" w:color="auto" w:sz="4" w:space="0"/>
            </w:tcBorders>
            <w:shd w:val="clear" w:color="auto" w:fill="auto"/>
            <w:vAlign w:val="center"/>
          </w:tcPr>
          <w:p w14:paraId="616DF14A">
            <w:pPr>
              <w:wordWrap w:val="0"/>
              <w:topLinePunct/>
              <w:adjustRightInd w:val="0"/>
              <w:snapToGrid w:val="0"/>
              <w:spacing w:line="360" w:lineRule="auto"/>
              <w:rPr>
                <w:rFonts w:ascii="宋体" w:hAnsi="宋体" w:cs="宋体"/>
                <w:sz w:val="24"/>
              </w:rPr>
            </w:pPr>
          </w:p>
          <w:p w14:paraId="1C098446">
            <w:pPr>
              <w:wordWrap w:val="0"/>
              <w:topLinePunct/>
              <w:adjustRightInd w:val="0"/>
              <w:snapToGrid w:val="0"/>
              <w:spacing w:line="360" w:lineRule="auto"/>
              <w:rPr>
                <w:rFonts w:ascii="宋体" w:hAnsi="宋体" w:cs="宋体"/>
                <w:sz w:val="24"/>
              </w:rPr>
            </w:pPr>
            <w:r>
              <w:rPr>
                <w:rFonts w:hint="eastAsia" w:ascii="宋体" w:hAnsi="宋体" w:cs="宋体"/>
                <w:sz w:val="24"/>
              </w:rPr>
              <w:t>综合部分20分</w:t>
            </w:r>
          </w:p>
        </w:tc>
        <w:tc>
          <w:tcPr>
            <w:tcW w:w="1909" w:type="dxa"/>
            <w:shd w:val="clear" w:color="auto" w:fill="auto"/>
            <w:vAlign w:val="center"/>
          </w:tcPr>
          <w:p w14:paraId="2CDADA90">
            <w:pPr>
              <w:wordWrap w:val="0"/>
              <w:topLinePunct/>
              <w:adjustRightInd w:val="0"/>
              <w:snapToGrid w:val="0"/>
              <w:spacing w:line="360" w:lineRule="auto"/>
              <w:jc w:val="center"/>
              <w:rPr>
                <w:rFonts w:ascii="宋体" w:hAnsi="宋体" w:cs="宋体"/>
                <w:sz w:val="24"/>
              </w:rPr>
            </w:pPr>
            <w:r>
              <w:rPr>
                <w:rFonts w:hint="eastAsia" w:ascii="宋体" w:hAnsi="宋体" w:cs="宋体"/>
                <w:bCs/>
                <w:sz w:val="24"/>
              </w:rPr>
              <w:t>企业业绩（</w:t>
            </w:r>
            <w:r>
              <w:rPr>
                <w:rFonts w:hint="eastAsia" w:ascii="宋体" w:hAnsi="宋体" w:cs="宋体"/>
                <w:sz w:val="24"/>
              </w:rPr>
              <w:t>4分</w:t>
            </w:r>
            <w:r>
              <w:rPr>
                <w:rFonts w:hint="eastAsia" w:ascii="宋体" w:hAnsi="宋体" w:cs="宋体"/>
                <w:bCs/>
                <w:sz w:val="24"/>
              </w:rPr>
              <w:t>）</w:t>
            </w:r>
          </w:p>
        </w:tc>
        <w:tc>
          <w:tcPr>
            <w:tcW w:w="5695" w:type="dxa"/>
            <w:shd w:val="clear" w:color="auto" w:fill="auto"/>
            <w:vAlign w:val="center"/>
          </w:tcPr>
          <w:p w14:paraId="05755161">
            <w:pPr>
              <w:pStyle w:val="29"/>
              <w:wordWrap w:val="0"/>
              <w:topLinePunct/>
              <w:adjustRightInd w:val="0"/>
              <w:snapToGrid w:val="0"/>
              <w:spacing w:line="360" w:lineRule="auto"/>
              <w:rPr>
                <w:bCs/>
                <w:sz w:val="24"/>
                <w:szCs w:val="24"/>
                <w:lang w:eastAsia="zh-CN"/>
              </w:rPr>
            </w:pPr>
            <w:r>
              <w:rPr>
                <w:rFonts w:hint="eastAsia"/>
                <w:bCs/>
                <w:sz w:val="24"/>
                <w:szCs w:val="24"/>
                <w:lang w:eastAsia="zh-CN"/>
              </w:rPr>
              <w:t>供应商提供2022年1月以来类似项目业绩，每有一项得2分，最多得4分。（需提供中标通知书或合同协议书扫描件以投标单位自行上传到投标文件中的相应内容为准。）</w:t>
            </w:r>
          </w:p>
          <w:p w14:paraId="3BCE151E">
            <w:pPr>
              <w:pStyle w:val="29"/>
              <w:wordWrap w:val="0"/>
              <w:topLinePunct/>
              <w:adjustRightInd w:val="0"/>
              <w:snapToGrid w:val="0"/>
              <w:spacing w:line="360" w:lineRule="auto"/>
              <w:rPr>
                <w:sz w:val="24"/>
                <w:szCs w:val="24"/>
                <w:lang w:eastAsia="zh-CN"/>
              </w:rPr>
            </w:pPr>
            <w:r>
              <w:rPr>
                <w:rFonts w:hint="eastAsia"/>
                <w:b/>
                <w:bCs/>
                <w:sz w:val="24"/>
                <w:szCs w:val="24"/>
                <w:lang w:eastAsia="zh-CN"/>
              </w:rPr>
              <w:t>（注：投标文件中附清晰可辨的中标通知书（或成交通知书）或合同协议，否则不得分。</w:t>
            </w:r>
          </w:p>
        </w:tc>
      </w:tr>
      <w:tr w14:paraId="4505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802" w:type="dxa"/>
            <w:vMerge w:val="continue"/>
            <w:tcBorders>
              <w:right w:val="single" w:color="auto" w:sz="4" w:space="0"/>
            </w:tcBorders>
            <w:shd w:val="clear" w:color="auto" w:fill="auto"/>
            <w:vAlign w:val="center"/>
          </w:tcPr>
          <w:p w14:paraId="3E009446">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6509E940">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3143876A">
            <w:pPr>
              <w:autoSpaceDE w:val="0"/>
              <w:autoSpaceDN w:val="0"/>
              <w:adjustRightInd w:val="0"/>
              <w:spacing w:line="360" w:lineRule="auto"/>
              <w:jc w:val="center"/>
              <w:rPr>
                <w:rFonts w:ascii="宋体" w:hAnsi="宋体" w:cs="宋体"/>
                <w:bCs/>
                <w:sz w:val="24"/>
              </w:rPr>
            </w:pPr>
            <w:r>
              <w:rPr>
                <w:rFonts w:hint="eastAsia" w:ascii="宋体" w:hAnsi="宋体" w:cs="宋体"/>
                <w:sz w:val="24"/>
              </w:rPr>
              <w:t>售后服务（4分）</w:t>
            </w:r>
          </w:p>
        </w:tc>
        <w:tc>
          <w:tcPr>
            <w:tcW w:w="5695" w:type="dxa"/>
            <w:shd w:val="clear" w:color="auto" w:fill="auto"/>
            <w:vAlign w:val="center"/>
          </w:tcPr>
          <w:p w14:paraId="0F5C9899">
            <w:pPr>
              <w:adjustRightInd w:val="0"/>
              <w:snapToGrid w:val="0"/>
              <w:spacing w:line="360" w:lineRule="auto"/>
              <w:rPr>
                <w:rFonts w:ascii="宋体" w:hAnsi="宋体" w:cs="宋体"/>
                <w:bCs/>
                <w:sz w:val="24"/>
              </w:rPr>
            </w:pPr>
            <w:r>
              <w:rPr>
                <w:rFonts w:hint="eastAsia" w:ascii="宋体" w:hAnsi="宋体" w:cs="宋体"/>
                <w:bCs/>
                <w:sz w:val="24"/>
              </w:rPr>
              <w:t>投标人制定的售后服务方案应针对本项目的售后服务内容、售后服务期限、服务体系、响应方式、响应时间等进行详细说明，由评标委员会进行横向比较：</w:t>
            </w:r>
          </w:p>
          <w:p w14:paraId="3E03E938">
            <w:pPr>
              <w:pStyle w:val="30"/>
              <w:adjustRightInd w:val="0"/>
              <w:snapToGrid w:val="0"/>
              <w:spacing w:line="360" w:lineRule="auto"/>
              <w:jc w:val="both"/>
              <w:rPr>
                <w:rFonts w:hint="default" w:cs="宋体"/>
              </w:rPr>
            </w:pPr>
            <w:r>
              <w:rPr>
                <w:rFonts w:cs="宋体"/>
                <w:bCs/>
                <w:kern w:val="2"/>
              </w:rPr>
              <w:t>内容完整、科学合理的得4分；内容较完整的得3分；内容基本完整的得2分，缺项得0分</w:t>
            </w:r>
          </w:p>
        </w:tc>
      </w:tr>
      <w:tr w14:paraId="4765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02" w:type="dxa"/>
            <w:vMerge w:val="continue"/>
            <w:tcBorders>
              <w:right w:val="single" w:color="auto" w:sz="4" w:space="0"/>
            </w:tcBorders>
            <w:shd w:val="clear" w:color="auto" w:fill="auto"/>
            <w:vAlign w:val="center"/>
          </w:tcPr>
          <w:p w14:paraId="36C72AAE">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102CEA14">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496BCFB4">
            <w:pPr>
              <w:autoSpaceDE w:val="0"/>
              <w:autoSpaceDN w:val="0"/>
              <w:adjustRightInd w:val="0"/>
              <w:spacing w:line="360" w:lineRule="auto"/>
              <w:jc w:val="center"/>
              <w:rPr>
                <w:rFonts w:ascii="宋体" w:hAnsi="宋体" w:cs="宋体"/>
                <w:bCs/>
                <w:sz w:val="24"/>
              </w:rPr>
            </w:pPr>
            <w:r>
              <w:rPr>
                <w:rFonts w:hint="eastAsia" w:ascii="宋体" w:hAnsi="宋体" w:cs="宋体"/>
                <w:bCs/>
                <w:sz w:val="24"/>
              </w:rPr>
              <w:t>紧急情况的处理措施、应急预案的针对性及可操作性（4分）</w:t>
            </w:r>
          </w:p>
        </w:tc>
        <w:tc>
          <w:tcPr>
            <w:tcW w:w="5695" w:type="dxa"/>
            <w:shd w:val="clear" w:color="auto" w:fill="auto"/>
          </w:tcPr>
          <w:p w14:paraId="678E5E03">
            <w:pPr>
              <w:adjustRightInd w:val="0"/>
              <w:snapToGrid w:val="0"/>
              <w:spacing w:line="360" w:lineRule="auto"/>
              <w:rPr>
                <w:rFonts w:ascii="宋体" w:hAnsi="宋体" w:cs="宋体"/>
                <w:bCs/>
                <w:sz w:val="24"/>
              </w:rPr>
            </w:pPr>
            <w:r>
              <w:rPr>
                <w:rFonts w:hint="eastAsia" w:ascii="宋体" w:hAnsi="宋体" w:cs="宋体"/>
                <w:bCs/>
                <w:sz w:val="24"/>
              </w:rPr>
              <w:t>措施合理得当、应急预案内容完善、具有针对性、可操作性强的得4分，措施较为全面、比较切合项目需求、可操作性满足基本情况的得3分，内容整体性、可靠性、合理性待提高的得2分，缺项或不切实际的得0分。</w:t>
            </w:r>
          </w:p>
        </w:tc>
      </w:tr>
      <w:tr w14:paraId="2888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02" w:type="dxa"/>
            <w:vMerge w:val="continue"/>
            <w:tcBorders>
              <w:right w:val="single" w:color="auto" w:sz="4" w:space="0"/>
            </w:tcBorders>
            <w:shd w:val="clear" w:color="auto" w:fill="auto"/>
            <w:vAlign w:val="center"/>
          </w:tcPr>
          <w:p w14:paraId="273207FE">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38181C98">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00C425DD">
            <w:pPr>
              <w:autoSpaceDE w:val="0"/>
              <w:autoSpaceDN w:val="0"/>
              <w:adjustRightInd w:val="0"/>
              <w:spacing w:line="360" w:lineRule="auto"/>
              <w:jc w:val="center"/>
              <w:rPr>
                <w:rFonts w:ascii="宋体" w:hAnsi="宋体" w:cs="宋体"/>
                <w:bCs/>
                <w:sz w:val="24"/>
              </w:rPr>
            </w:pPr>
            <w:r>
              <w:rPr>
                <w:rFonts w:hint="eastAsia" w:ascii="宋体" w:hAnsi="宋体" w:cs="宋体"/>
                <w:bCs/>
                <w:sz w:val="24"/>
              </w:rPr>
              <w:t>维修保养方案（</w:t>
            </w:r>
            <w:r>
              <w:rPr>
                <w:rFonts w:hint="eastAsia" w:ascii="宋体" w:hAnsi="宋体" w:cs="宋体"/>
                <w:bCs/>
                <w:sz w:val="24"/>
                <w:lang w:val="en-US" w:eastAsia="zh-CN"/>
              </w:rPr>
              <w:t>4</w:t>
            </w:r>
            <w:r>
              <w:rPr>
                <w:rFonts w:hint="eastAsia" w:ascii="宋体" w:hAnsi="宋体" w:cs="宋体"/>
                <w:bCs/>
                <w:sz w:val="24"/>
              </w:rPr>
              <w:t>分）</w:t>
            </w:r>
          </w:p>
        </w:tc>
        <w:tc>
          <w:tcPr>
            <w:tcW w:w="5695" w:type="dxa"/>
            <w:shd w:val="clear" w:color="auto" w:fill="auto"/>
          </w:tcPr>
          <w:p w14:paraId="790ED588">
            <w:pPr>
              <w:adjustRightInd w:val="0"/>
              <w:snapToGrid w:val="0"/>
              <w:spacing w:line="360" w:lineRule="auto"/>
              <w:rPr>
                <w:rFonts w:ascii="宋体" w:hAnsi="宋体" w:cs="宋体"/>
                <w:bCs/>
                <w:sz w:val="24"/>
              </w:rPr>
            </w:pPr>
            <w:r>
              <w:rPr>
                <w:rFonts w:hint="eastAsia" w:ascii="宋体" w:hAnsi="宋体" w:cs="宋体"/>
                <w:bCs/>
                <w:sz w:val="24"/>
              </w:rPr>
              <w:t>维修保养方案的科学性、合理性、规范性、可操作性。方案内容非常详尽、完善、切合项目需求得</w:t>
            </w:r>
            <w:r>
              <w:rPr>
                <w:rFonts w:hint="eastAsia" w:ascii="宋体" w:hAnsi="宋体" w:cs="宋体"/>
                <w:bCs/>
                <w:sz w:val="24"/>
                <w:lang w:val="en-US" w:eastAsia="zh-CN"/>
              </w:rPr>
              <w:t>4</w:t>
            </w:r>
            <w:r>
              <w:rPr>
                <w:rFonts w:hint="eastAsia" w:ascii="宋体" w:hAnsi="宋体" w:cs="宋体"/>
                <w:bCs/>
                <w:sz w:val="24"/>
              </w:rPr>
              <w:t>分；方案内容较为全面、比较切合项目需求得</w:t>
            </w:r>
            <w:r>
              <w:rPr>
                <w:rFonts w:hint="eastAsia" w:ascii="宋体" w:hAnsi="宋体" w:cs="宋体"/>
                <w:bCs/>
                <w:sz w:val="24"/>
                <w:lang w:val="en-US" w:eastAsia="zh-CN"/>
              </w:rPr>
              <w:t>3</w:t>
            </w:r>
            <w:r>
              <w:rPr>
                <w:rFonts w:hint="eastAsia" w:ascii="宋体" w:hAnsi="宋体" w:cs="宋体"/>
                <w:bCs/>
                <w:sz w:val="24"/>
              </w:rPr>
              <w:t>分；方案内容笼统、不符合项目需求得</w:t>
            </w:r>
            <w:r>
              <w:rPr>
                <w:rFonts w:hint="eastAsia" w:ascii="宋体" w:hAnsi="宋体" w:cs="宋体"/>
                <w:bCs/>
                <w:sz w:val="24"/>
                <w:lang w:val="en-US" w:eastAsia="zh-CN"/>
              </w:rPr>
              <w:t>2</w:t>
            </w:r>
            <w:r>
              <w:rPr>
                <w:rFonts w:hint="eastAsia" w:ascii="宋体" w:hAnsi="宋体" w:cs="宋体"/>
                <w:bCs/>
                <w:sz w:val="24"/>
              </w:rPr>
              <w:t>分；未提供不得分。</w:t>
            </w:r>
          </w:p>
        </w:tc>
      </w:tr>
      <w:tr w14:paraId="6EAA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02" w:type="dxa"/>
            <w:vMerge w:val="continue"/>
            <w:tcBorders>
              <w:right w:val="single" w:color="auto" w:sz="4" w:space="0"/>
            </w:tcBorders>
            <w:shd w:val="clear" w:color="auto" w:fill="auto"/>
            <w:vAlign w:val="center"/>
          </w:tcPr>
          <w:p w14:paraId="0305F605">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5F71A2B8">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7FE17FB4">
            <w:pPr>
              <w:wordWrap w:val="0"/>
              <w:topLinePunct/>
              <w:adjustRightInd w:val="0"/>
              <w:snapToGrid w:val="0"/>
              <w:spacing w:line="360" w:lineRule="auto"/>
              <w:rPr>
                <w:rFonts w:ascii="宋体" w:hAnsi="宋体" w:cs="宋体"/>
                <w:sz w:val="24"/>
              </w:rPr>
            </w:pPr>
            <w:r>
              <w:rPr>
                <w:rFonts w:hint="eastAsia" w:ascii="宋体" w:hAnsi="宋体" w:cs="宋体"/>
                <w:sz w:val="24"/>
              </w:rPr>
              <w:t>人员培训方案（</w:t>
            </w:r>
            <w:r>
              <w:rPr>
                <w:rFonts w:hint="eastAsia" w:ascii="宋体" w:hAnsi="宋体" w:cs="宋体"/>
                <w:sz w:val="24"/>
                <w:lang w:val="en-US" w:eastAsia="zh-CN"/>
              </w:rPr>
              <w:t>4</w:t>
            </w:r>
            <w:r>
              <w:rPr>
                <w:rFonts w:hint="eastAsia" w:ascii="宋体" w:hAnsi="宋体" w:cs="宋体"/>
                <w:sz w:val="24"/>
              </w:rPr>
              <w:t>分）</w:t>
            </w:r>
          </w:p>
        </w:tc>
        <w:tc>
          <w:tcPr>
            <w:tcW w:w="5695" w:type="dxa"/>
            <w:shd w:val="clear" w:color="auto" w:fill="auto"/>
            <w:vAlign w:val="center"/>
          </w:tcPr>
          <w:p w14:paraId="2BDED5A4">
            <w:pPr>
              <w:wordWrap w:val="0"/>
              <w:topLinePunct/>
              <w:adjustRightInd w:val="0"/>
              <w:snapToGrid w:val="0"/>
              <w:spacing w:line="360" w:lineRule="auto"/>
              <w:rPr>
                <w:rFonts w:ascii="宋体" w:hAnsi="宋体" w:cs="宋体"/>
                <w:sz w:val="24"/>
              </w:rPr>
            </w:pPr>
            <w:r>
              <w:rPr>
                <w:rFonts w:hint="eastAsia" w:ascii="宋体" w:hAnsi="宋体" w:cs="宋体"/>
                <w:sz w:val="24"/>
              </w:rPr>
              <w:t>供应商提供对技术人员进行技术培训使其能独立操作、排除简单故障等培训方案，根据各供应商的人员培训计划、培训内容、培训方式、培训时间等情况进行打分，内容齐全、合理、可实施性满足需求的得</w:t>
            </w:r>
            <w:r>
              <w:rPr>
                <w:rFonts w:hint="eastAsia" w:ascii="宋体" w:hAnsi="宋体" w:cs="宋体"/>
                <w:sz w:val="24"/>
                <w:lang w:val="en-US" w:eastAsia="zh-CN"/>
              </w:rPr>
              <w:t>4</w:t>
            </w:r>
            <w:r>
              <w:rPr>
                <w:rFonts w:hint="eastAsia" w:ascii="宋体" w:hAnsi="宋体" w:cs="宋体"/>
                <w:sz w:val="24"/>
              </w:rPr>
              <w:t>分，内容基本齐全、合理、可实施性基本满足得</w:t>
            </w:r>
            <w:r>
              <w:rPr>
                <w:rFonts w:hint="eastAsia" w:ascii="宋体" w:hAnsi="宋体" w:cs="宋体"/>
                <w:sz w:val="24"/>
                <w:lang w:val="en-US" w:eastAsia="zh-CN"/>
              </w:rPr>
              <w:t>3</w:t>
            </w:r>
            <w:r>
              <w:rPr>
                <w:rFonts w:hint="eastAsia" w:ascii="宋体" w:hAnsi="宋体" w:cs="宋体"/>
                <w:sz w:val="24"/>
              </w:rPr>
              <w:t>分，内容笼统、可实施性不符实际的得</w:t>
            </w:r>
            <w:r>
              <w:rPr>
                <w:rFonts w:hint="eastAsia" w:ascii="宋体" w:hAnsi="宋体" w:cs="宋体"/>
                <w:sz w:val="24"/>
                <w:lang w:val="en-US" w:eastAsia="zh-CN"/>
              </w:rPr>
              <w:t>2</w:t>
            </w:r>
            <w:r>
              <w:rPr>
                <w:rFonts w:hint="eastAsia" w:ascii="宋体" w:hAnsi="宋体" w:cs="宋体"/>
                <w:sz w:val="24"/>
              </w:rPr>
              <w:t>分；未提供不得分。</w:t>
            </w:r>
          </w:p>
        </w:tc>
      </w:tr>
      <w:tr w14:paraId="5DFD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02" w:type="dxa"/>
            <w:vMerge w:val="restart"/>
            <w:tcBorders>
              <w:right w:val="single" w:color="auto" w:sz="4" w:space="0"/>
            </w:tcBorders>
            <w:shd w:val="clear" w:color="auto" w:fill="auto"/>
            <w:vAlign w:val="center"/>
          </w:tcPr>
          <w:p w14:paraId="2433808A">
            <w:pPr>
              <w:wordWrap w:val="0"/>
              <w:topLinePunct/>
              <w:adjustRightInd w:val="0"/>
              <w:snapToGrid w:val="0"/>
              <w:spacing w:line="360" w:lineRule="auto"/>
              <w:jc w:val="center"/>
              <w:rPr>
                <w:rFonts w:ascii="宋体" w:hAnsi="宋体" w:cs="宋体"/>
                <w:sz w:val="24"/>
              </w:rPr>
            </w:pPr>
            <w:r>
              <w:rPr>
                <w:rFonts w:hint="eastAsia" w:ascii="宋体" w:hAnsi="宋体" w:cs="宋体"/>
                <w:sz w:val="24"/>
              </w:rPr>
              <w:t>2.2.4</w:t>
            </w:r>
          </w:p>
          <w:p w14:paraId="30DE6948">
            <w:pPr>
              <w:wordWrap w:val="0"/>
              <w:topLinePunct/>
              <w:adjustRightInd w:val="0"/>
              <w:snapToGrid w:val="0"/>
              <w:spacing w:line="360" w:lineRule="auto"/>
              <w:jc w:val="center"/>
              <w:rPr>
                <w:rFonts w:ascii="宋体" w:hAnsi="宋体" w:cs="宋体"/>
                <w:sz w:val="24"/>
              </w:rPr>
            </w:pPr>
            <w:r>
              <w:rPr>
                <w:rFonts w:hint="eastAsia" w:ascii="宋体" w:hAnsi="宋体" w:cs="宋体"/>
                <w:sz w:val="24"/>
              </w:rPr>
              <w:t>（3）</w:t>
            </w:r>
          </w:p>
        </w:tc>
        <w:tc>
          <w:tcPr>
            <w:tcW w:w="712" w:type="dxa"/>
            <w:vMerge w:val="restart"/>
            <w:tcBorders>
              <w:left w:val="single" w:color="auto" w:sz="4" w:space="0"/>
            </w:tcBorders>
            <w:shd w:val="clear" w:color="auto" w:fill="auto"/>
            <w:vAlign w:val="center"/>
          </w:tcPr>
          <w:p w14:paraId="2BD82EFA">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技术部分50分</w:t>
            </w:r>
          </w:p>
        </w:tc>
        <w:tc>
          <w:tcPr>
            <w:tcW w:w="1909" w:type="dxa"/>
            <w:shd w:val="clear" w:color="auto" w:fill="auto"/>
            <w:vAlign w:val="center"/>
          </w:tcPr>
          <w:p w14:paraId="2F1EB97F">
            <w:pPr>
              <w:spacing w:line="360" w:lineRule="auto"/>
              <w:jc w:val="center"/>
              <w:rPr>
                <w:rFonts w:ascii="宋体" w:hAnsi="宋体" w:cs="宋体"/>
                <w:sz w:val="24"/>
              </w:rPr>
            </w:pPr>
            <w:r>
              <w:rPr>
                <w:rFonts w:hint="eastAsia" w:ascii="宋体" w:hAnsi="宋体" w:cs="宋体"/>
                <w:sz w:val="24"/>
              </w:rPr>
              <w:t>技术参数</w:t>
            </w:r>
          </w:p>
          <w:p w14:paraId="663EFAB5">
            <w:pPr>
              <w:wordWrap w:val="0"/>
              <w:topLinePunct/>
              <w:adjustRightInd w:val="0"/>
              <w:snapToGrid w:val="0"/>
              <w:spacing w:line="360" w:lineRule="auto"/>
              <w:jc w:val="center"/>
              <w:rPr>
                <w:rFonts w:ascii="宋体" w:hAnsi="宋体" w:cs="宋体"/>
                <w:kern w:val="0"/>
                <w:sz w:val="24"/>
              </w:rPr>
            </w:pPr>
            <w:r>
              <w:rPr>
                <w:rFonts w:hint="eastAsia" w:ascii="宋体" w:hAnsi="宋体" w:cs="宋体"/>
                <w:sz w:val="24"/>
              </w:rPr>
              <w:t>（28分）</w:t>
            </w:r>
          </w:p>
        </w:tc>
        <w:tc>
          <w:tcPr>
            <w:tcW w:w="5695" w:type="dxa"/>
            <w:shd w:val="clear" w:color="auto" w:fill="auto"/>
            <w:vAlign w:val="center"/>
          </w:tcPr>
          <w:p w14:paraId="64CB3A43">
            <w:pPr>
              <w:pStyle w:val="29"/>
              <w:wordWrap w:val="0"/>
              <w:topLinePunct/>
              <w:adjustRightInd w:val="0"/>
              <w:snapToGrid w:val="0"/>
              <w:spacing w:line="360" w:lineRule="auto"/>
              <w:rPr>
                <w:rFonts w:cs="Times New Roman"/>
                <w:lang w:eastAsia="zh-CN"/>
              </w:rPr>
            </w:pPr>
            <w:r>
              <w:rPr>
                <w:rFonts w:hint="eastAsia"/>
                <w:b/>
                <w:bCs/>
                <w:sz w:val="24"/>
                <w:szCs w:val="24"/>
                <w:lang w:eastAsia="zh-CN"/>
              </w:rPr>
              <w:t>投标产品技术参数符合招标文件要求的得20分，每有一条带★号指标负偏离的，扣2分，扣完为止。★号指标技术参数正偏离的，每有一项增加1分；除★其它技术参数每有一项出现负偏离扣1分，扣完为止，除★其它技术参数正偏离的，每有一项增加0.5分。最多得8分。如有技术参数遗漏处，视为不满足项，得分参照本项规定。(提供产品相关证明材料)为评标依据，不提供技术部分不得分，并保证所提供的全部资料的真实性。</w:t>
            </w:r>
          </w:p>
        </w:tc>
      </w:tr>
      <w:tr w14:paraId="71B3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02" w:type="dxa"/>
            <w:vMerge w:val="continue"/>
            <w:tcBorders>
              <w:right w:val="single" w:color="auto" w:sz="4" w:space="0"/>
            </w:tcBorders>
            <w:shd w:val="clear" w:color="auto" w:fill="auto"/>
            <w:vAlign w:val="center"/>
          </w:tcPr>
          <w:p w14:paraId="0A1C05F2">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33ADC037">
            <w:pPr>
              <w:wordWrap w:val="0"/>
              <w:topLinePunct/>
              <w:adjustRightInd w:val="0"/>
              <w:snapToGrid w:val="0"/>
              <w:spacing w:line="360" w:lineRule="auto"/>
              <w:rPr>
                <w:rFonts w:ascii="宋体" w:hAnsi="宋体" w:cs="宋体"/>
                <w:kern w:val="0"/>
                <w:sz w:val="24"/>
              </w:rPr>
            </w:pPr>
          </w:p>
        </w:tc>
        <w:tc>
          <w:tcPr>
            <w:tcW w:w="1909" w:type="dxa"/>
            <w:shd w:val="clear" w:color="auto" w:fill="auto"/>
            <w:vAlign w:val="center"/>
          </w:tcPr>
          <w:p w14:paraId="4FB94AEB">
            <w:pPr>
              <w:wordWrap w:val="0"/>
              <w:topLinePunct/>
              <w:adjustRightInd w:val="0"/>
              <w:snapToGrid w:val="0"/>
              <w:spacing w:line="360" w:lineRule="auto"/>
              <w:jc w:val="center"/>
              <w:rPr>
                <w:rFonts w:ascii="宋体" w:hAnsi="宋体" w:cs="宋体"/>
                <w:sz w:val="24"/>
              </w:rPr>
            </w:pPr>
            <w:r>
              <w:rPr>
                <w:rFonts w:hint="eastAsia" w:ascii="宋体" w:hAnsi="宋体" w:cs="宋体"/>
                <w:sz w:val="24"/>
              </w:rPr>
              <w:t>节能产品（1分）</w:t>
            </w:r>
          </w:p>
        </w:tc>
        <w:tc>
          <w:tcPr>
            <w:tcW w:w="5695" w:type="dxa"/>
            <w:shd w:val="clear" w:color="auto" w:fill="auto"/>
            <w:vAlign w:val="center"/>
          </w:tcPr>
          <w:p w14:paraId="060BA5B6">
            <w:pPr>
              <w:pStyle w:val="29"/>
              <w:wordWrap w:val="0"/>
              <w:topLinePunct/>
              <w:adjustRightInd w:val="0"/>
              <w:snapToGrid w:val="0"/>
              <w:spacing w:line="360" w:lineRule="auto"/>
              <w:rPr>
                <w:sz w:val="24"/>
                <w:szCs w:val="24"/>
                <w:lang w:eastAsia="zh-CN"/>
              </w:rPr>
            </w:pPr>
            <w:r>
              <w:rPr>
                <w:rFonts w:hint="eastAsia"/>
                <w:sz w:val="24"/>
                <w:szCs w:val="24"/>
                <w:lang w:eastAsia="zh-CN"/>
              </w:rPr>
              <w:t>除采购文件要求的强制采购节能产品：计算机外，所投货物有《中国节能产品认证证书》（有效期内）的加1分（应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2512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02" w:type="dxa"/>
            <w:vMerge w:val="continue"/>
            <w:tcBorders>
              <w:right w:val="single" w:color="auto" w:sz="4" w:space="0"/>
            </w:tcBorders>
            <w:shd w:val="clear" w:color="auto" w:fill="auto"/>
            <w:vAlign w:val="center"/>
          </w:tcPr>
          <w:p w14:paraId="3404C2F2">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77FEE493">
            <w:pPr>
              <w:wordWrap w:val="0"/>
              <w:topLinePunct/>
              <w:adjustRightInd w:val="0"/>
              <w:snapToGrid w:val="0"/>
              <w:spacing w:line="360" w:lineRule="auto"/>
              <w:rPr>
                <w:rFonts w:ascii="宋体" w:hAnsi="宋体" w:cs="宋体"/>
                <w:kern w:val="0"/>
                <w:sz w:val="24"/>
              </w:rPr>
            </w:pPr>
          </w:p>
        </w:tc>
        <w:tc>
          <w:tcPr>
            <w:tcW w:w="1909" w:type="dxa"/>
            <w:shd w:val="clear" w:color="auto" w:fill="auto"/>
            <w:vAlign w:val="center"/>
          </w:tcPr>
          <w:p w14:paraId="045F1F77">
            <w:pPr>
              <w:wordWrap w:val="0"/>
              <w:topLinePunct/>
              <w:adjustRightInd w:val="0"/>
              <w:snapToGrid w:val="0"/>
              <w:spacing w:line="360" w:lineRule="auto"/>
              <w:jc w:val="center"/>
              <w:rPr>
                <w:rFonts w:ascii="宋体" w:hAnsi="宋体" w:cs="宋体"/>
                <w:sz w:val="24"/>
              </w:rPr>
            </w:pPr>
            <w:r>
              <w:rPr>
                <w:rFonts w:hint="eastAsia" w:ascii="宋体" w:hAnsi="宋体" w:cs="宋体"/>
                <w:sz w:val="24"/>
              </w:rPr>
              <w:t>环境标志产品（1分）</w:t>
            </w:r>
          </w:p>
        </w:tc>
        <w:tc>
          <w:tcPr>
            <w:tcW w:w="5695" w:type="dxa"/>
            <w:shd w:val="clear" w:color="auto" w:fill="auto"/>
            <w:vAlign w:val="center"/>
          </w:tcPr>
          <w:p w14:paraId="1AB629F2">
            <w:pPr>
              <w:pStyle w:val="29"/>
              <w:wordWrap w:val="0"/>
              <w:topLinePunct/>
              <w:adjustRightInd w:val="0"/>
              <w:snapToGrid w:val="0"/>
              <w:spacing w:line="360" w:lineRule="auto"/>
              <w:rPr>
                <w:sz w:val="24"/>
                <w:szCs w:val="24"/>
                <w:lang w:eastAsia="zh-CN"/>
              </w:rPr>
            </w:pPr>
            <w:r>
              <w:rPr>
                <w:rFonts w:hint="eastAsia"/>
                <w:sz w:val="24"/>
                <w:szCs w:val="24"/>
                <w:lang w:eastAsia="zh-CN"/>
              </w:rPr>
              <w:t>所投货物有《中国环境标志产品认证证书》（有效期内）的加1分（应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04F1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jc w:val="center"/>
        </w:trPr>
        <w:tc>
          <w:tcPr>
            <w:tcW w:w="802" w:type="dxa"/>
            <w:vMerge w:val="continue"/>
            <w:tcBorders>
              <w:right w:val="single" w:color="auto" w:sz="4" w:space="0"/>
            </w:tcBorders>
            <w:shd w:val="clear" w:color="auto" w:fill="auto"/>
            <w:vAlign w:val="center"/>
          </w:tcPr>
          <w:p w14:paraId="649642D7">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0180E97B">
            <w:pPr>
              <w:wordWrap w:val="0"/>
              <w:topLinePunct/>
              <w:adjustRightInd w:val="0"/>
              <w:snapToGrid w:val="0"/>
              <w:spacing w:line="360" w:lineRule="auto"/>
              <w:rPr>
                <w:rFonts w:ascii="宋体" w:hAnsi="宋体" w:cs="宋体"/>
                <w:kern w:val="0"/>
                <w:sz w:val="24"/>
              </w:rPr>
            </w:pPr>
          </w:p>
        </w:tc>
        <w:tc>
          <w:tcPr>
            <w:tcW w:w="1909" w:type="dxa"/>
            <w:vMerge w:val="restart"/>
            <w:shd w:val="clear" w:color="auto" w:fill="auto"/>
            <w:vAlign w:val="center"/>
          </w:tcPr>
          <w:p w14:paraId="2E0BAA5F">
            <w:pPr>
              <w:pStyle w:val="24"/>
              <w:jc w:val="center"/>
              <w:rPr>
                <w:rFonts w:hAnsi="宋体"/>
              </w:rPr>
            </w:pPr>
            <w:r>
              <w:rPr>
                <w:rFonts w:hint="eastAsia" w:hAnsi="宋体"/>
              </w:rPr>
              <w:t>实施方案</w:t>
            </w:r>
          </w:p>
          <w:p w14:paraId="7B1B909B">
            <w:pPr>
              <w:wordWrap w:val="0"/>
              <w:topLinePunct/>
              <w:adjustRightInd w:val="0"/>
              <w:snapToGrid w:val="0"/>
              <w:spacing w:line="360" w:lineRule="auto"/>
              <w:jc w:val="center"/>
              <w:rPr>
                <w:rFonts w:ascii="宋体" w:hAnsi="宋体" w:cs="宋体"/>
                <w:sz w:val="24"/>
              </w:rPr>
            </w:pPr>
            <w:r>
              <w:rPr>
                <w:rFonts w:hint="eastAsia" w:ascii="宋体" w:hAnsi="宋体" w:cs="宋体"/>
                <w:sz w:val="24"/>
              </w:rPr>
              <w:t>（20分）</w:t>
            </w:r>
          </w:p>
        </w:tc>
        <w:tc>
          <w:tcPr>
            <w:tcW w:w="5695" w:type="dxa"/>
            <w:shd w:val="clear" w:color="auto" w:fill="auto"/>
            <w:vAlign w:val="center"/>
          </w:tcPr>
          <w:p w14:paraId="50B9E8A5">
            <w:pPr>
              <w:spacing w:line="360" w:lineRule="auto"/>
              <w:ind w:right="-76" w:rightChars="-36"/>
              <w:jc w:val="left"/>
              <w:rPr>
                <w:rFonts w:ascii="宋体" w:hAnsi="宋体" w:cs="宋体"/>
                <w:sz w:val="24"/>
              </w:rPr>
            </w:pPr>
            <w:r>
              <w:rPr>
                <w:rFonts w:hint="eastAsia" w:ascii="宋体" w:hAnsi="宋体" w:cs="宋体"/>
                <w:sz w:val="24"/>
              </w:rPr>
              <w:t>1、根据供货安装方案的完整性、科学性、合理性、可行性，并能满足项目需求等方面进行打分：</w:t>
            </w:r>
          </w:p>
          <w:p w14:paraId="5EE2906A">
            <w:pPr>
              <w:spacing w:line="360" w:lineRule="auto"/>
              <w:rPr>
                <w:rFonts w:ascii="宋体" w:hAnsi="宋体" w:cs="宋体"/>
                <w:sz w:val="24"/>
              </w:rPr>
            </w:pPr>
            <w:r>
              <w:rPr>
                <w:rFonts w:hint="eastAsia" w:ascii="宋体" w:hAnsi="宋体" w:cs="宋体"/>
                <w:sz w:val="24"/>
              </w:rPr>
              <w:t>方案具有针对性，根据项目需求情况提出详细、具体、明确的流程、方式方法、效果的，得5分；方案较为全面，能符合项目需求，有提出明确流程、方式方法的，得3分；</w:t>
            </w:r>
          </w:p>
          <w:p w14:paraId="5B7DABB4">
            <w:pPr>
              <w:spacing w:line="360" w:lineRule="auto"/>
              <w:rPr>
                <w:rFonts w:ascii="宋体" w:hAnsi="宋体" w:cs="宋体"/>
                <w:sz w:val="24"/>
              </w:rPr>
            </w:pPr>
            <w:r>
              <w:rPr>
                <w:rFonts w:hint="eastAsia" w:ascii="宋体" w:hAnsi="宋体" w:cs="宋体"/>
                <w:sz w:val="24"/>
              </w:rPr>
              <w:t>方案简单，流程不够完整，方式方法一般的，得1分；没有不得分；</w:t>
            </w:r>
          </w:p>
        </w:tc>
      </w:tr>
      <w:tr w14:paraId="11A5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802" w:type="dxa"/>
            <w:vMerge w:val="continue"/>
            <w:tcBorders>
              <w:right w:val="single" w:color="auto" w:sz="4" w:space="0"/>
            </w:tcBorders>
            <w:shd w:val="clear" w:color="auto" w:fill="auto"/>
            <w:vAlign w:val="center"/>
          </w:tcPr>
          <w:p w14:paraId="284106C4">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6B7C96CE">
            <w:pPr>
              <w:wordWrap w:val="0"/>
              <w:topLinePunct/>
              <w:adjustRightInd w:val="0"/>
              <w:snapToGrid w:val="0"/>
              <w:spacing w:line="360" w:lineRule="auto"/>
              <w:rPr>
                <w:rFonts w:ascii="宋体" w:hAnsi="宋体" w:cs="宋体"/>
                <w:kern w:val="0"/>
                <w:sz w:val="24"/>
              </w:rPr>
            </w:pPr>
          </w:p>
        </w:tc>
        <w:tc>
          <w:tcPr>
            <w:tcW w:w="1909" w:type="dxa"/>
            <w:vMerge w:val="continue"/>
            <w:shd w:val="clear" w:color="auto" w:fill="auto"/>
            <w:vAlign w:val="center"/>
          </w:tcPr>
          <w:p w14:paraId="623EF443">
            <w:pPr>
              <w:wordWrap w:val="0"/>
              <w:topLinePunct/>
              <w:adjustRightInd w:val="0"/>
              <w:snapToGrid w:val="0"/>
              <w:spacing w:line="360" w:lineRule="auto"/>
              <w:rPr>
                <w:rFonts w:ascii="宋体" w:hAnsi="宋体" w:cs="宋体"/>
                <w:sz w:val="24"/>
              </w:rPr>
            </w:pPr>
          </w:p>
        </w:tc>
        <w:tc>
          <w:tcPr>
            <w:tcW w:w="5695" w:type="dxa"/>
            <w:shd w:val="clear" w:color="auto" w:fill="auto"/>
            <w:vAlign w:val="center"/>
          </w:tcPr>
          <w:p w14:paraId="198E276A">
            <w:pPr>
              <w:spacing w:line="360" w:lineRule="auto"/>
              <w:ind w:right="-76" w:rightChars="-36"/>
              <w:jc w:val="left"/>
              <w:rPr>
                <w:rFonts w:ascii="宋体" w:hAnsi="宋体" w:cs="宋体"/>
                <w:sz w:val="24"/>
              </w:rPr>
            </w:pPr>
            <w:r>
              <w:rPr>
                <w:rFonts w:hint="eastAsia" w:ascii="宋体" w:hAnsi="宋体" w:cs="宋体"/>
                <w:sz w:val="24"/>
              </w:rPr>
              <w:t>2、根据进度保障措施的完整性、科学性、合理性、可行性，并能满 足项目需求等方面进行打分：</w:t>
            </w:r>
          </w:p>
          <w:p w14:paraId="0D904EB1">
            <w:pPr>
              <w:spacing w:line="360" w:lineRule="auto"/>
              <w:ind w:right="-76" w:rightChars="-36"/>
              <w:jc w:val="left"/>
              <w:rPr>
                <w:rFonts w:ascii="宋体" w:hAnsi="宋体" w:cs="宋体"/>
                <w:sz w:val="24"/>
              </w:rPr>
            </w:pPr>
            <w:r>
              <w:rPr>
                <w:rFonts w:hint="eastAsia" w:ascii="宋体" w:hAnsi="宋体" w:cs="宋体"/>
                <w:sz w:val="24"/>
              </w:rPr>
              <w:t>内容完整、科学合理、优于项目需要的得5分；内容较完整、满足项目需要的得3分；内容基本完整、适合项目需要的得1分，缺项得0分；</w:t>
            </w:r>
          </w:p>
        </w:tc>
      </w:tr>
      <w:tr w14:paraId="6745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02" w:type="dxa"/>
            <w:vMerge w:val="continue"/>
            <w:tcBorders>
              <w:right w:val="single" w:color="auto" w:sz="4" w:space="0"/>
            </w:tcBorders>
            <w:shd w:val="clear" w:color="auto" w:fill="auto"/>
            <w:vAlign w:val="center"/>
          </w:tcPr>
          <w:p w14:paraId="2A6DE520">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286DA1D2">
            <w:pPr>
              <w:wordWrap w:val="0"/>
              <w:topLinePunct/>
              <w:adjustRightInd w:val="0"/>
              <w:snapToGrid w:val="0"/>
              <w:spacing w:line="360" w:lineRule="auto"/>
              <w:rPr>
                <w:rFonts w:ascii="宋体" w:hAnsi="宋体" w:cs="宋体"/>
                <w:kern w:val="0"/>
                <w:sz w:val="24"/>
              </w:rPr>
            </w:pPr>
          </w:p>
        </w:tc>
        <w:tc>
          <w:tcPr>
            <w:tcW w:w="1909" w:type="dxa"/>
            <w:vMerge w:val="continue"/>
            <w:shd w:val="clear" w:color="auto" w:fill="auto"/>
            <w:vAlign w:val="center"/>
          </w:tcPr>
          <w:p w14:paraId="51F4C2F6">
            <w:pPr>
              <w:wordWrap w:val="0"/>
              <w:topLinePunct/>
              <w:adjustRightInd w:val="0"/>
              <w:snapToGrid w:val="0"/>
              <w:spacing w:line="360" w:lineRule="auto"/>
              <w:rPr>
                <w:rFonts w:ascii="宋体" w:hAnsi="宋体" w:cs="宋体"/>
                <w:sz w:val="24"/>
              </w:rPr>
            </w:pPr>
          </w:p>
        </w:tc>
        <w:tc>
          <w:tcPr>
            <w:tcW w:w="5695" w:type="dxa"/>
            <w:shd w:val="clear" w:color="auto" w:fill="auto"/>
            <w:vAlign w:val="center"/>
          </w:tcPr>
          <w:p w14:paraId="7833A46F">
            <w:pPr>
              <w:spacing w:line="360" w:lineRule="auto"/>
              <w:ind w:right="-76" w:rightChars="-36"/>
              <w:jc w:val="left"/>
              <w:rPr>
                <w:rFonts w:ascii="宋体" w:hAnsi="宋体" w:cs="宋体"/>
                <w:sz w:val="24"/>
              </w:rPr>
            </w:pPr>
            <w:r>
              <w:rPr>
                <w:rFonts w:hint="eastAsia" w:ascii="宋体" w:hAnsi="宋体" w:cs="宋体"/>
                <w:sz w:val="24"/>
              </w:rPr>
              <w:t>3、根据质量保障措施的完整性、科学性、合理性、可行性，并能满 足项目需求等方面进行评价：</w:t>
            </w:r>
          </w:p>
          <w:p w14:paraId="53319951">
            <w:pPr>
              <w:spacing w:line="360" w:lineRule="auto"/>
              <w:ind w:right="-76" w:rightChars="-36"/>
              <w:jc w:val="left"/>
              <w:rPr>
                <w:rFonts w:ascii="宋体" w:hAnsi="宋体" w:cs="宋体"/>
                <w:sz w:val="24"/>
              </w:rPr>
            </w:pPr>
            <w:r>
              <w:rPr>
                <w:rFonts w:hint="eastAsia" w:ascii="宋体" w:hAnsi="宋体" w:cs="宋体"/>
                <w:sz w:val="24"/>
              </w:rPr>
              <w:t>内容完整、科学合理、优于项目需要的得5分；内容较完整、满足项目需要的得3分；内容基本完整、适合项目需要的得1分，缺项得0分；</w:t>
            </w:r>
          </w:p>
        </w:tc>
      </w:tr>
      <w:tr w14:paraId="1B8E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802" w:type="dxa"/>
            <w:vMerge w:val="continue"/>
            <w:tcBorders>
              <w:right w:val="single" w:color="auto" w:sz="4" w:space="0"/>
            </w:tcBorders>
            <w:shd w:val="clear" w:color="auto" w:fill="auto"/>
            <w:vAlign w:val="center"/>
          </w:tcPr>
          <w:p w14:paraId="1B90EE12">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408FD359">
            <w:pPr>
              <w:wordWrap w:val="0"/>
              <w:topLinePunct/>
              <w:adjustRightInd w:val="0"/>
              <w:snapToGrid w:val="0"/>
              <w:spacing w:line="360" w:lineRule="auto"/>
              <w:rPr>
                <w:rFonts w:ascii="宋体" w:hAnsi="宋体" w:cs="宋体"/>
                <w:bCs/>
                <w:sz w:val="24"/>
              </w:rPr>
            </w:pPr>
          </w:p>
        </w:tc>
        <w:tc>
          <w:tcPr>
            <w:tcW w:w="1909" w:type="dxa"/>
            <w:vMerge w:val="continue"/>
            <w:shd w:val="clear" w:color="auto" w:fill="auto"/>
            <w:vAlign w:val="center"/>
          </w:tcPr>
          <w:p w14:paraId="46245FC8">
            <w:pPr>
              <w:wordWrap w:val="0"/>
              <w:topLinePunct/>
              <w:adjustRightInd w:val="0"/>
              <w:snapToGrid w:val="0"/>
              <w:spacing w:line="360" w:lineRule="auto"/>
              <w:rPr>
                <w:rFonts w:ascii="宋体" w:hAnsi="宋体" w:cs="宋体"/>
                <w:sz w:val="24"/>
              </w:rPr>
            </w:pPr>
          </w:p>
        </w:tc>
        <w:tc>
          <w:tcPr>
            <w:tcW w:w="5695" w:type="dxa"/>
            <w:shd w:val="clear" w:color="auto" w:fill="auto"/>
            <w:vAlign w:val="center"/>
          </w:tcPr>
          <w:p w14:paraId="108AFEF7">
            <w:pPr>
              <w:spacing w:line="360" w:lineRule="auto"/>
              <w:ind w:right="-76" w:rightChars="-36"/>
              <w:jc w:val="left"/>
              <w:rPr>
                <w:rFonts w:ascii="宋体" w:hAnsi="宋体" w:cs="宋体"/>
                <w:sz w:val="24"/>
              </w:rPr>
            </w:pPr>
            <w:r>
              <w:rPr>
                <w:rFonts w:hint="eastAsia" w:ascii="宋体" w:hAnsi="宋体" w:cs="宋体"/>
                <w:sz w:val="24"/>
              </w:rPr>
              <w:t>4、根据安全保障措施的完整性、科学性、合理性、可行性，并能满足项目需求等方面进行打分：</w:t>
            </w:r>
          </w:p>
          <w:p w14:paraId="06850DCF">
            <w:pPr>
              <w:spacing w:line="360" w:lineRule="auto"/>
              <w:ind w:right="-76" w:rightChars="-36"/>
              <w:jc w:val="left"/>
              <w:rPr>
                <w:rFonts w:ascii="宋体" w:hAnsi="宋体" w:cs="宋体"/>
                <w:sz w:val="24"/>
              </w:rPr>
            </w:pPr>
            <w:r>
              <w:rPr>
                <w:rFonts w:hint="eastAsia" w:ascii="宋体" w:hAnsi="宋体" w:cs="宋体"/>
                <w:sz w:val="24"/>
              </w:rPr>
              <w:t>内容完整、科学合理、优于项目需要的得5分；内容较完整、满足项目需要的得3分；内容基本完整、适合项目需要的得1分，缺项得0分；</w:t>
            </w:r>
          </w:p>
        </w:tc>
      </w:tr>
      <w:tr w14:paraId="310A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118" w:type="dxa"/>
            <w:gridSpan w:val="4"/>
            <w:shd w:val="clear" w:color="auto" w:fill="auto"/>
            <w:vAlign w:val="center"/>
          </w:tcPr>
          <w:p w14:paraId="6FA6907F">
            <w:pPr>
              <w:wordWrap w:val="0"/>
              <w:topLinePunct/>
              <w:adjustRightInd w:val="0"/>
              <w:snapToGrid w:val="0"/>
              <w:spacing w:line="360" w:lineRule="auto"/>
              <w:rPr>
                <w:rFonts w:ascii="宋体" w:hAnsi="宋体" w:cs="宋体"/>
                <w:b/>
                <w:kern w:val="0"/>
                <w:sz w:val="24"/>
              </w:rPr>
            </w:pPr>
            <w:r>
              <w:rPr>
                <w:rFonts w:hint="eastAsia" w:ascii="宋体" w:hAnsi="宋体" w:cs="宋体"/>
                <w:b/>
                <w:kern w:val="0"/>
                <w:sz w:val="24"/>
              </w:rPr>
              <w:t>注：</w:t>
            </w:r>
            <w:r>
              <w:rPr>
                <w:rFonts w:hint="eastAsia" w:ascii="宋体" w:hAnsi="宋体" w:cs="宋体"/>
                <w:b/>
                <w:bCs/>
                <w:sz w:val="24"/>
              </w:rPr>
              <w:t>以上各评分若有缺项，则该项得0分。</w:t>
            </w:r>
          </w:p>
          <w:p w14:paraId="5AF871C0">
            <w:pPr>
              <w:adjustRightInd w:val="0"/>
              <w:snapToGrid w:val="0"/>
              <w:spacing w:line="360" w:lineRule="auto"/>
            </w:pPr>
            <w:r>
              <w:rPr>
                <w:rFonts w:hint="eastAsia" w:ascii="宋体" w:hAnsi="宋体" w:cs="宋体"/>
                <w:snapToGrid w:val="0"/>
                <w:color w:val="000000"/>
                <w:sz w:val="24"/>
              </w:rPr>
              <w:t>评标委员会否决投标时应审慎。因招标文件表述歧义或逻辑错误等原因，造成投标文件表述不一致的，不作为否决投标的因素，投标人明显打字或排版错误且不影响实质内容的，评标委员可要求投标人作出书面澄清、说明或补正，不予以否决投标。</w:t>
            </w:r>
          </w:p>
        </w:tc>
      </w:tr>
    </w:tbl>
    <w:p w14:paraId="0FA2472E">
      <w:pPr>
        <w:spacing w:line="360" w:lineRule="auto"/>
        <w:rPr>
          <w:rFonts w:ascii="宋体" w:hAnsi="宋体"/>
          <w:b/>
          <w:color w:val="000000"/>
          <w:sz w:val="24"/>
        </w:rPr>
      </w:pPr>
    </w:p>
    <w:p w14:paraId="71BCA94B">
      <w:pPr>
        <w:pStyle w:val="3"/>
        <w:rPr>
          <w:rFonts w:ascii="黑体" w:hAnsi="黑体" w:eastAsia="黑体"/>
          <w:color w:val="000000"/>
          <w:sz w:val="36"/>
          <w:szCs w:val="36"/>
        </w:rPr>
      </w:pPr>
      <w:bookmarkStart w:id="76" w:name="_Toc3245"/>
      <w:bookmarkStart w:id="77" w:name="_Toc57277891"/>
      <w:bookmarkStart w:id="78" w:name="_Toc7691"/>
      <w:bookmarkStart w:id="79" w:name="_Toc516499662"/>
      <w:bookmarkStart w:id="80" w:name="_Toc6967"/>
      <w:r>
        <w:rPr>
          <w:rFonts w:hint="eastAsia" w:ascii="黑体" w:hAnsi="黑体" w:eastAsia="黑体"/>
          <w:bCs/>
          <w:color w:val="000000"/>
          <w:sz w:val="36"/>
          <w:szCs w:val="36"/>
        </w:rPr>
        <w:t>第</w:t>
      </w:r>
      <w:r>
        <w:rPr>
          <w:rFonts w:hint="eastAsia" w:ascii="黑体" w:hAnsi="黑体" w:eastAsia="黑体"/>
          <w:color w:val="000000"/>
          <w:sz w:val="36"/>
          <w:szCs w:val="36"/>
        </w:rPr>
        <w:t>五章 合同文本格式</w:t>
      </w:r>
      <w:bookmarkEnd w:id="72"/>
      <w:bookmarkEnd w:id="73"/>
      <w:bookmarkEnd w:id="74"/>
      <w:bookmarkEnd w:id="75"/>
      <w:bookmarkEnd w:id="76"/>
      <w:bookmarkEnd w:id="77"/>
      <w:bookmarkEnd w:id="78"/>
      <w:bookmarkEnd w:id="79"/>
      <w:bookmarkEnd w:id="80"/>
    </w:p>
    <w:p w14:paraId="5742F668">
      <w:pPr>
        <w:jc w:val="center"/>
        <w:rPr>
          <w:rFonts w:ascii="宋体" w:hAnsi="宋体"/>
          <w:b/>
          <w:color w:val="000000"/>
          <w:sz w:val="32"/>
          <w:szCs w:val="32"/>
        </w:rPr>
      </w:pPr>
      <w:r>
        <w:rPr>
          <w:rFonts w:hint="eastAsia" w:ascii="宋体" w:hAnsi="宋体"/>
          <w:b/>
          <w:color w:val="000000"/>
          <w:sz w:val="32"/>
          <w:szCs w:val="32"/>
        </w:rPr>
        <w:t>（仅做参考）</w:t>
      </w:r>
    </w:p>
    <w:p w14:paraId="36E8B6AA">
      <w:pPr>
        <w:widowControl/>
        <w:spacing w:line="360" w:lineRule="auto"/>
        <w:ind w:firstLine="482" w:firstLineChars="200"/>
        <w:jc w:val="left"/>
        <w:rPr>
          <w:rFonts w:ascii="宋体" w:hAnsi="宋体" w:cs="宋体"/>
          <w:b/>
          <w:bCs/>
          <w:sz w:val="24"/>
        </w:rPr>
      </w:pPr>
      <w:bookmarkStart w:id="81" w:name="_Toc4343"/>
      <w:bookmarkStart w:id="82" w:name="_Toc13778"/>
      <w:bookmarkStart w:id="83" w:name="_Toc99007055"/>
      <w:bookmarkStart w:id="84" w:name="_Toc14753"/>
      <w:bookmarkStart w:id="85" w:name="_Toc57277892"/>
      <w:bookmarkStart w:id="86" w:name="_Toc27356"/>
      <w:bookmarkStart w:id="87" w:name="_Toc21580"/>
      <w:bookmarkStart w:id="88" w:name="_Toc516499663"/>
      <w:bookmarkStart w:id="89" w:name="_Toc18857"/>
      <w:bookmarkStart w:id="90" w:name="_Toc30109"/>
      <w:r>
        <w:rPr>
          <w:rFonts w:hint="eastAsia" w:ascii="宋体" w:hAnsi="宋体" w:cs="宋体"/>
          <w:b/>
          <w:bCs/>
          <w:sz w:val="24"/>
        </w:rPr>
        <w:t>由项目采购单位与成交单位根据本磋商文件、成交单位响应文件及成交通知书，协商签订本项目采购合同。</w:t>
      </w:r>
    </w:p>
    <w:p w14:paraId="32042DE7">
      <w:pPr>
        <w:pStyle w:val="8"/>
        <w:rPr>
          <w:rFonts w:ascii="宋体" w:hAnsi="宋体" w:cs="宋体"/>
          <w:b/>
          <w:bCs/>
          <w:sz w:val="24"/>
          <w:szCs w:val="24"/>
        </w:rPr>
      </w:pPr>
    </w:p>
    <w:p w14:paraId="0608DA90">
      <w:pPr>
        <w:pStyle w:val="8"/>
        <w:jc w:val="center"/>
        <w:rPr>
          <w:rFonts w:ascii="宋体" w:hAnsi="宋体" w:cs="宋体"/>
          <w:b/>
          <w:bCs/>
          <w:spacing w:val="-20"/>
          <w:kern w:val="44"/>
          <w:sz w:val="24"/>
          <w:szCs w:val="24"/>
        </w:rPr>
      </w:pPr>
    </w:p>
    <w:p w14:paraId="32555786">
      <w:pPr>
        <w:pStyle w:val="8"/>
        <w:jc w:val="center"/>
        <w:rPr>
          <w:rFonts w:ascii="宋体" w:hAnsi="宋体" w:cs="宋体"/>
          <w:b/>
          <w:bCs/>
          <w:spacing w:val="-20"/>
          <w:kern w:val="44"/>
          <w:sz w:val="24"/>
          <w:szCs w:val="24"/>
        </w:rPr>
      </w:pPr>
    </w:p>
    <w:p w14:paraId="5FCDD2B7">
      <w:pPr>
        <w:pStyle w:val="8"/>
        <w:jc w:val="center"/>
        <w:rPr>
          <w:rFonts w:ascii="宋体" w:hAnsi="宋体" w:cs="宋体"/>
          <w:b/>
          <w:bCs/>
          <w:spacing w:val="-20"/>
          <w:kern w:val="44"/>
          <w:sz w:val="24"/>
          <w:szCs w:val="24"/>
        </w:rPr>
      </w:pPr>
    </w:p>
    <w:p w14:paraId="4B81708D">
      <w:pPr>
        <w:pStyle w:val="8"/>
        <w:jc w:val="center"/>
        <w:rPr>
          <w:rFonts w:ascii="宋体" w:hAnsi="宋体" w:cs="宋体"/>
          <w:b/>
          <w:bCs/>
          <w:spacing w:val="-20"/>
          <w:kern w:val="44"/>
          <w:sz w:val="24"/>
          <w:szCs w:val="24"/>
        </w:rPr>
      </w:pPr>
    </w:p>
    <w:p w14:paraId="219F28D5">
      <w:pPr>
        <w:pStyle w:val="8"/>
        <w:jc w:val="center"/>
        <w:rPr>
          <w:rFonts w:ascii="宋体" w:hAnsi="宋体" w:cs="宋体"/>
          <w:b/>
          <w:bCs/>
          <w:spacing w:val="-20"/>
          <w:kern w:val="44"/>
          <w:sz w:val="24"/>
          <w:szCs w:val="24"/>
        </w:rPr>
      </w:pPr>
    </w:p>
    <w:p w14:paraId="6F8B198F">
      <w:pPr>
        <w:pStyle w:val="8"/>
        <w:jc w:val="center"/>
        <w:rPr>
          <w:rFonts w:ascii="宋体" w:hAnsi="宋体" w:cs="宋体"/>
          <w:b/>
          <w:bCs/>
          <w:spacing w:val="-20"/>
          <w:kern w:val="44"/>
          <w:sz w:val="24"/>
          <w:szCs w:val="24"/>
        </w:rPr>
      </w:pPr>
    </w:p>
    <w:p w14:paraId="1D9BB00D">
      <w:pPr>
        <w:pStyle w:val="8"/>
        <w:jc w:val="center"/>
        <w:rPr>
          <w:rFonts w:ascii="宋体" w:hAnsi="宋体" w:cs="宋体"/>
          <w:b/>
          <w:bCs/>
          <w:spacing w:val="-20"/>
          <w:kern w:val="44"/>
          <w:sz w:val="24"/>
          <w:szCs w:val="24"/>
        </w:rPr>
      </w:pPr>
    </w:p>
    <w:p w14:paraId="52322C05">
      <w:pPr>
        <w:pStyle w:val="8"/>
        <w:jc w:val="center"/>
        <w:rPr>
          <w:rFonts w:ascii="宋体" w:hAnsi="宋体" w:cs="宋体"/>
          <w:b/>
          <w:bCs/>
          <w:spacing w:val="-20"/>
          <w:kern w:val="44"/>
          <w:sz w:val="24"/>
          <w:szCs w:val="24"/>
        </w:rPr>
      </w:pPr>
      <w:r>
        <w:rPr>
          <w:rFonts w:hint="eastAsia" w:ascii="宋体" w:hAnsi="宋体" w:cs="宋体"/>
          <w:b/>
          <w:bCs/>
          <w:spacing w:val="-20"/>
          <w:kern w:val="44"/>
          <w:sz w:val="24"/>
          <w:szCs w:val="24"/>
        </w:rPr>
        <w:t>政府采购货物买卖合同</w:t>
      </w:r>
    </w:p>
    <w:p w14:paraId="5B260948">
      <w:pPr>
        <w:pStyle w:val="8"/>
        <w:jc w:val="center"/>
        <w:rPr>
          <w:rFonts w:ascii="宋体" w:hAnsi="宋体" w:cs="宋体"/>
          <w:b/>
          <w:bCs/>
          <w:spacing w:val="-20"/>
          <w:kern w:val="44"/>
          <w:sz w:val="24"/>
          <w:szCs w:val="24"/>
        </w:rPr>
      </w:pPr>
      <w:r>
        <w:rPr>
          <w:rFonts w:hint="eastAsia" w:ascii="宋体" w:hAnsi="宋体" w:cs="宋体"/>
          <w:b/>
          <w:bCs/>
          <w:spacing w:val="-20"/>
          <w:kern w:val="44"/>
          <w:sz w:val="24"/>
          <w:szCs w:val="24"/>
        </w:rPr>
        <w:t>（试行）</w:t>
      </w:r>
    </w:p>
    <w:p w14:paraId="0B92598C">
      <w:pPr>
        <w:rPr>
          <w:rFonts w:ascii="宋体" w:hAnsi="宋体" w:cs="宋体"/>
          <w:b/>
          <w:bCs/>
          <w:spacing w:val="-20"/>
          <w:kern w:val="44"/>
          <w:sz w:val="24"/>
        </w:rPr>
      </w:pPr>
    </w:p>
    <w:p w14:paraId="5173E791">
      <w:pPr>
        <w:rPr>
          <w:rFonts w:ascii="宋体" w:hAnsi="宋体" w:cs="宋体"/>
          <w:b/>
          <w:bCs/>
          <w:spacing w:val="-20"/>
          <w:kern w:val="44"/>
          <w:sz w:val="24"/>
        </w:rPr>
      </w:pPr>
    </w:p>
    <w:p w14:paraId="52D6B4DD">
      <w:pPr>
        <w:rPr>
          <w:rFonts w:ascii="宋体" w:hAnsi="宋体" w:cs="宋体"/>
          <w:b/>
          <w:bCs/>
          <w:spacing w:val="-20"/>
          <w:kern w:val="44"/>
          <w:sz w:val="24"/>
        </w:rPr>
      </w:pPr>
    </w:p>
    <w:p w14:paraId="36B5F7AC">
      <w:pPr>
        <w:spacing w:line="360" w:lineRule="auto"/>
        <w:ind w:left="420" w:leftChars="200"/>
        <w:rPr>
          <w:rFonts w:ascii="宋体" w:hAnsi="宋体" w:cs="宋体"/>
          <w:sz w:val="24"/>
        </w:rPr>
      </w:pPr>
      <w:r>
        <w:rPr>
          <w:rFonts w:hint="eastAsia" w:ascii="宋体" w:hAnsi="宋体" w:cs="宋体"/>
          <w:kern w:val="0"/>
          <w:sz w:val="24"/>
        </w:rPr>
        <w:t>项目名称：</w:t>
      </w:r>
      <w:r>
        <w:rPr>
          <w:rFonts w:hint="eastAsia" w:ascii="宋体" w:hAnsi="宋体" w:cs="宋体"/>
          <w:sz w:val="24"/>
          <w:u w:val="single"/>
        </w:rPr>
        <w:t xml:space="preserve">                             </w:t>
      </w:r>
    </w:p>
    <w:p w14:paraId="487F3BE5">
      <w:pPr>
        <w:spacing w:line="360" w:lineRule="auto"/>
        <w:ind w:left="420" w:leftChars="200"/>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1364B2CC">
      <w:pPr>
        <w:spacing w:line="360" w:lineRule="auto"/>
        <w:ind w:left="420" w:leftChars="200"/>
        <w:rPr>
          <w:rFonts w:ascii="宋体" w:hAnsi="宋体" w:cs="宋体"/>
          <w:sz w:val="24"/>
        </w:rPr>
      </w:pPr>
      <w:r>
        <w:rPr>
          <w:rFonts w:hint="eastAsia" w:ascii="宋体" w:hAnsi="宋体" w:cs="宋体"/>
          <w:sz w:val="24"/>
        </w:rPr>
        <w:t>甲    方：</w:t>
      </w:r>
      <w:r>
        <w:rPr>
          <w:rFonts w:hint="eastAsia" w:ascii="宋体" w:hAnsi="宋体" w:cs="宋体"/>
          <w:sz w:val="24"/>
          <w:u w:val="single"/>
        </w:rPr>
        <w:t xml:space="preserve">                             </w:t>
      </w:r>
    </w:p>
    <w:p w14:paraId="11397DAA">
      <w:pPr>
        <w:spacing w:line="360" w:lineRule="auto"/>
        <w:ind w:left="420" w:leftChars="20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p>
    <w:p w14:paraId="46D65476">
      <w:pPr>
        <w:spacing w:line="360" w:lineRule="auto"/>
        <w:ind w:left="420" w:leftChars="200"/>
        <w:rPr>
          <w:rFonts w:ascii="宋体" w:hAnsi="宋体" w:cs="宋体"/>
          <w:sz w:val="24"/>
        </w:rPr>
      </w:pPr>
      <w:r>
        <w:rPr>
          <w:rFonts w:hint="eastAsia" w:ascii="宋体" w:hAnsi="宋体" w:cs="宋体"/>
          <w:sz w:val="24"/>
        </w:rPr>
        <w:t>签订时间：</w:t>
      </w:r>
      <w:r>
        <w:rPr>
          <w:rFonts w:hint="eastAsia" w:ascii="宋体" w:hAnsi="宋体" w:cs="宋体"/>
          <w:sz w:val="24"/>
          <w:u w:val="single"/>
        </w:rPr>
        <w:t xml:space="preserve">                             </w:t>
      </w:r>
    </w:p>
    <w:p w14:paraId="2E8EB20D">
      <w:pPr>
        <w:rPr>
          <w:rFonts w:ascii="宋体" w:hAnsi="宋体" w:cs="宋体"/>
          <w:sz w:val="24"/>
        </w:rPr>
      </w:pPr>
    </w:p>
    <w:p w14:paraId="77BA5922">
      <w:pPr>
        <w:rPr>
          <w:rFonts w:ascii="宋体" w:hAnsi="宋体" w:cs="宋体"/>
          <w:sz w:val="24"/>
        </w:rPr>
      </w:pPr>
      <w:r>
        <w:rPr>
          <w:rFonts w:hint="eastAsia" w:ascii="宋体" w:hAnsi="宋体" w:cs="宋体"/>
          <w:sz w:val="24"/>
        </w:rPr>
        <w:br w:type="page"/>
      </w:r>
    </w:p>
    <w:p w14:paraId="0EACFFD0">
      <w:pPr>
        <w:rPr>
          <w:rFonts w:ascii="宋体" w:hAnsi="宋体" w:cs="宋体"/>
          <w:sz w:val="24"/>
        </w:rPr>
      </w:pPr>
    </w:p>
    <w:p w14:paraId="0E7F80FE">
      <w:pPr>
        <w:rPr>
          <w:rFonts w:ascii="宋体" w:hAnsi="宋体" w:cs="宋体"/>
          <w:sz w:val="24"/>
        </w:rPr>
      </w:pPr>
    </w:p>
    <w:p w14:paraId="1C986861">
      <w:pPr>
        <w:jc w:val="center"/>
        <w:rPr>
          <w:rFonts w:ascii="宋体" w:hAnsi="宋体" w:cs="宋体"/>
          <w:sz w:val="24"/>
        </w:rPr>
      </w:pPr>
      <w:r>
        <w:rPr>
          <w:rFonts w:hint="eastAsia" w:ascii="宋体" w:hAnsi="宋体" w:cs="宋体"/>
          <w:sz w:val="24"/>
        </w:rPr>
        <w:t>使 用 说 明</w:t>
      </w:r>
    </w:p>
    <w:p w14:paraId="08365816">
      <w:pPr>
        <w:ind w:firstLine="480" w:firstLineChars="200"/>
        <w:rPr>
          <w:rFonts w:ascii="宋体" w:hAnsi="宋体" w:cs="宋体"/>
          <w:sz w:val="24"/>
        </w:rPr>
      </w:pPr>
    </w:p>
    <w:p w14:paraId="4FBB69CD">
      <w:pPr>
        <w:spacing w:line="360" w:lineRule="auto"/>
        <w:ind w:firstLine="480" w:firstLineChars="200"/>
        <w:rPr>
          <w:rFonts w:ascii="宋体" w:hAnsi="宋体" w:cs="宋体"/>
          <w:sz w:val="24"/>
        </w:rPr>
      </w:pPr>
      <w:r>
        <w:rPr>
          <w:rFonts w:hint="eastAsia" w:ascii="宋体" w:hAnsi="宋体" w:cs="宋体"/>
          <w:sz w:val="24"/>
        </w:rPr>
        <w:t>1.本合同标准文本适用于购买现成货物的采购项目，不包括需要供应商定制开发、创新研发的货物采购项目。</w:t>
      </w:r>
    </w:p>
    <w:p w14:paraId="1A58C560">
      <w:pPr>
        <w:spacing w:line="360" w:lineRule="auto"/>
        <w:ind w:firstLine="480" w:firstLineChars="200"/>
        <w:rPr>
          <w:rFonts w:ascii="宋体" w:hAnsi="宋体" w:cs="宋体"/>
          <w:sz w:val="24"/>
        </w:rPr>
      </w:pPr>
      <w:r>
        <w:rPr>
          <w:rFonts w:hint="eastAsia" w:ascii="宋体" w:hAnsi="宋体" w:cs="宋体"/>
          <w:sz w:val="24"/>
        </w:rPr>
        <w:t xml:space="preserve">   2.本合同标准文本为政府采购货物买卖合同编制提供参考，可以结合采购项目具体情况，对文本作必要的调整修订后使用。</w:t>
      </w:r>
    </w:p>
    <w:p w14:paraId="314804FE">
      <w:pPr>
        <w:spacing w:line="360" w:lineRule="auto"/>
        <w:ind w:firstLine="480" w:firstLineChars="200"/>
        <w:rPr>
          <w:rFonts w:ascii="宋体" w:hAnsi="宋体" w:cs="宋体"/>
          <w:sz w:val="24"/>
        </w:rPr>
      </w:pPr>
      <w:r>
        <w:rPr>
          <w:rFonts w:hint="eastAsia" w:ascii="宋体" w:hAnsi="宋体" w:cs="宋体"/>
          <w:sz w:val="24"/>
        </w:rPr>
        <w:t>3.本合同标准文本各条款中，如涉及填写多家供应商、制造商，多种采购标的、分包主要内容等信息的，可根据采购项目具体情况添加信息项。</w:t>
      </w:r>
    </w:p>
    <w:p w14:paraId="732DC64F">
      <w:pPr>
        <w:ind w:firstLine="480" w:firstLineChars="200"/>
        <w:rPr>
          <w:rFonts w:ascii="宋体" w:hAnsi="宋体" w:cs="宋体"/>
          <w:sz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E246C55">
      <w:pPr>
        <w:pStyle w:val="4"/>
        <w:adjustRightInd w:val="0"/>
        <w:snapToGrid w:val="0"/>
        <w:spacing w:line="400" w:lineRule="exact"/>
        <w:jc w:val="center"/>
        <w:rPr>
          <w:rFonts w:ascii="宋体" w:hAnsi="宋体" w:eastAsia="宋体" w:cs="宋体"/>
          <w:b w:val="0"/>
          <w:bCs w:val="0"/>
          <w:sz w:val="24"/>
          <w:szCs w:val="24"/>
        </w:rPr>
      </w:pPr>
      <w:bookmarkStart w:id="91" w:name="_Toc22209"/>
      <w:r>
        <w:rPr>
          <w:rFonts w:hint="eastAsia" w:ascii="宋体" w:hAnsi="宋体" w:eastAsia="宋体" w:cs="宋体"/>
          <w:b w:val="0"/>
          <w:bCs w:val="0"/>
          <w:sz w:val="24"/>
          <w:szCs w:val="24"/>
        </w:rPr>
        <w:t>第一节 政府采购合同协议书</w:t>
      </w:r>
      <w:bookmarkEnd w:id="91"/>
    </w:p>
    <w:p w14:paraId="5DF19E9F">
      <w:pPr>
        <w:adjustRightInd w:val="0"/>
        <w:snapToGrid w:val="0"/>
        <w:spacing w:line="360" w:lineRule="auto"/>
        <w:ind w:firstLine="480" w:firstLineChars="200"/>
        <w:rPr>
          <w:rFonts w:ascii="宋体" w:hAnsi="宋体" w:cs="宋体"/>
          <w:sz w:val="24"/>
        </w:rPr>
      </w:pPr>
      <w:r>
        <w:rPr>
          <w:rFonts w:hint="eastAsia" w:ascii="宋体" w:hAnsi="宋体" w:cs="宋体"/>
          <w:sz w:val="24"/>
        </w:rPr>
        <w:t>甲方（全称）：</w:t>
      </w:r>
      <w:r>
        <w:rPr>
          <w:rFonts w:hint="eastAsia" w:ascii="宋体" w:hAnsi="宋体" w:cs="宋体"/>
          <w:sz w:val="24"/>
          <w:u w:val="single"/>
        </w:rPr>
        <w:t xml:space="preserve">                        </w:t>
      </w:r>
      <w:r>
        <w:rPr>
          <w:rFonts w:hint="eastAsia" w:ascii="宋体" w:hAnsi="宋体" w:cs="宋体"/>
          <w:sz w:val="24"/>
        </w:rPr>
        <w:t>（采购人、受采购人委托签订合同的单位或采购</w:t>
      </w:r>
      <w:r>
        <w:rPr>
          <w:rFonts w:hint="eastAsia" w:ascii="宋体" w:hAnsi="宋体" w:cs="宋体"/>
          <w:sz w:val="24"/>
        </w:rPr>
        <w:tab/>
      </w:r>
      <w:r>
        <w:rPr>
          <w:rFonts w:hint="eastAsia" w:ascii="宋体" w:hAnsi="宋体" w:cs="宋体"/>
          <w:sz w:val="24"/>
        </w:rPr>
        <w:t xml:space="preserve">                                   文件约定的合同甲方）</w:t>
      </w:r>
    </w:p>
    <w:p w14:paraId="541DE48D">
      <w:pPr>
        <w:adjustRightInd w:val="0"/>
        <w:snapToGrid w:val="0"/>
        <w:spacing w:line="360" w:lineRule="auto"/>
        <w:ind w:firstLine="480" w:firstLineChars="200"/>
        <w:rPr>
          <w:rFonts w:ascii="宋体" w:hAnsi="宋体" w:cs="宋体"/>
          <w:sz w:val="24"/>
        </w:rPr>
      </w:pPr>
      <w:r>
        <w:rPr>
          <w:rFonts w:hint="eastAsia" w:ascii="宋体" w:hAnsi="宋体" w:cs="宋体"/>
          <w:sz w:val="24"/>
        </w:rPr>
        <w:t>乙方1（全称）：</w:t>
      </w:r>
      <w:r>
        <w:rPr>
          <w:rFonts w:hint="eastAsia" w:ascii="宋体" w:hAnsi="宋体" w:cs="宋体"/>
          <w:sz w:val="24"/>
          <w:u w:val="single"/>
        </w:rPr>
        <w:t xml:space="preserve">                       </w:t>
      </w:r>
      <w:r>
        <w:rPr>
          <w:rFonts w:hint="eastAsia" w:ascii="宋体" w:hAnsi="宋体" w:cs="宋体"/>
          <w:sz w:val="24"/>
        </w:rPr>
        <w:t>（供应商）</w:t>
      </w:r>
    </w:p>
    <w:p w14:paraId="6E40A606">
      <w:pPr>
        <w:adjustRightInd w:val="0"/>
        <w:snapToGrid w:val="0"/>
        <w:spacing w:line="360" w:lineRule="auto"/>
        <w:ind w:firstLine="480" w:firstLineChars="200"/>
        <w:rPr>
          <w:rFonts w:ascii="宋体" w:hAnsi="宋体" w:cs="宋体"/>
          <w:sz w:val="24"/>
        </w:rPr>
      </w:pPr>
      <w:r>
        <w:rPr>
          <w:rFonts w:hint="eastAsia" w:ascii="宋体" w:hAnsi="宋体" w:cs="宋体"/>
          <w:sz w:val="24"/>
        </w:rPr>
        <w:t>乙方2（全称）：</w:t>
      </w:r>
      <w:r>
        <w:rPr>
          <w:rFonts w:hint="eastAsia" w:ascii="宋体" w:hAnsi="宋体" w:cs="宋体"/>
          <w:sz w:val="24"/>
          <w:u w:val="single"/>
        </w:rPr>
        <w:t xml:space="preserve">                        </w:t>
      </w:r>
      <w:r>
        <w:rPr>
          <w:rFonts w:hint="eastAsia" w:ascii="宋体" w:hAnsi="宋体" w:cs="宋体"/>
          <w:sz w:val="24"/>
        </w:rPr>
        <w:t>（联合体成员供应商或其他合同主体）（如有）</w:t>
      </w:r>
    </w:p>
    <w:p w14:paraId="1C298476">
      <w:pPr>
        <w:adjustRightInd w:val="0"/>
        <w:snapToGrid w:val="0"/>
        <w:spacing w:line="360" w:lineRule="auto"/>
        <w:ind w:firstLine="480" w:firstLineChars="200"/>
        <w:rPr>
          <w:rFonts w:ascii="宋体" w:hAnsi="宋体" w:cs="宋体"/>
          <w:sz w:val="24"/>
        </w:rPr>
      </w:pPr>
      <w:r>
        <w:rPr>
          <w:rFonts w:hint="eastAsia" w:ascii="宋体" w:hAnsi="宋体" w:cs="宋体"/>
          <w:sz w:val="24"/>
        </w:rPr>
        <w:t>乙方3（全称）</w:t>
      </w:r>
      <w:r>
        <w:rPr>
          <w:rFonts w:hint="eastAsia" w:ascii="宋体" w:hAnsi="宋体" w:cs="宋体"/>
          <w:sz w:val="24"/>
          <w:u w:val="single"/>
        </w:rPr>
        <w:t xml:space="preserve">                          </w:t>
      </w:r>
      <w:r>
        <w:rPr>
          <w:rFonts w:hint="eastAsia" w:ascii="宋体" w:hAnsi="宋体" w:cs="宋体"/>
          <w:sz w:val="24"/>
        </w:rPr>
        <w:t>（联合体成员供应商或其他合同主体）（如有）</w:t>
      </w:r>
    </w:p>
    <w:p w14:paraId="170B19E7">
      <w:pPr>
        <w:pStyle w:val="9"/>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5964316">
      <w:pPr>
        <w:numPr>
          <w:ilvl w:val="0"/>
          <w:numId w:val="5"/>
        </w:numPr>
        <w:adjustRightInd w:val="0"/>
        <w:snapToGrid w:val="0"/>
        <w:spacing w:line="360" w:lineRule="auto"/>
        <w:ind w:firstLine="480" w:firstLineChars="200"/>
        <w:rPr>
          <w:rFonts w:ascii="宋体" w:hAnsi="宋体" w:cs="宋体"/>
          <w:b/>
          <w:sz w:val="24"/>
        </w:rPr>
      </w:pPr>
      <w:r>
        <w:rPr>
          <w:rFonts w:hint="eastAsia" w:ascii="宋体" w:hAnsi="宋体" w:cs="宋体"/>
          <w:b/>
          <w:sz w:val="24"/>
        </w:rPr>
        <w:t>项目信息</w:t>
      </w:r>
    </w:p>
    <w:p w14:paraId="7D8E7BF8">
      <w:pPr>
        <w:pStyle w:val="9"/>
        <w:numPr>
          <w:ilvl w:val="0"/>
          <w:numId w:val="6"/>
        </w:numPr>
        <w:adjustRightInd w:val="0"/>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采购项目名称：</w:t>
      </w:r>
      <w:r>
        <w:rPr>
          <w:rFonts w:hint="eastAsia" w:ascii="宋体" w:hAnsi="宋体" w:eastAsia="宋体" w:cs="宋体"/>
          <w:sz w:val="24"/>
          <w:u w:val="single"/>
        </w:rPr>
        <w:t xml:space="preserve">                                          </w:t>
      </w:r>
    </w:p>
    <w:p w14:paraId="04C7AB28">
      <w:pPr>
        <w:pStyle w:val="9"/>
        <w:numPr>
          <w:ilvl w:val="255"/>
          <w:numId w:val="0"/>
        </w:numPr>
        <w:tabs>
          <w:tab w:val="left" w:pos="999"/>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p>
    <w:p w14:paraId="5ABE6C79">
      <w:pPr>
        <w:pStyle w:val="9"/>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（2）采购计划编号：</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5885AC2">
      <w:pPr>
        <w:adjustRightInd w:val="0"/>
        <w:snapToGrid w:val="0"/>
        <w:spacing w:line="360" w:lineRule="auto"/>
        <w:ind w:firstLine="480" w:firstLineChars="200"/>
        <w:rPr>
          <w:rFonts w:ascii="宋体" w:hAnsi="宋体" w:cs="宋体"/>
          <w:sz w:val="24"/>
        </w:rPr>
      </w:pPr>
      <w:r>
        <w:rPr>
          <w:rFonts w:hint="eastAsia" w:ascii="宋体" w:hAnsi="宋体" w:cs="宋体"/>
          <w:sz w:val="24"/>
        </w:rPr>
        <w:t>（3）项目内容：</w:t>
      </w:r>
    </w:p>
    <w:p w14:paraId="121DB1C2">
      <w:pPr>
        <w:adjustRightInd w:val="0"/>
        <w:snapToGrid w:val="0"/>
        <w:spacing w:line="360" w:lineRule="auto"/>
        <w:ind w:firstLine="480" w:firstLineChars="200"/>
        <w:rPr>
          <w:rFonts w:ascii="宋体" w:hAnsi="宋体" w:cs="宋体"/>
          <w:sz w:val="24"/>
        </w:rPr>
      </w:pPr>
      <w:r>
        <w:rPr>
          <w:rFonts w:hint="eastAsia" w:ascii="宋体" w:hAnsi="宋体" w:cs="宋体"/>
          <w:sz w:val="24"/>
        </w:rPr>
        <w:t>采购标的及数量（台/套</w:t>
      </w:r>
      <w:r>
        <w:rPr>
          <w:rFonts w:hint="eastAsia" w:ascii="宋体" w:hAnsi="宋体" w:cs="宋体"/>
          <w:sz w:val="24"/>
          <w:lang w:val="en"/>
        </w:rPr>
        <w:t>/个/架/组等</w:t>
      </w:r>
      <w:r>
        <w:rPr>
          <w:rFonts w:hint="eastAsia" w:ascii="宋体" w:hAnsi="宋体" w:cs="宋体"/>
          <w:sz w:val="24"/>
        </w:rPr>
        <w:t>）：</w:t>
      </w:r>
      <w:r>
        <w:rPr>
          <w:rFonts w:hint="eastAsia" w:ascii="宋体" w:hAnsi="宋体" w:cs="宋体"/>
          <w:sz w:val="24"/>
          <w:u w:val="single"/>
        </w:rPr>
        <w:t xml:space="preserve">                       </w:t>
      </w:r>
    </w:p>
    <w:p w14:paraId="241BA5F4">
      <w:pPr>
        <w:numPr>
          <w:ilvl w:val="255"/>
          <w:numId w:val="0"/>
        </w:numPr>
        <w:adjustRightInd w:val="0"/>
        <w:snapToGrid w:val="0"/>
        <w:spacing w:line="360" w:lineRule="auto"/>
        <w:ind w:firstLine="480" w:firstLineChars="200"/>
        <w:rPr>
          <w:rFonts w:ascii="宋体" w:hAnsi="宋体" w:cs="宋体"/>
          <w:sz w:val="24"/>
          <w:lang w:val="en"/>
        </w:rPr>
      </w:pPr>
      <w:r>
        <w:rPr>
          <w:rFonts w:hint="eastAsia" w:ascii="宋体" w:hAnsi="宋体" w:cs="宋体"/>
          <w:sz w:val="24"/>
        </w:rPr>
        <w:t>品牌：</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lang w:val="en"/>
        </w:rPr>
        <w:t xml:space="preserve">     </w:t>
      </w:r>
      <w:r>
        <w:rPr>
          <w:rFonts w:hint="eastAsia" w:ascii="宋体" w:hAnsi="宋体" w:cs="宋体"/>
          <w:sz w:val="24"/>
        </w:rPr>
        <w:t>规格型号：</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u w:val="single"/>
          <w:lang w:val="en"/>
        </w:rPr>
        <w:t xml:space="preserve">   </w:t>
      </w:r>
    </w:p>
    <w:p w14:paraId="3AF30B95">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采购标的的技术要求、商务要求具体见附件。</w:t>
      </w:r>
    </w:p>
    <w:p w14:paraId="04F3B7D5">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①涉及信息类产品，请填写该产品关键部件的品牌、型号：</w:t>
      </w:r>
    </w:p>
    <w:p w14:paraId="46771479">
      <w:pPr>
        <w:numPr>
          <w:ilvl w:val="255"/>
          <w:numId w:val="0"/>
        </w:numPr>
        <w:adjustRightInd w:val="0"/>
        <w:snapToGrid w:val="0"/>
        <w:spacing w:line="360" w:lineRule="auto"/>
        <w:ind w:firstLine="480" w:firstLineChars="200"/>
        <w:rPr>
          <w:rFonts w:ascii="宋体" w:hAnsi="宋体" w:cs="宋体"/>
          <w:kern w:val="0"/>
          <w:sz w:val="24"/>
          <w:u w:val="single"/>
        </w:rPr>
      </w:pPr>
      <w:r>
        <w:rPr>
          <w:rFonts w:hint="eastAsia" w:ascii="宋体" w:hAnsi="宋体" w:cs="宋体"/>
          <w:sz w:val="24"/>
        </w:rPr>
        <w:t>标的名称：</w:t>
      </w:r>
      <w:r>
        <w:rPr>
          <w:rFonts w:hint="eastAsia" w:ascii="宋体" w:hAnsi="宋体" w:cs="宋体"/>
          <w:kern w:val="0"/>
          <w:sz w:val="24"/>
          <w:u w:val="single"/>
        </w:rPr>
        <w:t xml:space="preserve">      </w:t>
      </w:r>
      <w:r>
        <w:rPr>
          <w:rFonts w:hint="eastAsia" w:ascii="宋体" w:hAnsi="宋体" w:cs="宋体"/>
          <w:kern w:val="0"/>
          <w:sz w:val="24"/>
          <w:u w:val="single"/>
          <w:lang w:val="en"/>
        </w:rPr>
        <w:t xml:space="preserve">               </w:t>
      </w:r>
      <w:r>
        <w:rPr>
          <w:rFonts w:hint="eastAsia" w:ascii="宋体" w:hAnsi="宋体" w:cs="宋体"/>
          <w:kern w:val="0"/>
          <w:sz w:val="24"/>
          <w:u w:val="single"/>
        </w:rPr>
        <w:t xml:space="preserve">    </w:t>
      </w:r>
    </w:p>
    <w:p w14:paraId="1A215A0F">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关键部件：</w:t>
      </w:r>
      <w:r>
        <w:rPr>
          <w:rFonts w:hint="eastAsia" w:ascii="宋体" w:hAnsi="宋体" w:cs="宋体"/>
          <w:kern w:val="0"/>
          <w:sz w:val="24"/>
          <w:u w:val="single"/>
        </w:rPr>
        <w:t xml:space="preserve">          </w:t>
      </w:r>
      <w:r>
        <w:rPr>
          <w:rFonts w:hint="eastAsia" w:ascii="宋体" w:hAnsi="宋体" w:cs="宋体"/>
          <w:kern w:val="0"/>
          <w:sz w:val="24"/>
        </w:rPr>
        <w:t xml:space="preserve"> </w:t>
      </w:r>
      <w:r>
        <w:rPr>
          <w:rFonts w:hint="eastAsia" w:ascii="宋体" w:hAnsi="宋体" w:cs="宋体"/>
          <w:sz w:val="24"/>
        </w:rPr>
        <w:t>品牌：</w:t>
      </w:r>
      <w:r>
        <w:rPr>
          <w:rFonts w:hint="eastAsia" w:ascii="宋体" w:hAnsi="宋体" w:cs="宋体"/>
          <w:sz w:val="24"/>
          <w:u w:val="single"/>
        </w:rPr>
        <w:t xml:space="preserve">        </w:t>
      </w:r>
      <w:r>
        <w:rPr>
          <w:rFonts w:hint="eastAsia" w:ascii="宋体" w:hAnsi="宋体" w:cs="宋体"/>
          <w:sz w:val="24"/>
        </w:rPr>
        <w:t xml:space="preserve"> 型号：</w:t>
      </w:r>
      <w:r>
        <w:rPr>
          <w:rFonts w:hint="eastAsia" w:ascii="宋体" w:hAnsi="宋体" w:cs="宋体"/>
          <w:sz w:val="24"/>
          <w:u w:val="single"/>
        </w:rPr>
        <w:t xml:space="preserve">       </w:t>
      </w:r>
      <w:r>
        <w:rPr>
          <w:rFonts w:hint="eastAsia" w:ascii="宋体" w:hAnsi="宋体" w:cs="宋体"/>
          <w:sz w:val="24"/>
        </w:rPr>
        <w:t xml:space="preserve"> </w:t>
      </w:r>
    </w:p>
    <w:p w14:paraId="2E273F7C">
      <w:pPr>
        <w:pStyle w:val="2"/>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关键部件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A5F6545">
      <w:pPr>
        <w:pStyle w:val="2"/>
        <w:spacing w:line="360" w:lineRule="auto"/>
        <w:ind w:firstLine="480"/>
        <w:rPr>
          <w:rFonts w:ascii="宋体" w:hAnsi="宋体" w:eastAsia="宋体" w:cs="宋体"/>
          <w:sz w:val="24"/>
          <w:szCs w:val="24"/>
        </w:rPr>
      </w:pPr>
      <w:r>
        <w:rPr>
          <w:rFonts w:hint="eastAsia" w:ascii="宋体" w:hAnsi="宋体" w:eastAsia="宋体" w:cs="宋体"/>
          <w:sz w:val="24"/>
          <w:szCs w:val="24"/>
        </w:rPr>
        <w:t>关键部件：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p>
    <w:p w14:paraId="61BC9803">
      <w:pPr>
        <w:pStyle w:val="2"/>
        <w:numPr>
          <w:ilvl w:val="255"/>
          <w:numId w:val="0"/>
        </w:num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（注：关键部件是指财政部会同有关部门发布的政府采购需求标准规定的需要通过国家有关部门指定的测评机构开展的安全可靠测评的软硬件，如CPU芯片、操作系统、数据库等。）</w:t>
      </w:r>
    </w:p>
    <w:p w14:paraId="1A3B1F69">
      <w:pPr>
        <w:pStyle w:val="2"/>
        <w:numPr>
          <w:ilvl w:val="255"/>
          <w:numId w:val="0"/>
        </w:num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②涉及车辆采购，请填写是否属于新能源汽车：</w:t>
      </w:r>
    </w:p>
    <w:p w14:paraId="63947D7C">
      <w:pPr>
        <w:pStyle w:val="2"/>
        <w:numPr>
          <w:ilvl w:val="255"/>
          <w:numId w:val="0"/>
        </w:num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数量：</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金额：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F25C70C">
      <w:pPr>
        <w:pStyle w:val="2"/>
        <w:numPr>
          <w:ilvl w:val="255"/>
          <w:numId w:val="0"/>
        </w:num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5A3FC3F9">
      <w:pPr>
        <w:pStyle w:val="2"/>
        <w:numPr>
          <w:ilvl w:val="255"/>
          <w:numId w:val="0"/>
        </w:num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
        </w:rPr>
        <w:t>4</w:t>
      </w:r>
      <w:r>
        <w:rPr>
          <w:rFonts w:hint="eastAsia" w:ascii="宋体" w:hAnsi="宋体" w:eastAsia="宋体" w:cs="宋体"/>
          <w:sz w:val="24"/>
          <w:szCs w:val="24"/>
        </w:rPr>
        <w:t>）政府采购组织形式：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A8"/>
      </w:r>
      <w:r>
        <w:rPr>
          <w:rFonts w:hint="eastAsia" w:ascii="宋体" w:hAnsi="宋体" w:eastAsia="宋体" w:cs="宋体"/>
          <w:sz w:val="24"/>
          <w:szCs w:val="24"/>
        </w:rPr>
        <w:t>分散采购</w:t>
      </w:r>
    </w:p>
    <w:p w14:paraId="4A202BEB">
      <w:pPr>
        <w:pStyle w:val="2"/>
        <w:numPr>
          <w:ilvl w:val="255"/>
          <w:numId w:val="0"/>
        </w:num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rPr>
        <w:t>5</w:t>
      </w:r>
      <w:r>
        <w:rPr>
          <w:rFonts w:hint="eastAsia" w:ascii="宋体" w:hAnsi="宋体" w:eastAsia="宋体" w:cs="宋体"/>
          <w:sz w:val="24"/>
          <w:szCs w:val="24"/>
        </w:rPr>
        <w:t>）政府采购方式：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15F9FCEA">
      <w:pPr>
        <w:pStyle w:val="2"/>
        <w:numPr>
          <w:ilvl w:val="255"/>
          <w:numId w:val="0"/>
        </w:num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78FB77CF">
      <w:pPr>
        <w:pStyle w:val="2"/>
        <w:numPr>
          <w:ilvl w:val="255"/>
          <w:numId w:val="0"/>
        </w:num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（注：在框架协议采购的第二阶段，可选择使用该合同文本）</w:t>
      </w:r>
    </w:p>
    <w:p w14:paraId="7E6058ED">
      <w:pPr>
        <w:pStyle w:val="2"/>
        <w:numPr>
          <w:ilvl w:val="255"/>
          <w:numId w:val="0"/>
        </w:numPr>
        <w:snapToGrid w:val="0"/>
        <w:spacing w:line="360" w:lineRule="auto"/>
        <w:ind w:firstLine="480" w:firstLineChars="200"/>
        <w:rPr>
          <w:rFonts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
        </w:rPr>
        <w:t>6</w:t>
      </w:r>
      <w:r>
        <w:rPr>
          <w:rFonts w:hint="eastAsia" w:ascii="宋体" w:hAnsi="宋体" w:eastAsia="宋体" w:cs="宋体"/>
          <w:sz w:val="24"/>
          <w:szCs w:val="24"/>
        </w:rPr>
        <w:t>）</w:t>
      </w:r>
      <w:r>
        <w:rPr>
          <w:rFonts w:hint="eastAsia" w:ascii="宋体" w:hAnsi="宋体" w:eastAsia="宋体" w:cs="宋体"/>
          <w:kern w:val="2"/>
          <w:sz w:val="24"/>
          <w:szCs w:val="24"/>
        </w:rPr>
        <w:t>中标（成交）采购标的制造商是否为中小企业：</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 xml:space="preserve">是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50EEEAC2">
      <w:pPr>
        <w:numPr>
          <w:ilvl w:val="255"/>
          <w:numId w:val="0"/>
        </w:numPr>
        <w:adjustRightInd w:val="0"/>
        <w:snapToGrid w:val="0"/>
        <w:spacing w:line="360" w:lineRule="auto"/>
        <w:ind w:firstLine="480" w:firstLineChars="200"/>
        <w:rPr>
          <w:rFonts w:ascii="宋体" w:hAnsi="宋体" w:cs="宋体"/>
          <w:iCs/>
          <w:sz w:val="24"/>
        </w:rPr>
      </w:pPr>
      <w:r>
        <w:rPr>
          <w:rFonts w:hint="eastAsia" w:ascii="宋体" w:hAnsi="宋体" w:cs="宋体"/>
          <w:sz w:val="24"/>
        </w:rPr>
        <w:t>本合同是否为专门面向中小企业的采购合同（中小企业预留合同）：</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3EAAA49E">
      <w:pPr>
        <w:numPr>
          <w:ilvl w:val="255"/>
          <w:numId w:val="0"/>
        </w:numPr>
        <w:adjustRightInd w:val="0"/>
        <w:snapToGrid w:val="0"/>
        <w:spacing w:line="360" w:lineRule="auto"/>
        <w:ind w:firstLine="480" w:firstLineChars="200"/>
        <w:rPr>
          <w:rFonts w:ascii="宋体" w:hAnsi="宋体" w:cs="宋体"/>
          <w:iCs/>
          <w:sz w:val="24"/>
        </w:rPr>
      </w:pPr>
      <w:r>
        <w:rPr>
          <w:rFonts w:hint="eastAsia" w:ascii="宋体" w:hAnsi="宋体" w:cs="宋体"/>
          <w:sz w:val="24"/>
        </w:rPr>
        <w:t xml:space="preserve">         若本项目不专门面向中小企业采购，是否给予小微企业评审优惠：</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49D24FB0">
      <w:pPr>
        <w:numPr>
          <w:ilvl w:val="255"/>
          <w:numId w:val="0"/>
        </w:numPr>
        <w:adjustRightInd w:val="0"/>
        <w:snapToGrid w:val="0"/>
        <w:spacing w:line="360" w:lineRule="auto"/>
        <w:ind w:firstLine="480" w:firstLineChars="200"/>
        <w:rPr>
          <w:rFonts w:ascii="宋体" w:hAnsi="宋体" w:cs="宋体"/>
          <w:iCs/>
          <w:sz w:val="24"/>
        </w:rPr>
      </w:pPr>
      <w:r>
        <w:rPr>
          <w:rFonts w:hint="eastAsia" w:ascii="宋体" w:hAnsi="宋体" w:cs="宋体"/>
          <w:sz w:val="24"/>
        </w:rPr>
        <w:t xml:space="preserve">         中标（成交）采购标的制造商是否为残疾人福利性单位：</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228F2899">
      <w:pPr>
        <w:snapToGrid w:val="0"/>
        <w:spacing w:line="360" w:lineRule="auto"/>
        <w:ind w:firstLine="480" w:firstLineChars="200"/>
        <w:rPr>
          <w:rFonts w:ascii="宋体" w:hAnsi="宋体" w:cs="宋体"/>
          <w:sz w:val="24"/>
        </w:rPr>
      </w:pPr>
      <w:r>
        <w:rPr>
          <w:rFonts w:hint="eastAsia" w:ascii="宋体" w:hAnsi="宋体" w:cs="宋体"/>
          <w:sz w:val="24"/>
        </w:rPr>
        <w:t xml:space="preserve">         中标（成交）采购标的制造商是否为监狱企业：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77865AB9">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
        </w:rPr>
        <w:t>7</w:t>
      </w:r>
      <w:r>
        <w:rPr>
          <w:rFonts w:hint="eastAsia" w:ascii="宋体" w:hAnsi="宋体" w:cs="宋体"/>
          <w:sz w:val="24"/>
        </w:rPr>
        <w:t>）合同是否分包：</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09F08312">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 xml:space="preserve"> 分包主要内容：</w:t>
      </w:r>
      <w:r>
        <w:rPr>
          <w:rFonts w:hint="eastAsia" w:ascii="宋体" w:hAnsi="宋体" w:cs="宋体"/>
          <w:sz w:val="24"/>
          <w:u w:val="single"/>
        </w:rPr>
        <w:t xml:space="preserve">                                            </w:t>
      </w:r>
    </w:p>
    <w:p w14:paraId="3E005A46">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分包供应商/制造商名称（如供应商和制造商不同，请分别填写）：</w:t>
      </w:r>
    </w:p>
    <w:p w14:paraId="2BC523CD">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p>
    <w:p w14:paraId="71D23100">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分包供应商/制造商类型（如果供应商和制造商不同，只填写制造商类型）：</w:t>
      </w:r>
    </w:p>
    <w:p w14:paraId="2F6E636A">
      <w:pPr>
        <w:adjustRightInd w:val="0"/>
        <w:snapToGrid w:val="0"/>
        <w:spacing w:line="360" w:lineRule="auto"/>
        <w:ind w:firstLine="480" w:firstLineChars="200"/>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大型企业  </w:t>
      </w:r>
      <w:r>
        <w:rPr>
          <w:rFonts w:hint="eastAsia" w:ascii="宋体" w:hAnsi="宋体" w:cs="宋体"/>
          <w:iCs/>
          <w:sz w:val="24"/>
        </w:rPr>
        <w:sym w:font="Wingdings" w:char="00A8"/>
      </w:r>
      <w:r>
        <w:rPr>
          <w:rFonts w:hint="eastAsia" w:ascii="宋体" w:hAnsi="宋体" w:cs="宋体"/>
          <w:iCs/>
          <w:sz w:val="24"/>
        </w:rPr>
        <w:t xml:space="preserve">中型企业  </w:t>
      </w:r>
      <w:r>
        <w:rPr>
          <w:rFonts w:hint="eastAsia" w:ascii="宋体" w:hAnsi="宋体" w:cs="宋体"/>
          <w:iCs/>
          <w:sz w:val="24"/>
        </w:rPr>
        <w:sym w:font="Wingdings" w:char="00A8"/>
      </w:r>
      <w:r>
        <w:rPr>
          <w:rFonts w:hint="eastAsia" w:ascii="宋体" w:hAnsi="宋体" w:cs="宋体"/>
          <w:iCs/>
          <w:sz w:val="24"/>
        </w:rPr>
        <w:t xml:space="preserve">小微型企业  </w:t>
      </w:r>
    </w:p>
    <w:p w14:paraId="177981DF">
      <w:pPr>
        <w:adjustRightInd w:val="0"/>
        <w:snapToGrid w:val="0"/>
        <w:spacing w:line="360" w:lineRule="auto"/>
        <w:ind w:firstLine="480" w:firstLineChars="200"/>
        <w:rPr>
          <w:rFonts w:ascii="宋体" w:hAnsi="宋体" w:cs="宋体"/>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残疾人福利性单位 </w:t>
      </w:r>
      <w:r>
        <w:rPr>
          <w:rFonts w:hint="eastAsia" w:ascii="宋体" w:hAnsi="宋体" w:cs="宋体"/>
          <w:iCs/>
          <w:sz w:val="24"/>
        </w:rPr>
        <w:sym w:font="Wingdings" w:char="00A8"/>
      </w:r>
      <w:r>
        <w:rPr>
          <w:rFonts w:hint="eastAsia" w:ascii="宋体" w:hAnsi="宋体" w:cs="宋体"/>
          <w:iCs/>
          <w:sz w:val="24"/>
        </w:rPr>
        <w:t xml:space="preserve">监狱企业 </w:t>
      </w:r>
      <w:r>
        <w:rPr>
          <w:rFonts w:hint="eastAsia" w:ascii="宋体" w:hAnsi="宋体" w:cs="宋体"/>
          <w:iCs/>
          <w:sz w:val="24"/>
        </w:rPr>
        <w:sym w:font="Wingdings" w:char="00A8"/>
      </w:r>
      <w:r>
        <w:rPr>
          <w:rFonts w:hint="eastAsia" w:ascii="宋体" w:hAnsi="宋体" w:cs="宋体"/>
          <w:iCs/>
          <w:sz w:val="24"/>
        </w:rPr>
        <w:t>其他</w:t>
      </w:r>
    </w:p>
    <w:p w14:paraId="3A541BC3">
      <w:pPr>
        <w:numPr>
          <w:ilvl w:val="255"/>
          <w:numId w:val="0"/>
        </w:numPr>
        <w:adjustRightInd w:val="0"/>
        <w:snapToGrid w:val="0"/>
        <w:spacing w:line="360" w:lineRule="auto"/>
        <w:ind w:firstLine="480" w:firstLineChars="200"/>
        <w:rPr>
          <w:rFonts w:ascii="宋体" w:hAnsi="宋体" w:cs="宋体"/>
          <w:iCs/>
          <w:sz w:val="24"/>
        </w:rPr>
      </w:pPr>
      <w:r>
        <w:rPr>
          <w:rFonts w:hint="eastAsia" w:ascii="宋体" w:hAnsi="宋体" w:cs="宋体"/>
          <w:sz w:val="24"/>
        </w:rPr>
        <w:t>（</w:t>
      </w:r>
      <w:r>
        <w:rPr>
          <w:rFonts w:hint="eastAsia" w:ascii="宋体" w:hAnsi="宋体" w:cs="宋体"/>
          <w:sz w:val="24"/>
          <w:lang w:val="en"/>
        </w:rPr>
        <w:t>8</w:t>
      </w:r>
      <w:r>
        <w:rPr>
          <w:rFonts w:hint="eastAsia" w:ascii="宋体" w:hAnsi="宋体" w:cs="宋体"/>
          <w:sz w:val="24"/>
        </w:rPr>
        <w:t>）中标（成交）供应商是否为外商投资企业：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62F7A92B">
      <w:pPr>
        <w:pStyle w:val="2"/>
        <w:tabs>
          <w:tab w:val="left" w:pos="1340"/>
        </w:tabs>
        <w:spacing w:line="360" w:lineRule="auto"/>
        <w:ind w:firstLine="480"/>
        <w:rPr>
          <w:rFonts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1BB1A9CD">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
        </w:rPr>
        <w:t>9</w:t>
      </w:r>
      <w:r>
        <w:rPr>
          <w:rFonts w:hint="eastAsia" w:ascii="宋体" w:hAnsi="宋体" w:cs="宋体"/>
          <w:sz w:val="24"/>
        </w:rPr>
        <w:t>）是否涉及进口产品：</w:t>
      </w:r>
    </w:p>
    <w:p w14:paraId="4F699A33">
      <w:pPr>
        <w:numPr>
          <w:ilvl w:val="255"/>
          <w:numId w:val="0"/>
        </w:num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是，《政府采购品目分类目录》底级品目名称：</w:t>
      </w:r>
      <w:r>
        <w:rPr>
          <w:rFonts w:hint="eastAsia" w:ascii="宋体" w:hAnsi="宋体" w:cs="宋体"/>
          <w:sz w:val="24"/>
          <w:u w:val="single"/>
        </w:rPr>
        <w:t xml:space="preserve">         </w:t>
      </w:r>
      <w:r>
        <w:rPr>
          <w:rFonts w:hint="eastAsia" w:ascii="宋体" w:hAnsi="宋体" w:cs="宋体"/>
          <w:sz w:val="24"/>
        </w:rPr>
        <w:t xml:space="preserve"> 金额：</w:t>
      </w:r>
      <w:r>
        <w:rPr>
          <w:rFonts w:hint="eastAsia" w:ascii="宋体" w:hAnsi="宋体" w:cs="宋体"/>
          <w:sz w:val="24"/>
          <w:u w:val="single"/>
        </w:rPr>
        <w:t xml:space="preserve">        </w:t>
      </w:r>
    </w:p>
    <w:p w14:paraId="4800BBEE">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国别：</w:t>
      </w:r>
      <w:r>
        <w:rPr>
          <w:rFonts w:hint="eastAsia" w:ascii="宋体" w:hAnsi="宋体" w:cs="宋体"/>
          <w:sz w:val="24"/>
          <w:u w:val="single"/>
        </w:rPr>
        <w:t xml:space="preserve">        </w:t>
      </w:r>
      <w:r>
        <w:rPr>
          <w:rFonts w:hint="eastAsia" w:ascii="宋体" w:hAnsi="宋体" w:cs="宋体"/>
          <w:sz w:val="24"/>
        </w:rPr>
        <w:t xml:space="preserve"> 品牌：</w:t>
      </w:r>
      <w:r>
        <w:rPr>
          <w:rFonts w:hint="eastAsia" w:ascii="宋体" w:hAnsi="宋体" w:cs="宋体"/>
          <w:sz w:val="24"/>
          <w:u w:val="single"/>
        </w:rPr>
        <w:t xml:space="preserve">        </w:t>
      </w:r>
      <w:r>
        <w:rPr>
          <w:rFonts w:hint="eastAsia" w:ascii="宋体" w:hAnsi="宋体" w:cs="宋体"/>
          <w:sz w:val="24"/>
        </w:rPr>
        <w:t xml:space="preserve"> 规格型号：</w:t>
      </w:r>
      <w:r>
        <w:rPr>
          <w:rFonts w:hint="eastAsia" w:ascii="宋体" w:hAnsi="宋体" w:cs="宋体"/>
          <w:sz w:val="24"/>
          <w:u w:val="single"/>
        </w:rPr>
        <w:t xml:space="preserve">        </w:t>
      </w:r>
      <w:r>
        <w:rPr>
          <w:rFonts w:hint="eastAsia" w:ascii="宋体" w:hAnsi="宋体" w:cs="宋体"/>
          <w:sz w:val="24"/>
        </w:rPr>
        <w:t xml:space="preserve">      </w:t>
      </w:r>
    </w:p>
    <w:p w14:paraId="24B4BDDE">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否</w:t>
      </w:r>
    </w:p>
    <w:p w14:paraId="6B0BBD31">
      <w:pPr>
        <w:numPr>
          <w:ilvl w:val="255"/>
          <w:numId w:val="0"/>
        </w:numPr>
        <w:tabs>
          <w:tab w:val="left" w:pos="7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（1</w:t>
      </w:r>
      <w:r>
        <w:rPr>
          <w:rFonts w:hint="eastAsia" w:ascii="宋体" w:hAnsi="宋体" w:cs="宋体"/>
          <w:sz w:val="24"/>
          <w:lang w:val="en"/>
        </w:rPr>
        <w:t>0</w:t>
      </w:r>
      <w:r>
        <w:rPr>
          <w:rFonts w:hint="eastAsia" w:ascii="宋体" w:hAnsi="宋体" w:cs="宋体"/>
          <w:sz w:val="24"/>
        </w:rPr>
        <w:t>）是否涉及节能产品：</w:t>
      </w:r>
    </w:p>
    <w:p w14:paraId="03C3B886">
      <w:pPr>
        <w:numPr>
          <w:ilvl w:val="255"/>
          <w:numId w:val="0"/>
        </w:numPr>
        <w:tabs>
          <w:tab w:val="left" w:pos="740"/>
        </w:tabs>
        <w:adjustRightInd w:val="0"/>
        <w:snapToGrid w:val="0"/>
        <w:spacing w:line="360" w:lineRule="auto"/>
        <w:ind w:firstLine="480" w:firstLineChars="200"/>
        <w:rPr>
          <w:rFonts w:ascii="宋体" w:hAnsi="宋体" w:cs="宋体"/>
          <w:iCs/>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是，《节能产品政府采购品目清单》的底级品目名称：</w:t>
      </w:r>
      <w:r>
        <w:rPr>
          <w:rFonts w:hint="eastAsia" w:ascii="宋体" w:hAnsi="宋体" w:cs="宋体"/>
          <w:sz w:val="24"/>
          <w:u w:val="single"/>
        </w:rPr>
        <w:t xml:space="preserve">         </w:t>
      </w:r>
      <w:r>
        <w:rPr>
          <w:rFonts w:hint="eastAsia" w:ascii="宋体" w:hAnsi="宋体" w:cs="宋体"/>
          <w:iCs/>
          <w:sz w:val="24"/>
        </w:rPr>
        <w:t xml:space="preserve">     </w:t>
      </w:r>
    </w:p>
    <w:p w14:paraId="37784E07">
      <w:pPr>
        <w:numPr>
          <w:ilvl w:val="255"/>
          <w:numId w:val="0"/>
        </w:numPr>
        <w:tabs>
          <w:tab w:val="left" w:pos="740"/>
        </w:tabs>
        <w:adjustRightInd w:val="0"/>
        <w:snapToGrid w:val="0"/>
        <w:spacing w:line="360" w:lineRule="auto"/>
        <w:ind w:firstLine="480" w:firstLineChars="200"/>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33D23793">
      <w:pPr>
        <w:numPr>
          <w:ilvl w:val="255"/>
          <w:numId w:val="0"/>
        </w:numPr>
        <w:tabs>
          <w:tab w:val="left" w:pos="740"/>
        </w:tabs>
        <w:adjustRightInd w:val="0"/>
        <w:snapToGrid w:val="0"/>
        <w:spacing w:line="360" w:lineRule="auto"/>
        <w:ind w:firstLine="480" w:firstLineChars="200"/>
        <w:rPr>
          <w:rFonts w:ascii="宋体" w:hAnsi="宋体" w:cs="宋体"/>
          <w:sz w:val="24"/>
        </w:rPr>
      </w:pPr>
      <w:r>
        <w:rPr>
          <w:rFonts w:hint="eastAsia" w:ascii="宋体" w:hAnsi="宋体" w:cs="宋体"/>
          <w:iCs/>
          <w:sz w:val="24"/>
        </w:rPr>
        <w:t xml:space="preserve">         </w:t>
      </w:r>
      <w:r>
        <w:rPr>
          <w:rFonts w:hint="eastAsia" w:ascii="宋体" w:hAnsi="宋体" w:cs="宋体"/>
          <w:sz w:val="24"/>
        </w:rPr>
        <w:sym w:font="Wingdings" w:char="00A8"/>
      </w:r>
      <w:r>
        <w:rPr>
          <w:rFonts w:hint="eastAsia" w:ascii="宋体" w:hAnsi="宋体" w:cs="宋体"/>
          <w:sz w:val="24"/>
        </w:rPr>
        <w:t>否</w:t>
      </w:r>
    </w:p>
    <w:p w14:paraId="10891AE0">
      <w:pPr>
        <w:numPr>
          <w:ilvl w:val="255"/>
          <w:numId w:val="0"/>
        </w:numPr>
        <w:tabs>
          <w:tab w:val="left" w:pos="7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是否涉及环境标志产品：</w:t>
      </w:r>
    </w:p>
    <w:p w14:paraId="574486AA">
      <w:pPr>
        <w:numPr>
          <w:ilvl w:val="255"/>
          <w:numId w:val="0"/>
        </w:numPr>
        <w:tabs>
          <w:tab w:val="left" w:pos="7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是，《环境标志产品政府采购品目清单》的底级品目名称：</w:t>
      </w:r>
      <w:r>
        <w:rPr>
          <w:rFonts w:hint="eastAsia" w:ascii="宋体" w:hAnsi="宋体" w:cs="宋体"/>
          <w:sz w:val="24"/>
          <w:u w:val="single"/>
        </w:rPr>
        <w:t xml:space="preserve">         </w:t>
      </w:r>
      <w:r>
        <w:rPr>
          <w:rFonts w:hint="eastAsia" w:ascii="宋体" w:hAnsi="宋体" w:cs="宋体"/>
          <w:iCs/>
          <w:sz w:val="24"/>
        </w:rPr>
        <w:t xml:space="preserve"> </w:t>
      </w:r>
    </w:p>
    <w:p w14:paraId="2574779D">
      <w:pPr>
        <w:numPr>
          <w:ilvl w:val="255"/>
          <w:numId w:val="0"/>
        </w:numPr>
        <w:tabs>
          <w:tab w:val="left" w:pos="740"/>
        </w:tabs>
        <w:adjustRightInd w:val="0"/>
        <w:snapToGrid w:val="0"/>
        <w:spacing w:line="360" w:lineRule="auto"/>
        <w:ind w:firstLine="480" w:firstLineChars="200"/>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4028E68C">
      <w:pPr>
        <w:numPr>
          <w:ilvl w:val="255"/>
          <w:numId w:val="0"/>
        </w:numPr>
        <w:tabs>
          <w:tab w:val="left" w:pos="740"/>
        </w:tabs>
        <w:adjustRightInd w:val="0"/>
        <w:snapToGrid w:val="0"/>
        <w:spacing w:line="360" w:lineRule="auto"/>
        <w:ind w:firstLine="480" w:firstLineChars="200"/>
        <w:rPr>
          <w:rFonts w:ascii="宋体" w:hAnsi="宋体" w:cs="宋体"/>
          <w:sz w:val="24"/>
        </w:rPr>
      </w:pPr>
      <w:r>
        <w:rPr>
          <w:rFonts w:hint="eastAsia" w:ascii="宋体" w:hAnsi="宋体" w:cs="宋体"/>
          <w:iCs/>
          <w:sz w:val="24"/>
        </w:rPr>
        <w:t xml:space="preserve">         </w:t>
      </w:r>
      <w:r>
        <w:rPr>
          <w:rFonts w:hint="eastAsia" w:ascii="宋体" w:hAnsi="宋体" w:cs="宋体"/>
          <w:sz w:val="24"/>
        </w:rPr>
        <w:sym w:font="Wingdings" w:char="00A8"/>
      </w:r>
      <w:r>
        <w:rPr>
          <w:rFonts w:hint="eastAsia" w:ascii="宋体" w:hAnsi="宋体" w:cs="宋体"/>
          <w:sz w:val="24"/>
        </w:rPr>
        <w:t>否</w:t>
      </w:r>
    </w:p>
    <w:p w14:paraId="4C7FBA61">
      <w:pPr>
        <w:pStyle w:val="2"/>
        <w:numPr>
          <w:ilvl w:val="255"/>
          <w:numId w:val="0"/>
        </w:numPr>
        <w:snapToGrid w:val="0"/>
        <w:spacing w:line="360" w:lineRule="auto"/>
        <w:ind w:firstLine="480" w:firstLineChars="200"/>
        <w:rPr>
          <w:rFonts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 xml:space="preserve">是否涉及绿色产品： </w:t>
      </w:r>
    </w:p>
    <w:p w14:paraId="33F7CFC7">
      <w:pPr>
        <w:pStyle w:val="2"/>
        <w:spacing w:line="360" w:lineRule="auto"/>
        <w:ind w:firstLine="480"/>
        <w:rPr>
          <w:rFonts w:ascii="宋体" w:hAnsi="宋体" w:eastAsia="宋体" w:cs="宋体"/>
          <w:sz w:val="24"/>
          <w:szCs w:val="24"/>
          <w:u w:val="single"/>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是，绿色产品政府采购相关政策确定的底级品目名称：</w:t>
      </w:r>
      <w:r>
        <w:rPr>
          <w:rFonts w:hint="eastAsia" w:ascii="宋体" w:hAnsi="宋体" w:eastAsia="宋体" w:cs="宋体"/>
          <w:sz w:val="24"/>
          <w:szCs w:val="24"/>
          <w:u w:val="single"/>
        </w:rPr>
        <w:t xml:space="preserve">         </w:t>
      </w:r>
    </w:p>
    <w:p w14:paraId="69E3E26C">
      <w:pPr>
        <w:numPr>
          <w:ilvl w:val="255"/>
          <w:numId w:val="0"/>
        </w:numPr>
        <w:tabs>
          <w:tab w:val="left" w:pos="740"/>
        </w:tabs>
        <w:adjustRightInd w:val="0"/>
        <w:snapToGrid w:val="0"/>
        <w:spacing w:line="360" w:lineRule="auto"/>
        <w:ind w:firstLine="480" w:firstLineChars="200"/>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36D2B85B">
      <w:pPr>
        <w:pStyle w:val="2"/>
        <w:spacing w:line="360" w:lineRule="auto"/>
        <w:ind w:firstLine="480"/>
        <w:rPr>
          <w:rFonts w:ascii="宋体" w:hAnsi="宋体" w:eastAsia="宋体" w:cs="宋体"/>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0F2FD778">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（1</w:t>
      </w:r>
      <w:r>
        <w:rPr>
          <w:rFonts w:hint="eastAsia" w:ascii="宋体" w:hAnsi="宋体" w:cs="宋体"/>
          <w:sz w:val="24"/>
          <w:lang w:val="en"/>
        </w:rPr>
        <w:t>1</w:t>
      </w:r>
      <w:r>
        <w:rPr>
          <w:rFonts w:hint="eastAsia" w:ascii="宋体" w:hAnsi="宋体" w:cs="宋体"/>
          <w:sz w:val="24"/>
        </w:rPr>
        <w:t>）涉及商品包装和快递包装的，是否参考《商品包装政府采购需求标准（试行）》、《快递包装政府采购需求标准（试行）》明确产品及相关快递服务的具体包装要求：</w:t>
      </w:r>
    </w:p>
    <w:p w14:paraId="59D15A26">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 xml:space="preserve">否      </w:t>
      </w:r>
      <w:r>
        <w:rPr>
          <w:rFonts w:hint="eastAsia" w:ascii="宋体" w:hAnsi="宋体" w:cs="宋体"/>
          <w:sz w:val="24"/>
        </w:rPr>
        <w:sym w:font="Wingdings" w:char="00A8"/>
      </w:r>
      <w:r>
        <w:rPr>
          <w:rFonts w:hint="eastAsia" w:ascii="宋体" w:hAnsi="宋体" w:cs="宋体"/>
          <w:sz w:val="24"/>
        </w:rPr>
        <w:t>不涉及</w:t>
      </w:r>
    </w:p>
    <w:p w14:paraId="5C663D28">
      <w:pPr>
        <w:numPr>
          <w:ilvl w:val="0"/>
          <w:numId w:val="5"/>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合同金额</w:t>
      </w:r>
    </w:p>
    <w:p w14:paraId="60B43978">
      <w:pPr>
        <w:adjustRightInd w:val="0"/>
        <w:snapToGrid w:val="0"/>
        <w:spacing w:line="360" w:lineRule="auto"/>
        <w:ind w:firstLine="480" w:firstLineChars="200"/>
        <w:rPr>
          <w:rFonts w:ascii="宋体" w:hAnsi="宋体" w:cs="宋体"/>
          <w:sz w:val="24"/>
        </w:rPr>
      </w:pPr>
      <w:r>
        <w:rPr>
          <w:rFonts w:hint="eastAsia" w:ascii="宋体" w:hAnsi="宋体" w:cs="宋体"/>
          <w:sz w:val="24"/>
        </w:rPr>
        <w:t>（1）合同金额小写：</w:t>
      </w:r>
      <w:r>
        <w:rPr>
          <w:rFonts w:hint="eastAsia" w:ascii="宋体" w:hAnsi="宋体" w:cs="宋体"/>
          <w:sz w:val="24"/>
          <w:u w:val="single"/>
        </w:rPr>
        <w:t xml:space="preserve">                           </w:t>
      </w:r>
    </w:p>
    <w:p w14:paraId="11564B3C">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 xml:space="preserve">                 大写：</w:t>
      </w:r>
      <w:r>
        <w:rPr>
          <w:rFonts w:hint="eastAsia" w:ascii="宋体" w:hAnsi="宋体" w:cs="宋体"/>
          <w:sz w:val="24"/>
          <w:u w:val="single"/>
        </w:rPr>
        <w:t xml:space="preserve">                           </w:t>
      </w:r>
    </w:p>
    <w:p w14:paraId="4B2C7889">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分包金额（如有）小写：</w:t>
      </w:r>
      <w:r>
        <w:rPr>
          <w:rFonts w:hint="eastAsia" w:ascii="宋体" w:hAnsi="宋体" w:cs="宋体"/>
          <w:sz w:val="24"/>
          <w:u w:val="single"/>
        </w:rPr>
        <w:t xml:space="preserve">                   </w:t>
      </w:r>
    </w:p>
    <w:p w14:paraId="7DC99CB9">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 xml:space="preserve">                     大写：</w:t>
      </w:r>
      <w:r>
        <w:rPr>
          <w:rFonts w:hint="eastAsia" w:ascii="宋体" w:hAnsi="宋体" w:cs="宋体"/>
          <w:sz w:val="24"/>
          <w:u w:val="single"/>
        </w:rPr>
        <w:t xml:space="preserve">                       </w:t>
      </w:r>
    </w:p>
    <w:p w14:paraId="341EE729">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（注：固定单价合同应填写单价和最高限价）</w:t>
      </w:r>
    </w:p>
    <w:p w14:paraId="6E27AC62">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（2）合同定价方式（采用组合定价方式的，可以勾选多项）：</w:t>
      </w:r>
    </w:p>
    <w:p w14:paraId="000774C7">
      <w:pPr>
        <w:adjustRightInd w:val="0"/>
        <w:snapToGrid w:val="0"/>
        <w:spacing w:line="360" w:lineRule="auto"/>
        <w:ind w:firstLine="480" w:firstLineChars="200"/>
        <w:rPr>
          <w:rFonts w:ascii="宋体" w:hAnsi="宋体" w:cs="宋体"/>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固定总价 </w:t>
      </w:r>
      <w:r>
        <w:rPr>
          <w:rFonts w:hint="eastAsia" w:ascii="宋体" w:hAnsi="宋体" w:cs="宋体"/>
          <w:iCs/>
          <w:sz w:val="24"/>
        </w:rPr>
        <w:sym w:font="Wingdings" w:char="00A8"/>
      </w:r>
      <w:r>
        <w:rPr>
          <w:rFonts w:hint="eastAsia" w:ascii="宋体" w:hAnsi="宋体" w:cs="宋体"/>
          <w:iCs/>
          <w:sz w:val="24"/>
        </w:rPr>
        <w:t xml:space="preserve">固定单价 </w:t>
      </w:r>
      <w:r>
        <w:rPr>
          <w:rFonts w:hint="eastAsia" w:ascii="宋体" w:hAnsi="宋体" w:cs="宋体"/>
          <w:iCs/>
          <w:sz w:val="24"/>
        </w:rPr>
        <w:sym w:font="Wingdings" w:char="00A8"/>
      </w:r>
      <w:r>
        <w:rPr>
          <w:rFonts w:hint="eastAsia" w:ascii="宋体" w:hAnsi="宋体" w:cs="宋体"/>
          <w:iCs/>
          <w:sz w:val="24"/>
        </w:rPr>
        <w:t xml:space="preserve">固定费率 </w:t>
      </w:r>
      <w:r>
        <w:rPr>
          <w:rFonts w:hint="eastAsia" w:ascii="宋体" w:hAnsi="宋体" w:cs="宋体"/>
          <w:iCs/>
          <w:sz w:val="24"/>
        </w:rPr>
        <w:sym w:font="Wingdings" w:char="00A8"/>
      </w:r>
      <w:r>
        <w:rPr>
          <w:rFonts w:hint="eastAsia" w:ascii="宋体" w:hAnsi="宋体" w:cs="宋体"/>
          <w:iCs/>
          <w:sz w:val="24"/>
        </w:rPr>
        <w:t xml:space="preserve">成本补偿 </w:t>
      </w:r>
      <w:r>
        <w:rPr>
          <w:rFonts w:hint="eastAsia" w:ascii="宋体" w:hAnsi="宋体" w:cs="宋体"/>
          <w:iCs/>
          <w:sz w:val="24"/>
        </w:rPr>
        <w:sym w:font="Wingdings" w:char="00A8"/>
      </w:r>
      <w:r>
        <w:rPr>
          <w:rFonts w:hint="eastAsia" w:ascii="宋体" w:hAnsi="宋体" w:cs="宋体"/>
          <w:iCs/>
          <w:sz w:val="24"/>
        </w:rPr>
        <w:t xml:space="preserve">绩效激励 </w:t>
      </w:r>
      <w:r>
        <w:rPr>
          <w:rFonts w:hint="eastAsia" w:ascii="宋体" w:hAnsi="宋体" w:cs="宋体"/>
          <w:iCs/>
          <w:sz w:val="24"/>
        </w:rPr>
        <w:sym w:font="Wingdings" w:char="00A8"/>
      </w:r>
      <w:r>
        <w:rPr>
          <w:rFonts w:hint="eastAsia" w:ascii="宋体" w:hAnsi="宋体" w:cs="宋体"/>
          <w:iCs/>
          <w:sz w:val="24"/>
        </w:rPr>
        <w:t>其他</w:t>
      </w:r>
      <w:r>
        <w:rPr>
          <w:rFonts w:hint="eastAsia" w:ascii="宋体" w:hAnsi="宋体" w:cs="宋体"/>
          <w:sz w:val="24"/>
          <w:u w:val="single"/>
        </w:rPr>
        <w:t xml:space="preserve">       </w:t>
      </w:r>
    </w:p>
    <w:p w14:paraId="721E5FF1">
      <w:pPr>
        <w:pStyle w:val="26"/>
        <w:spacing w:line="360" w:lineRule="auto"/>
        <w:ind w:firstLine="480"/>
        <w:rPr>
          <w:rFonts w:ascii="宋体" w:hAnsi="宋体" w:cs="宋体"/>
          <w:sz w:val="24"/>
          <w:szCs w:val="24"/>
        </w:rPr>
      </w:pPr>
      <w:r>
        <w:rPr>
          <w:rFonts w:hint="eastAsia" w:ascii="宋体" w:hAnsi="宋体" w:cs="宋体"/>
          <w:sz w:val="24"/>
          <w:szCs w:val="24"/>
        </w:rPr>
        <w:t>（3）付款方式（按项目实际勾选填写）：</w:t>
      </w:r>
    </w:p>
    <w:p w14:paraId="68801023">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sym w:font="Wingdings" w:char="00A8"/>
      </w:r>
      <w:r>
        <w:rPr>
          <w:rFonts w:hint="eastAsia" w:ascii="宋体" w:hAnsi="宋体" w:cs="宋体"/>
          <w:sz w:val="24"/>
        </w:rPr>
        <w:t>全额付款：</w:t>
      </w:r>
      <w:r>
        <w:rPr>
          <w:rFonts w:hint="eastAsia" w:ascii="宋体" w:hAnsi="宋体" w:cs="宋体"/>
          <w:sz w:val="24"/>
          <w:u w:val="single"/>
        </w:rPr>
        <w:t xml:space="preserve">     （应明确一次性支付合同款项的条件）                    </w:t>
      </w:r>
    </w:p>
    <w:p w14:paraId="5417D656">
      <w:pPr>
        <w:snapToGrid w:val="0"/>
        <w:spacing w:line="360" w:lineRule="auto"/>
        <w:ind w:firstLine="480" w:firstLineChars="200"/>
        <w:rPr>
          <w:rFonts w:ascii="宋体" w:hAnsi="宋体" w:cs="宋体"/>
          <w:sz w:val="24"/>
        </w:rPr>
      </w:pPr>
      <w:r>
        <w:rPr>
          <w:rFonts w:hint="eastAsia" w:ascii="宋体" w:hAnsi="宋体" w:cs="宋体"/>
          <w:sz w:val="24"/>
        </w:rPr>
        <w:sym w:font="Wingdings" w:char="00A8"/>
      </w:r>
      <w:r>
        <w:rPr>
          <w:rFonts w:hint="eastAsia" w:ascii="宋体" w:hAnsi="宋体" w:cs="宋体"/>
          <w:sz w:val="24"/>
        </w:rPr>
        <w:t>分期付款：</w:t>
      </w:r>
      <w:r>
        <w:rPr>
          <w:rFonts w:hint="eastAsia" w:ascii="宋体" w:hAnsi="宋体" w:cs="宋体"/>
          <w:sz w:val="24"/>
          <w:u w:val="single"/>
        </w:rPr>
        <w:t xml:space="preserve">  （应明确分期支付合同款项的各期比例和支付条件，各期支付条件应与分期履约验收情况挂钩） </w:t>
      </w:r>
      <w:r>
        <w:rPr>
          <w:rFonts w:hint="eastAsia" w:ascii="宋体" w:hAnsi="宋体" w:cs="宋体"/>
          <w:sz w:val="24"/>
        </w:rPr>
        <w:t>，其中涉及预付款的：</w:t>
      </w:r>
      <w:r>
        <w:rPr>
          <w:rFonts w:hint="eastAsia" w:ascii="宋体" w:hAnsi="宋体" w:cs="宋体"/>
          <w:sz w:val="24"/>
          <w:u w:val="single"/>
        </w:rPr>
        <w:t xml:space="preserve"> （应明确预付款的支付比例和支付条件） </w:t>
      </w:r>
    </w:p>
    <w:p w14:paraId="7D82DF7C">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sym w:font="Wingdings" w:char="00A8"/>
      </w:r>
      <w:r>
        <w:rPr>
          <w:rFonts w:hint="eastAsia" w:ascii="宋体" w:hAnsi="宋体" w:cs="宋体"/>
          <w:sz w:val="24"/>
        </w:rPr>
        <w:t>成本补偿：</w:t>
      </w:r>
      <w:r>
        <w:rPr>
          <w:rFonts w:hint="eastAsia" w:ascii="宋体" w:hAnsi="宋体" w:cs="宋体"/>
          <w:sz w:val="24"/>
          <w:u w:val="single"/>
        </w:rPr>
        <w:t xml:space="preserve">      （应明确按照成本补偿方式的支付方式和支付条件）   </w:t>
      </w:r>
    </w:p>
    <w:p w14:paraId="28FF6F91">
      <w:pPr>
        <w:adjustRightInd w:val="0"/>
        <w:snapToGrid w:val="0"/>
        <w:spacing w:line="360" w:lineRule="auto"/>
        <w:ind w:firstLine="480" w:firstLineChars="200"/>
        <w:rPr>
          <w:rFonts w:ascii="宋体" w:hAnsi="宋体" w:cs="宋体"/>
          <w:sz w:val="24"/>
        </w:rPr>
      </w:pPr>
      <w:r>
        <w:rPr>
          <w:rFonts w:hint="eastAsia" w:ascii="宋体" w:hAnsi="宋体" w:cs="宋体"/>
          <w:sz w:val="24"/>
        </w:rPr>
        <w:sym w:font="Wingdings" w:char="00A8"/>
      </w:r>
      <w:r>
        <w:rPr>
          <w:rFonts w:hint="eastAsia" w:ascii="宋体" w:hAnsi="宋体" w:cs="宋体"/>
          <w:sz w:val="24"/>
        </w:rPr>
        <w:t>绩效激励：</w:t>
      </w:r>
      <w:r>
        <w:rPr>
          <w:rFonts w:hint="eastAsia" w:ascii="宋体" w:hAnsi="宋体" w:cs="宋体"/>
          <w:sz w:val="24"/>
          <w:u w:val="single"/>
        </w:rPr>
        <w:t xml:space="preserve">      （应明确按照绩效激励方式的支付方式和支付条件）   </w:t>
      </w:r>
    </w:p>
    <w:p w14:paraId="700AA47E">
      <w:pPr>
        <w:numPr>
          <w:ilvl w:val="0"/>
          <w:numId w:val="5"/>
        </w:numPr>
        <w:adjustRightInd w:val="0"/>
        <w:snapToGrid w:val="0"/>
        <w:spacing w:line="360" w:lineRule="auto"/>
        <w:ind w:firstLine="480" w:firstLineChars="200"/>
        <w:rPr>
          <w:rFonts w:ascii="宋体" w:hAnsi="宋体" w:cs="宋体"/>
          <w:b/>
          <w:sz w:val="24"/>
          <w:u w:val="single"/>
        </w:rPr>
      </w:pPr>
      <w:r>
        <w:rPr>
          <w:rFonts w:hint="eastAsia" w:ascii="宋体" w:hAnsi="宋体" w:cs="宋体"/>
          <w:b/>
          <w:sz w:val="24"/>
        </w:rPr>
        <w:t>合同履行</w:t>
      </w:r>
    </w:p>
    <w:p w14:paraId="0F866876">
      <w:pPr>
        <w:adjustRightInd w:val="0"/>
        <w:snapToGrid w:val="0"/>
        <w:spacing w:line="360" w:lineRule="auto"/>
        <w:ind w:firstLine="480" w:firstLineChars="200"/>
        <w:rPr>
          <w:rFonts w:ascii="宋体" w:hAnsi="宋体" w:cs="宋体"/>
          <w:sz w:val="24"/>
        </w:rPr>
      </w:pPr>
      <w:r>
        <w:rPr>
          <w:rFonts w:hint="eastAsia" w:ascii="宋体" w:hAnsi="宋体" w:cs="宋体"/>
          <w:sz w:val="24"/>
        </w:rPr>
        <w:t>（1）起始日期：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日，完成日期：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B4782B3">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（2）履约地点</w:t>
      </w:r>
      <w:r>
        <w:rPr>
          <w:rFonts w:hint="eastAsia" w:ascii="宋体" w:hAnsi="宋体" w:cs="宋体"/>
          <w:bCs/>
          <w:sz w:val="24"/>
        </w:rPr>
        <w:t>：</w:t>
      </w:r>
      <w:r>
        <w:rPr>
          <w:rFonts w:hint="eastAsia" w:ascii="宋体" w:hAnsi="宋体" w:cs="宋体"/>
          <w:sz w:val="24"/>
          <w:u w:val="single"/>
        </w:rPr>
        <w:t xml:space="preserve">                             </w:t>
      </w:r>
    </w:p>
    <w:p w14:paraId="5A4D0288">
      <w:pPr>
        <w:adjustRightInd w:val="0"/>
        <w:snapToGrid w:val="0"/>
        <w:spacing w:line="360" w:lineRule="auto"/>
        <w:ind w:firstLine="480" w:firstLineChars="200"/>
        <w:rPr>
          <w:rFonts w:ascii="宋体" w:hAnsi="宋体" w:cs="宋体"/>
          <w:sz w:val="24"/>
        </w:rPr>
      </w:pPr>
      <w:r>
        <w:rPr>
          <w:rFonts w:hint="eastAsia" w:ascii="宋体" w:hAnsi="宋体" w:cs="宋体"/>
          <w:bCs/>
          <w:sz w:val="24"/>
        </w:rPr>
        <w:t>（3）履约担保：</w:t>
      </w:r>
      <w:r>
        <w:rPr>
          <w:rFonts w:hint="eastAsia" w:ascii="宋体" w:hAnsi="宋体" w:cs="宋体"/>
          <w:sz w:val="24"/>
        </w:rPr>
        <w:t>是否收取履约保证金：</w:t>
      </w: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否</w:t>
      </w:r>
    </w:p>
    <w:p w14:paraId="60250F79">
      <w:pPr>
        <w:pStyle w:val="2"/>
        <w:spacing w:line="360" w:lineRule="auto"/>
        <w:ind w:firstLine="480"/>
        <w:rPr>
          <w:rFonts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03D8C535">
      <w:pPr>
        <w:pStyle w:val="2"/>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5DBDB844">
      <w:pPr>
        <w:snapToGrid w:val="0"/>
        <w:spacing w:line="360" w:lineRule="auto"/>
        <w:ind w:firstLine="480" w:firstLineChars="200"/>
        <w:rPr>
          <w:rFonts w:ascii="宋体" w:hAnsi="宋体" w:cs="宋体"/>
          <w:sz w:val="24"/>
        </w:rPr>
      </w:pPr>
      <w:r>
        <w:rPr>
          <w:rFonts w:hint="eastAsia" w:ascii="宋体" w:hAnsi="宋体" w:cs="宋体"/>
          <w:bCs/>
          <w:sz w:val="24"/>
        </w:rPr>
        <w:t xml:space="preserve">    履约担保期限：</w:t>
      </w:r>
      <w:r>
        <w:rPr>
          <w:rFonts w:hint="eastAsia" w:ascii="宋体" w:hAnsi="宋体" w:cs="宋体"/>
          <w:bCs/>
          <w:sz w:val="24"/>
          <w:u w:val="single"/>
        </w:rPr>
        <w:t xml:space="preserve">                                  </w:t>
      </w:r>
    </w:p>
    <w:p w14:paraId="0261973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（4）分期履行要求：</w:t>
      </w:r>
      <w:r>
        <w:rPr>
          <w:rFonts w:hint="eastAsia" w:ascii="宋体" w:hAnsi="宋体" w:cs="宋体"/>
          <w:bCs/>
          <w:sz w:val="24"/>
          <w:u w:val="single"/>
        </w:rPr>
        <w:t xml:space="preserve">                                                        </w:t>
      </w:r>
    </w:p>
    <w:p w14:paraId="48DD9CC8">
      <w:pPr>
        <w:adjustRightInd w:val="0"/>
        <w:snapToGrid w:val="0"/>
        <w:spacing w:line="360" w:lineRule="auto"/>
        <w:ind w:firstLine="480" w:firstLineChars="200"/>
        <w:rPr>
          <w:rFonts w:ascii="宋体" w:hAnsi="宋体" w:cs="宋体"/>
          <w:sz w:val="24"/>
          <w:u w:val="single"/>
        </w:rPr>
      </w:pPr>
      <w:r>
        <w:rPr>
          <w:rFonts w:hint="eastAsia" w:ascii="宋体" w:hAnsi="宋体" w:cs="宋体"/>
          <w:bCs/>
          <w:sz w:val="24"/>
        </w:rPr>
        <w:t>（5）风险处置措施和替代方案：</w:t>
      </w:r>
      <w:r>
        <w:rPr>
          <w:rFonts w:hint="eastAsia" w:ascii="宋体" w:hAnsi="宋体" w:cs="宋体"/>
          <w:sz w:val="24"/>
          <w:u w:val="single"/>
        </w:rPr>
        <w:t xml:space="preserve">                                                               </w:t>
      </w:r>
    </w:p>
    <w:p w14:paraId="46A5BD0B">
      <w:pPr>
        <w:numPr>
          <w:ilvl w:val="0"/>
          <w:numId w:val="5"/>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合同验收</w:t>
      </w:r>
    </w:p>
    <w:p w14:paraId="3B6FD476">
      <w:pPr>
        <w:numPr>
          <w:ilvl w:val="0"/>
          <w:numId w:val="7"/>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验收组织方式：</w:t>
      </w:r>
      <w:r>
        <w:rPr>
          <w:rFonts w:hint="eastAsia" w:ascii="宋体" w:hAnsi="宋体" w:cs="宋体"/>
          <w:sz w:val="24"/>
        </w:rPr>
        <w:sym w:font="Wingdings" w:char="00A8"/>
      </w:r>
      <w:r>
        <w:rPr>
          <w:rFonts w:hint="eastAsia" w:ascii="宋体" w:hAnsi="宋体" w:cs="宋体"/>
          <w:bCs/>
          <w:sz w:val="24"/>
        </w:rPr>
        <w:t xml:space="preserve">自行组织 </w:t>
      </w:r>
      <w:r>
        <w:rPr>
          <w:rFonts w:hint="eastAsia" w:ascii="宋体" w:hAnsi="宋体" w:cs="宋体"/>
          <w:sz w:val="24"/>
        </w:rPr>
        <w:sym w:font="Wingdings" w:char="00A8"/>
      </w:r>
      <w:r>
        <w:rPr>
          <w:rFonts w:hint="eastAsia" w:ascii="宋体" w:hAnsi="宋体" w:cs="宋体"/>
          <w:bCs/>
          <w:sz w:val="24"/>
        </w:rPr>
        <w:t>委托第三方组织</w:t>
      </w:r>
    </w:p>
    <w:p w14:paraId="514B00B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         验收主体：</w:t>
      </w:r>
      <w:r>
        <w:rPr>
          <w:rFonts w:hint="eastAsia" w:ascii="宋体" w:hAnsi="宋体" w:cs="宋体"/>
          <w:bCs/>
          <w:sz w:val="24"/>
          <w:u w:val="single"/>
        </w:rPr>
        <w:t xml:space="preserve">                  </w:t>
      </w:r>
    </w:p>
    <w:p w14:paraId="3074FCE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        是否邀请本项目的其他供应商参加验收：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7513206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是否邀请专家参加验收：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3CCC706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是否邀请服务对象参加验收：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5170500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是否邀请第三方检测机构参加验收：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2DB60A5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是否进行抽查检测：</w:t>
      </w:r>
      <w:r>
        <w:rPr>
          <w:rFonts w:hint="eastAsia" w:ascii="宋体" w:hAnsi="宋体" w:cs="宋体"/>
          <w:sz w:val="24"/>
        </w:rPr>
        <w:sym w:font="Wingdings" w:char="00A8"/>
      </w:r>
      <w:r>
        <w:rPr>
          <w:rFonts w:hint="eastAsia" w:ascii="宋体" w:hAnsi="宋体" w:cs="宋体"/>
          <w:bCs/>
          <w:sz w:val="24"/>
        </w:rPr>
        <w:t>是，抽查比例：</w:t>
      </w:r>
      <w:r>
        <w:rPr>
          <w:rFonts w:hint="eastAsia" w:ascii="宋体" w:hAnsi="宋体" w:cs="宋体"/>
          <w:bCs/>
          <w:sz w:val="24"/>
          <w:u w:val="single"/>
        </w:rPr>
        <w:t xml:space="preserve">        </w:t>
      </w:r>
      <w:r>
        <w:rPr>
          <w:rFonts w:hint="eastAsia" w:ascii="宋体" w:hAnsi="宋体" w:cs="宋体"/>
          <w:bCs/>
          <w:sz w:val="24"/>
        </w:rPr>
        <w:t xml:space="preserve"> </w:t>
      </w:r>
      <w:r>
        <w:rPr>
          <w:rFonts w:hint="eastAsia" w:ascii="宋体" w:hAnsi="宋体" w:cs="宋体"/>
          <w:sz w:val="24"/>
        </w:rPr>
        <w:sym w:font="Wingdings" w:char="00A8"/>
      </w:r>
      <w:r>
        <w:rPr>
          <w:rFonts w:hint="eastAsia" w:ascii="宋体" w:hAnsi="宋体" w:cs="宋体"/>
          <w:bCs/>
          <w:sz w:val="24"/>
        </w:rPr>
        <w:t>否</w:t>
      </w:r>
    </w:p>
    <w:p w14:paraId="5E2A499C">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是否存在破坏性检测：</w:t>
      </w:r>
      <w:r>
        <w:rPr>
          <w:rFonts w:hint="eastAsia" w:ascii="宋体" w:hAnsi="宋体" w:cs="宋体"/>
          <w:sz w:val="24"/>
        </w:rPr>
        <w:sym w:font="Wingdings" w:char="00A8"/>
      </w:r>
      <w:r>
        <w:rPr>
          <w:rFonts w:hint="eastAsia" w:ascii="宋体" w:hAnsi="宋体" w:cs="宋体"/>
          <w:bCs/>
          <w:sz w:val="24"/>
        </w:rPr>
        <w:t>是，</w:t>
      </w:r>
      <w:r>
        <w:rPr>
          <w:rFonts w:hint="eastAsia" w:ascii="宋体" w:hAnsi="宋体" w:cs="宋体"/>
          <w:bCs/>
          <w:sz w:val="24"/>
          <w:u w:val="single"/>
        </w:rPr>
        <w:t>（应明确对被破坏的检测产品的处理方式）</w:t>
      </w:r>
    </w:p>
    <w:p w14:paraId="4A5AC5B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                    </w:t>
      </w:r>
      <w:r>
        <w:rPr>
          <w:rFonts w:hint="eastAsia" w:ascii="宋体" w:hAnsi="宋体" w:cs="宋体"/>
          <w:sz w:val="24"/>
        </w:rPr>
        <w:sym w:font="Wingdings" w:char="00A8"/>
      </w:r>
      <w:r>
        <w:rPr>
          <w:rFonts w:hint="eastAsia" w:ascii="宋体" w:hAnsi="宋体" w:cs="宋体"/>
          <w:bCs/>
          <w:sz w:val="24"/>
        </w:rPr>
        <w:t>否</w:t>
      </w:r>
    </w:p>
    <w:p w14:paraId="0FB25C32">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验收组织的其他事项：</w:t>
      </w:r>
      <w:r>
        <w:rPr>
          <w:rFonts w:hint="eastAsia" w:ascii="宋体" w:hAnsi="宋体" w:cs="宋体"/>
          <w:bCs/>
          <w:sz w:val="24"/>
          <w:u w:val="single"/>
        </w:rPr>
        <w:t xml:space="preserve">                </w:t>
      </w:r>
    </w:p>
    <w:p w14:paraId="3D9903FA">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（2）履约验收时间：</w:t>
      </w:r>
      <w:r>
        <w:rPr>
          <w:rFonts w:hint="eastAsia" w:ascii="宋体" w:hAnsi="宋体" w:cs="宋体"/>
          <w:bCs/>
          <w:sz w:val="24"/>
          <w:u w:val="single"/>
        </w:rPr>
        <w:t xml:space="preserve">（计划于何时验收/供应商提出验收申请之日起   日内组织验收） </w:t>
      </w:r>
    </w:p>
    <w:p w14:paraId="2128A3B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（3）履约验收方式：</w:t>
      </w:r>
      <w:r>
        <w:rPr>
          <w:rFonts w:hint="eastAsia" w:ascii="宋体" w:hAnsi="宋体" w:cs="宋体"/>
          <w:sz w:val="24"/>
        </w:rPr>
        <w:sym w:font="Wingdings" w:char="00A8"/>
      </w:r>
      <w:r>
        <w:rPr>
          <w:rFonts w:hint="eastAsia" w:ascii="宋体" w:hAnsi="宋体" w:cs="宋体"/>
          <w:bCs/>
          <w:sz w:val="24"/>
        </w:rPr>
        <w:t xml:space="preserve">一次性验收         </w:t>
      </w:r>
    </w:p>
    <w:p w14:paraId="63EBD86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                       </w:t>
      </w:r>
      <w:r>
        <w:rPr>
          <w:rFonts w:hint="eastAsia" w:ascii="宋体" w:hAnsi="宋体" w:cs="宋体"/>
          <w:sz w:val="24"/>
        </w:rPr>
        <w:sym w:font="Wingdings" w:char="00A8"/>
      </w:r>
      <w:r>
        <w:rPr>
          <w:rFonts w:hint="eastAsia" w:ascii="宋体" w:hAnsi="宋体" w:cs="宋体"/>
          <w:bCs/>
          <w:sz w:val="24"/>
        </w:rPr>
        <w:t>分期/分项验收：</w:t>
      </w:r>
      <w:r>
        <w:rPr>
          <w:rFonts w:hint="eastAsia" w:ascii="宋体" w:hAnsi="宋体" w:cs="宋体"/>
          <w:bCs/>
          <w:sz w:val="24"/>
          <w:u w:val="single"/>
        </w:rPr>
        <w:t xml:space="preserve"> （应明确分期</w:t>
      </w:r>
      <w:r>
        <w:rPr>
          <w:rFonts w:hint="eastAsia" w:ascii="宋体" w:hAnsi="宋体" w:cs="宋体"/>
          <w:bCs/>
          <w:sz w:val="24"/>
          <w:u w:val="single"/>
          <w:lang w:val="en"/>
        </w:rPr>
        <w:t>/分项验收的工作安排</w:t>
      </w:r>
      <w:r>
        <w:rPr>
          <w:rFonts w:hint="eastAsia" w:ascii="宋体" w:hAnsi="宋体" w:cs="宋体"/>
          <w:bCs/>
          <w:sz w:val="24"/>
          <w:u w:val="single"/>
        </w:rPr>
        <w:t xml:space="preserve">）  </w:t>
      </w:r>
    </w:p>
    <w:p w14:paraId="2590630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（4）履约验收程序：</w:t>
      </w:r>
      <w:r>
        <w:rPr>
          <w:rFonts w:hint="eastAsia" w:ascii="宋体" w:hAnsi="宋体" w:cs="宋体"/>
          <w:bCs/>
          <w:sz w:val="24"/>
          <w:u w:val="single"/>
        </w:rPr>
        <w:t xml:space="preserve">                                         </w:t>
      </w:r>
    </w:p>
    <w:p w14:paraId="5DE0423B">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（5）履约验收的内容：</w:t>
      </w:r>
      <w:r>
        <w:rPr>
          <w:rFonts w:hint="eastAsia" w:ascii="宋体" w:hAnsi="宋体" w:cs="宋体"/>
          <w:bCs/>
          <w:sz w:val="24"/>
          <w:u w:val="single"/>
        </w:rPr>
        <w:t xml:space="preserve"> （应当包括每一项技术和商务要求的履约情况，特别是落实政府采购扶持中小企业，支持绿色发展和乡村振兴等政策情况）                                      </w:t>
      </w:r>
    </w:p>
    <w:p w14:paraId="10FD625D">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（6）履约验收标准：</w:t>
      </w:r>
      <w:r>
        <w:rPr>
          <w:rFonts w:hint="eastAsia" w:ascii="宋体" w:hAnsi="宋体" w:cs="宋体"/>
          <w:bCs/>
          <w:sz w:val="24"/>
          <w:u w:val="single"/>
        </w:rPr>
        <w:t xml:space="preserve">                                         </w:t>
      </w:r>
    </w:p>
    <w:p w14:paraId="3C9E6A2D">
      <w:pPr>
        <w:pStyle w:val="2"/>
        <w:spacing w:line="360" w:lineRule="auto"/>
        <w:ind w:firstLine="480"/>
        <w:rPr>
          <w:rFonts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2EE587">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（8）履约验收其他事项：</w:t>
      </w:r>
      <w:r>
        <w:rPr>
          <w:rFonts w:hint="eastAsia" w:ascii="宋体" w:hAnsi="宋体" w:cs="宋体"/>
          <w:bCs/>
          <w:sz w:val="24"/>
          <w:u w:val="single"/>
        </w:rPr>
        <w:t xml:space="preserve">      （产权过户登记等）          </w:t>
      </w:r>
    </w:p>
    <w:p w14:paraId="3AE7A3CA">
      <w:pPr>
        <w:numPr>
          <w:ilvl w:val="0"/>
          <w:numId w:val="5"/>
        </w:numPr>
        <w:adjustRightInd w:val="0"/>
        <w:snapToGrid w:val="0"/>
        <w:spacing w:line="360" w:lineRule="auto"/>
        <w:ind w:firstLine="480" w:firstLineChars="200"/>
        <w:rPr>
          <w:rFonts w:ascii="宋体" w:hAnsi="宋体" w:cs="宋体"/>
          <w:b/>
          <w:sz w:val="24"/>
        </w:rPr>
      </w:pPr>
      <w:r>
        <w:rPr>
          <w:rFonts w:hint="eastAsia" w:ascii="宋体" w:hAnsi="宋体" w:cs="宋体"/>
          <w:b/>
          <w:sz w:val="24"/>
        </w:rPr>
        <w:t>组成合同的文件</w:t>
      </w:r>
    </w:p>
    <w:p w14:paraId="298D5497">
      <w:pPr>
        <w:adjustRightInd w:val="0"/>
        <w:snapToGrid w:val="0"/>
        <w:spacing w:line="360" w:lineRule="auto"/>
        <w:ind w:firstLine="480" w:firstLineChars="200"/>
        <w:rPr>
          <w:rFonts w:ascii="宋体" w:hAnsi="宋体" w:cs="宋体"/>
          <w:sz w:val="24"/>
        </w:rPr>
      </w:pPr>
      <w:r>
        <w:rPr>
          <w:rFonts w:hint="eastAsia" w:ascii="宋体" w:hAnsi="宋体" w:cs="宋体"/>
          <w:sz w:val="24"/>
        </w:rPr>
        <w:t>本协议书与下列文件一起构成合同文件，如下述文件之间有任何抵触、矛盾或歧义，应按以下顺序解释：</w:t>
      </w:r>
    </w:p>
    <w:p w14:paraId="6220B7A9">
      <w:pPr>
        <w:adjustRightInd w:val="0"/>
        <w:snapToGrid w:val="0"/>
        <w:spacing w:line="360" w:lineRule="auto"/>
        <w:ind w:firstLine="480" w:firstLineChars="200"/>
        <w:rPr>
          <w:rFonts w:ascii="宋体" w:hAnsi="宋体" w:cs="宋体"/>
          <w:sz w:val="24"/>
        </w:rPr>
      </w:pPr>
      <w:r>
        <w:rPr>
          <w:rFonts w:hint="eastAsia" w:ascii="宋体" w:hAnsi="宋体" w:cs="宋体"/>
          <w:sz w:val="24"/>
        </w:rPr>
        <w:t>（1）政府采购合同协议书及其变更、补充协议</w:t>
      </w:r>
    </w:p>
    <w:p w14:paraId="0EEBFD93">
      <w:pPr>
        <w:adjustRightInd w:val="0"/>
        <w:snapToGrid w:val="0"/>
        <w:spacing w:line="360" w:lineRule="auto"/>
        <w:ind w:firstLine="480" w:firstLineChars="200"/>
        <w:rPr>
          <w:rFonts w:ascii="宋体" w:hAnsi="宋体" w:cs="宋体"/>
          <w:sz w:val="24"/>
        </w:rPr>
      </w:pPr>
      <w:r>
        <w:rPr>
          <w:rFonts w:hint="eastAsia" w:ascii="宋体" w:hAnsi="宋体" w:cs="宋体"/>
          <w:sz w:val="24"/>
        </w:rPr>
        <w:t>（2）政府采购合同专用条款</w:t>
      </w:r>
    </w:p>
    <w:p w14:paraId="31DABB56">
      <w:pPr>
        <w:adjustRightInd w:val="0"/>
        <w:snapToGrid w:val="0"/>
        <w:spacing w:line="360" w:lineRule="auto"/>
        <w:ind w:firstLine="480" w:firstLineChars="200"/>
        <w:rPr>
          <w:rFonts w:ascii="宋体" w:hAnsi="宋体" w:cs="宋体"/>
          <w:sz w:val="24"/>
        </w:rPr>
      </w:pPr>
      <w:r>
        <w:rPr>
          <w:rFonts w:hint="eastAsia" w:ascii="宋体" w:hAnsi="宋体" w:cs="宋体"/>
          <w:sz w:val="24"/>
        </w:rPr>
        <w:t>（3）政府采购合同通用条款</w:t>
      </w:r>
    </w:p>
    <w:p w14:paraId="5CAF8777">
      <w:pPr>
        <w:adjustRightInd w:val="0"/>
        <w:snapToGrid w:val="0"/>
        <w:spacing w:line="360" w:lineRule="auto"/>
        <w:ind w:firstLine="480" w:firstLineChars="200"/>
        <w:rPr>
          <w:rFonts w:ascii="宋体" w:hAnsi="宋体" w:cs="宋体"/>
          <w:sz w:val="24"/>
        </w:rPr>
      </w:pPr>
      <w:r>
        <w:rPr>
          <w:rFonts w:hint="eastAsia" w:ascii="宋体" w:hAnsi="宋体" w:cs="宋体"/>
          <w:sz w:val="24"/>
        </w:rPr>
        <w:t>（4）中标（成交）通知书</w:t>
      </w:r>
    </w:p>
    <w:p w14:paraId="6585814B">
      <w:pPr>
        <w:adjustRightInd w:val="0"/>
        <w:snapToGrid w:val="0"/>
        <w:spacing w:line="360" w:lineRule="auto"/>
        <w:ind w:firstLine="480" w:firstLineChars="200"/>
        <w:rPr>
          <w:rFonts w:ascii="宋体" w:hAnsi="宋体" w:cs="宋体"/>
          <w:sz w:val="24"/>
        </w:rPr>
      </w:pPr>
      <w:r>
        <w:rPr>
          <w:rFonts w:hint="eastAsia" w:ascii="宋体" w:hAnsi="宋体" w:cs="宋体"/>
          <w:sz w:val="24"/>
        </w:rPr>
        <w:t>（5）投标（响应）文件</w:t>
      </w:r>
    </w:p>
    <w:p w14:paraId="41721ABB">
      <w:pPr>
        <w:adjustRightInd w:val="0"/>
        <w:snapToGrid w:val="0"/>
        <w:spacing w:line="360" w:lineRule="auto"/>
        <w:ind w:firstLine="480" w:firstLineChars="200"/>
        <w:rPr>
          <w:rFonts w:ascii="宋体" w:hAnsi="宋体" w:cs="宋体"/>
          <w:sz w:val="24"/>
        </w:rPr>
      </w:pPr>
      <w:r>
        <w:rPr>
          <w:rFonts w:hint="eastAsia" w:ascii="宋体" w:hAnsi="宋体" w:cs="宋体"/>
          <w:sz w:val="24"/>
        </w:rPr>
        <w:t>（6）采购文件</w:t>
      </w:r>
    </w:p>
    <w:p w14:paraId="45483120">
      <w:pPr>
        <w:adjustRightInd w:val="0"/>
        <w:snapToGrid w:val="0"/>
        <w:spacing w:line="360" w:lineRule="auto"/>
        <w:ind w:firstLine="480" w:firstLineChars="200"/>
        <w:rPr>
          <w:rFonts w:ascii="宋体" w:hAnsi="宋体" w:cs="宋体"/>
          <w:sz w:val="24"/>
        </w:rPr>
      </w:pPr>
      <w:r>
        <w:rPr>
          <w:rFonts w:hint="eastAsia" w:ascii="宋体" w:hAnsi="宋体" w:cs="宋体"/>
          <w:sz w:val="24"/>
        </w:rPr>
        <w:t>（7）有关技术文件，图纸</w:t>
      </w:r>
    </w:p>
    <w:p w14:paraId="6774FDFC">
      <w:pPr>
        <w:pStyle w:val="2"/>
        <w:spacing w:line="360" w:lineRule="auto"/>
        <w:ind w:firstLine="480"/>
        <w:rPr>
          <w:rFonts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kern w:val="2"/>
          <w:sz w:val="24"/>
          <w:szCs w:val="24"/>
        </w:rPr>
        <w:t>国家法律、行政法规和规章制度规定或合同约定的作为合同组成部分的其他文件</w:t>
      </w:r>
    </w:p>
    <w:p w14:paraId="54C6E3D6">
      <w:pPr>
        <w:numPr>
          <w:ilvl w:val="0"/>
          <w:numId w:val="5"/>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合同生效</w:t>
      </w:r>
    </w:p>
    <w:p w14:paraId="164582CD">
      <w:pPr>
        <w:adjustRightInd w:val="0"/>
        <w:snapToGrid w:val="0"/>
        <w:spacing w:line="360" w:lineRule="auto"/>
        <w:ind w:firstLine="480" w:firstLineChars="200"/>
        <w:rPr>
          <w:rFonts w:ascii="宋体" w:hAnsi="宋体" w:cs="宋体"/>
          <w:sz w:val="24"/>
        </w:rPr>
      </w:pPr>
      <w:r>
        <w:rPr>
          <w:rFonts w:hint="eastAsia" w:ascii="宋体" w:hAnsi="宋体" w:cs="宋体"/>
          <w:sz w:val="24"/>
        </w:rPr>
        <w:t>本合同自</w:t>
      </w:r>
      <w:r>
        <w:rPr>
          <w:rFonts w:hint="eastAsia" w:ascii="宋体" w:hAnsi="宋体" w:cs="宋体"/>
          <w:sz w:val="24"/>
          <w:u w:val="single"/>
        </w:rPr>
        <w:t xml:space="preserve">                             </w:t>
      </w:r>
      <w:r>
        <w:rPr>
          <w:rFonts w:hint="eastAsia" w:ascii="宋体" w:hAnsi="宋体" w:cs="宋体"/>
          <w:sz w:val="24"/>
        </w:rPr>
        <w:t>生效。</w:t>
      </w:r>
    </w:p>
    <w:p w14:paraId="51778029">
      <w:pPr>
        <w:numPr>
          <w:ilvl w:val="0"/>
          <w:numId w:val="5"/>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合同份数</w:t>
      </w:r>
    </w:p>
    <w:p w14:paraId="5E3C9585">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份，均具有同等法律效力。</w:t>
      </w:r>
    </w:p>
    <w:p w14:paraId="73C97833">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05D5CDF">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sz w:val="24"/>
          <w:u w:val="single"/>
        </w:rPr>
        <w:t xml:space="preserve">                           </w:t>
      </w:r>
    </w:p>
    <w:p w14:paraId="33C34C0F">
      <w:pPr>
        <w:adjustRightInd w:val="0"/>
        <w:snapToGrid w:val="0"/>
        <w:spacing w:line="360" w:lineRule="auto"/>
        <w:ind w:firstLine="480" w:firstLineChars="200"/>
        <w:rPr>
          <w:rFonts w:ascii="宋体" w:hAnsi="宋体" w:cs="宋体"/>
          <w:sz w:val="24"/>
        </w:rPr>
      </w:pPr>
      <w:r>
        <w:rPr>
          <w:rFonts w:hint="eastAsia" w:ascii="宋体" w:hAnsi="宋体" w:cs="宋体"/>
          <w:sz w:val="24"/>
        </w:rPr>
        <w:t>附件：具体标的及其技术要求和商务要求、联合协议、分包意向协议等。</w:t>
      </w:r>
    </w:p>
    <w:p w14:paraId="32F219CE">
      <w:pPr>
        <w:pStyle w:val="26"/>
        <w:spacing w:line="400" w:lineRule="exact"/>
        <w:ind w:firstLine="480"/>
        <w:rPr>
          <w:rFonts w:ascii="宋体" w:hAnsi="宋体" w:cs="宋体"/>
          <w:sz w:val="24"/>
          <w:szCs w:val="24"/>
        </w:rPr>
      </w:pPr>
    </w:p>
    <w:p w14:paraId="3F8007F2">
      <w:pPr>
        <w:pStyle w:val="4"/>
        <w:adjustRightInd w:val="0"/>
        <w:snapToGrid w:val="0"/>
        <w:spacing w:before="156" w:beforeLines="50"/>
        <w:jc w:val="center"/>
        <w:rPr>
          <w:rFonts w:ascii="宋体" w:hAnsi="宋体" w:eastAsia="宋体" w:cs="宋体"/>
          <w:sz w:val="24"/>
          <w:szCs w:val="24"/>
        </w:rPr>
      </w:pPr>
      <w:bookmarkStart w:id="92" w:name="_Toc27624"/>
      <w:r>
        <w:rPr>
          <w:rFonts w:hint="eastAsia" w:ascii="宋体" w:hAnsi="宋体" w:eastAsia="宋体" w:cs="宋体"/>
          <w:b w:val="0"/>
          <w:bCs w:val="0"/>
          <w:sz w:val="24"/>
          <w:szCs w:val="24"/>
        </w:rPr>
        <w:t>第二节 政府采购合同通用条款</w:t>
      </w:r>
      <w:bookmarkEnd w:id="92"/>
    </w:p>
    <w:p w14:paraId="314513C6">
      <w:pPr>
        <w:tabs>
          <w:tab w:val="left" w:pos="8820"/>
          <w:tab w:val="left" w:pos="9345"/>
          <w:tab w:val="left" w:pos="9765"/>
        </w:tabs>
        <w:adjustRightInd w:val="0"/>
        <w:snapToGrid w:val="0"/>
        <w:spacing w:line="400" w:lineRule="exact"/>
        <w:jc w:val="left"/>
        <w:rPr>
          <w:rFonts w:ascii="宋体" w:hAnsi="宋体" w:cs="宋体"/>
          <w:b/>
          <w:bCs/>
          <w:sz w:val="24"/>
        </w:rPr>
      </w:pPr>
      <w:r>
        <w:rPr>
          <w:rFonts w:hint="eastAsia" w:ascii="宋体" w:hAnsi="宋体" w:cs="宋体"/>
          <w:b/>
          <w:sz w:val="24"/>
        </w:rPr>
        <w:t xml:space="preserve">1. </w:t>
      </w:r>
      <w:r>
        <w:rPr>
          <w:rFonts w:hint="eastAsia" w:ascii="宋体" w:hAnsi="宋体" w:cs="宋体"/>
          <w:b/>
          <w:bCs/>
          <w:sz w:val="24"/>
        </w:rPr>
        <w:t>定义</w:t>
      </w:r>
    </w:p>
    <w:p w14:paraId="46E18E1A">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1.1合同当事人</w:t>
      </w:r>
    </w:p>
    <w:p w14:paraId="3F346C8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（1）采购人（以下称甲方）是指使用财政性资金，通过政府采购方式向供应商购买货物及其相关服务的国家机关、事业单位、团体组织。</w:t>
      </w:r>
    </w:p>
    <w:p w14:paraId="25D4CF2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（2）供应商（以下称乙方）是指参加政府采购活动并且中标（成交），向采购人提供合同约定的货物及其相关服务的法人、非法人组织或者自然人。</w:t>
      </w:r>
    </w:p>
    <w:p w14:paraId="2CE40CF6">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（3）其他合同主体是指除采购人和供应商以外，</w:t>
      </w:r>
      <w:r>
        <w:rPr>
          <w:rFonts w:hint="eastAsia" w:ascii="宋体" w:hAnsi="宋体" w:cs="宋体"/>
          <w:bCs/>
          <w:sz w:val="24"/>
        </w:rPr>
        <w:t>依法参与合同缔结或履行，享有权利、承担义务的合同当事人</w:t>
      </w:r>
      <w:r>
        <w:rPr>
          <w:rFonts w:hint="eastAsia" w:ascii="宋体" w:hAnsi="宋体" w:cs="宋体"/>
          <w:sz w:val="24"/>
        </w:rPr>
        <w:t>。</w:t>
      </w:r>
    </w:p>
    <w:p w14:paraId="24C04F59">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1.2本合同下列术语应解释为：</w:t>
      </w:r>
    </w:p>
    <w:p w14:paraId="5B1DB0B8">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（1）“合同”系指</w:t>
      </w:r>
      <w:r>
        <w:rPr>
          <w:rFonts w:hint="eastAsia" w:ascii="宋体" w:hAnsi="宋体" w:cs="宋体"/>
          <w:bCs/>
          <w:sz w:val="24"/>
        </w:rPr>
        <w:t>合同当事人意思表示达成一致的任何协议，包括签署的</w:t>
      </w:r>
      <w:r>
        <w:rPr>
          <w:rFonts w:hint="eastAsia" w:ascii="宋体" w:hAnsi="宋体" w:cs="宋体"/>
          <w:sz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2741E0E">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（2）“合同价款”系指根据本合同规定乙方在全面履行合同义务后甲方应支付给乙方的价款。</w:t>
      </w:r>
    </w:p>
    <w:p w14:paraId="46E1CFAA">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（3）“货物”系指乙方根据本合同规定须向甲方提供的各种形态和种类的物品，包括原材料、设备、产品（包括软件）及相关的其备品备件、工具、手册及</w:t>
      </w:r>
      <w:r>
        <w:rPr>
          <w:rFonts w:hint="eastAsia" w:ascii="宋体" w:hAnsi="宋体" w:cs="宋体"/>
          <w:sz w:val="24"/>
          <w:lang w:val="en"/>
        </w:rPr>
        <w:t>其他</w:t>
      </w:r>
      <w:r>
        <w:rPr>
          <w:rFonts w:hint="eastAsia" w:ascii="宋体" w:hAnsi="宋体" w:cs="宋体"/>
          <w:sz w:val="24"/>
        </w:rPr>
        <w:t>技术资料和材料等。</w:t>
      </w:r>
    </w:p>
    <w:p w14:paraId="37969105">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（4）“相关服务”系指根据合同规定，乙方应提供的与货物有关的技术、管理和</w:t>
      </w:r>
      <w:r>
        <w:rPr>
          <w:rFonts w:hint="eastAsia" w:ascii="宋体" w:hAnsi="宋体" w:cs="宋体"/>
          <w:sz w:val="24"/>
          <w:lang w:val="en"/>
        </w:rPr>
        <w:t>其他</w:t>
      </w:r>
      <w:r>
        <w:rPr>
          <w:rFonts w:hint="eastAsia" w:ascii="宋体" w:hAnsi="宋体" w:cs="宋体"/>
          <w:sz w:val="24"/>
        </w:rPr>
        <w:t>服务，包括但不限于：管理和质量保证、运输、保险、检验、现场准备、安装、集成、调试、培训、维修、废弃处置、技术支持等以及合同中规定乙方应承担的</w:t>
      </w:r>
      <w:r>
        <w:rPr>
          <w:rFonts w:hint="eastAsia" w:ascii="宋体" w:hAnsi="宋体" w:cs="宋体"/>
          <w:sz w:val="24"/>
          <w:lang w:val="en"/>
        </w:rPr>
        <w:t>其他</w:t>
      </w:r>
      <w:r>
        <w:rPr>
          <w:rFonts w:hint="eastAsia" w:ascii="宋体" w:hAnsi="宋体" w:cs="宋体"/>
          <w:sz w:val="24"/>
        </w:rPr>
        <w:t>义务。</w:t>
      </w:r>
    </w:p>
    <w:p w14:paraId="5121FD42">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（5）“分包”系指中标（成交）供应商按采购文件、投标（响应）文件的规定，根据分包意向协议，将中标（成交）项目中的部分履约内容，分给具有相应资质条件的供应商履行合同的行为。</w:t>
      </w:r>
    </w:p>
    <w:p w14:paraId="1337476D">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sz w:val="24"/>
        </w:rPr>
        <w:t>政府采购合同专用条款</w:t>
      </w:r>
      <w:r>
        <w:rPr>
          <w:rFonts w:hint="eastAsia" w:ascii="宋体" w:hAnsi="宋体" w:cs="宋体"/>
          <w:sz w:val="24"/>
        </w:rPr>
        <w:t>】。</w:t>
      </w:r>
    </w:p>
    <w:p w14:paraId="024E12B7">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（7）其他术语解释，见【</w:t>
      </w:r>
      <w:r>
        <w:rPr>
          <w:rFonts w:hint="eastAsia" w:ascii="宋体" w:hAnsi="宋体" w:cs="宋体"/>
          <w:b/>
          <w:bCs/>
          <w:sz w:val="24"/>
        </w:rPr>
        <w:t>政府采购合同专用条款</w:t>
      </w:r>
      <w:r>
        <w:rPr>
          <w:rFonts w:hint="eastAsia" w:ascii="宋体" w:hAnsi="宋体" w:cs="宋体"/>
          <w:sz w:val="24"/>
        </w:rPr>
        <w:t>】。</w:t>
      </w:r>
    </w:p>
    <w:p w14:paraId="2AF92803">
      <w:pPr>
        <w:numPr>
          <w:ilvl w:val="0"/>
          <w:numId w:val="8"/>
        </w:numPr>
        <w:autoSpaceDE w:val="0"/>
        <w:autoSpaceDN w:val="0"/>
        <w:adjustRightInd w:val="0"/>
        <w:snapToGrid w:val="0"/>
        <w:spacing w:line="400" w:lineRule="exact"/>
        <w:jc w:val="left"/>
        <w:rPr>
          <w:rFonts w:ascii="宋体" w:hAnsi="宋体" w:cs="宋体"/>
          <w:b/>
          <w:bCs/>
          <w:sz w:val="24"/>
        </w:rPr>
      </w:pPr>
      <w:r>
        <w:rPr>
          <w:rFonts w:hint="eastAsia" w:ascii="宋体" w:hAnsi="宋体" w:cs="宋体"/>
          <w:b/>
          <w:sz w:val="24"/>
        </w:rPr>
        <w:t>合同标的及金额</w:t>
      </w:r>
    </w:p>
    <w:p w14:paraId="07EEC8D2">
      <w:pPr>
        <w:autoSpaceDE w:val="0"/>
        <w:autoSpaceDN w:val="0"/>
        <w:adjustRightInd w:val="0"/>
        <w:snapToGrid w:val="0"/>
        <w:spacing w:line="400" w:lineRule="exact"/>
        <w:ind w:firstLine="480" w:firstLineChars="200"/>
        <w:jc w:val="left"/>
        <w:rPr>
          <w:rFonts w:ascii="宋体" w:hAnsi="宋体" w:cs="宋体"/>
          <w:b/>
          <w:bCs/>
          <w:i/>
          <w:iCs/>
          <w:sz w:val="24"/>
        </w:rPr>
      </w:pPr>
      <w:r>
        <w:rPr>
          <w:rFonts w:hint="eastAsia" w:ascii="宋体" w:hAnsi="宋体" w:cs="宋体"/>
          <w:sz w:val="24"/>
        </w:rPr>
        <w:t>2.1 合同标的及金额应与中标（成交）结果一致。乙方为履行本合同而发生的所有费用均应包含在合同价款中，甲方不再另行支付</w:t>
      </w:r>
      <w:r>
        <w:rPr>
          <w:rFonts w:hint="eastAsia" w:ascii="宋体" w:hAnsi="宋体" w:cs="宋体"/>
          <w:sz w:val="24"/>
          <w:lang w:val="en"/>
        </w:rPr>
        <w:t>其他</w:t>
      </w:r>
      <w:r>
        <w:rPr>
          <w:rFonts w:hint="eastAsia" w:ascii="宋体" w:hAnsi="宋体" w:cs="宋体"/>
          <w:sz w:val="24"/>
        </w:rPr>
        <w:t>任何费用。</w:t>
      </w:r>
    </w:p>
    <w:p w14:paraId="3D232FD6">
      <w:pPr>
        <w:adjustRightInd w:val="0"/>
        <w:snapToGrid w:val="0"/>
        <w:spacing w:line="400" w:lineRule="exact"/>
        <w:jc w:val="left"/>
        <w:rPr>
          <w:rFonts w:ascii="宋体" w:hAnsi="宋体" w:cs="宋体"/>
          <w:b/>
          <w:sz w:val="24"/>
        </w:rPr>
      </w:pPr>
      <w:r>
        <w:rPr>
          <w:rFonts w:hint="eastAsia" w:ascii="宋体" w:hAnsi="宋体" w:cs="宋体"/>
          <w:b/>
          <w:sz w:val="24"/>
        </w:rPr>
        <w:t>3. 履行合同的时间、地点和方式</w:t>
      </w:r>
    </w:p>
    <w:p w14:paraId="277EC6D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3.1 乙方应当在约定的时间、地点，按照约定方式履行合同。</w:t>
      </w:r>
    </w:p>
    <w:p w14:paraId="307B3424">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4. 甲方的权利和义务</w:t>
      </w:r>
    </w:p>
    <w:p w14:paraId="1DA074B4">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4.1 签署合同后，甲方应确定项目负责人（或项目联系人），负责与本合同有关的事务。甲方有权对乙方的履约行为进行检查，并及时确认乙方提交的事项。甲方应当配合乙方完成相关项目实施工作。</w:t>
      </w:r>
    </w:p>
    <w:p w14:paraId="33FFD977">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4.2 甲方有权要求乙方按时提交各阶段有关安排计划，并有权定期核对乙方提供货物数量、规格、质量等内容。甲方有权督促乙方工作并要求乙方更换不符合要求的货物。</w:t>
      </w:r>
    </w:p>
    <w:p w14:paraId="33734427">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4.3 甲方有权要求乙方对缺陷部分予以修复，并按合同约定享有货物保修及其他合同约定的权利。</w:t>
      </w:r>
    </w:p>
    <w:p w14:paraId="12370E3F">
      <w:pPr>
        <w:snapToGrid w:val="0"/>
        <w:spacing w:line="400" w:lineRule="exact"/>
        <w:ind w:firstLine="480" w:firstLineChars="200"/>
        <w:rPr>
          <w:rFonts w:ascii="宋体" w:hAnsi="宋体" w:cs="宋体"/>
          <w:sz w:val="24"/>
        </w:rPr>
      </w:pPr>
      <w:r>
        <w:rPr>
          <w:rFonts w:hint="eastAsia" w:ascii="宋体" w:hAnsi="宋体" w:cs="宋体"/>
          <w:sz w:val="24"/>
        </w:rPr>
        <w:t>4.4 甲方应当按照合同约定及时对交付的货物进行验收，未在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约定的期限内对乙方履约提出任何异议或者向乙方作出任何说明的，视为验收通过。</w:t>
      </w:r>
    </w:p>
    <w:p w14:paraId="03D5FB6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4.5 甲方应当根据合同约定及时向乙方支付合同价款，不得以内部人员变更、履行内部付款流程等为由，拒绝或迟延支付。</w:t>
      </w:r>
    </w:p>
    <w:p w14:paraId="347C1164">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4.6 国家法律法规规定及</w:t>
      </w:r>
      <w:r>
        <w:rPr>
          <w:rFonts w:hint="eastAsia" w:ascii="宋体" w:hAnsi="宋体" w:cs="宋体"/>
          <w:b/>
          <w:bCs/>
          <w:sz w:val="24"/>
        </w:rPr>
        <w:t>【政府采购合同专用条款】</w:t>
      </w:r>
      <w:r>
        <w:rPr>
          <w:rFonts w:hint="eastAsia" w:ascii="宋体" w:hAnsi="宋体" w:cs="宋体"/>
          <w:sz w:val="24"/>
        </w:rPr>
        <w:t>约定应由甲方承担的其他义务和责任。</w:t>
      </w:r>
    </w:p>
    <w:p w14:paraId="1902AAD5">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5. 乙方的权利和义务</w:t>
      </w:r>
    </w:p>
    <w:p w14:paraId="288E64C4">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5.1 签署合同后，乙方应确定项目负责人（或项目联系人），负责与本合同有关的事务。</w:t>
      </w:r>
    </w:p>
    <w:p w14:paraId="3F7CF9DE">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1415A4C">
      <w:pPr>
        <w:pStyle w:val="8"/>
        <w:spacing w:line="400" w:lineRule="exact"/>
        <w:ind w:firstLine="422" w:firstLineChars="176"/>
        <w:rPr>
          <w:rFonts w:ascii="宋体" w:hAnsi="宋体" w:cs="宋体"/>
          <w:sz w:val="24"/>
          <w:szCs w:val="24"/>
        </w:rPr>
      </w:pPr>
      <w:r>
        <w:rPr>
          <w:rFonts w:hint="eastAsia" w:ascii="宋体" w:hAnsi="宋体" w:cs="宋体"/>
          <w:sz w:val="24"/>
          <w:szCs w:val="24"/>
        </w:rPr>
        <w:t>5.3乙方有权根据合同约定向甲方收取合同价款。</w:t>
      </w:r>
    </w:p>
    <w:p w14:paraId="1C539977">
      <w:pPr>
        <w:pStyle w:val="8"/>
        <w:spacing w:line="400" w:lineRule="exact"/>
        <w:ind w:firstLine="422" w:firstLineChars="176"/>
        <w:rPr>
          <w:rFonts w:ascii="宋体" w:hAnsi="宋体" w:cs="宋体"/>
          <w:sz w:val="24"/>
          <w:szCs w:val="24"/>
        </w:rPr>
      </w:pPr>
      <w:r>
        <w:rPr>
          <w:rFonts w:hint="eastAsia" w:ascii="宋体" w:hAnsi="宋体" w:cs="宋体"/>
          <w:sz w:val="24"/>
          <w:szCs w:val="24"/>
        </w:rPr>
        <w:t>5.4国家法律法规规定及</w:t>
      </w:r>
      <w:r>
        <w:rPr>
          <w:rFonts w:hint="eastAsia" w:ascii="宋体" w:hAnsi="宋体" w:cs="宋体"/>
          <w:b/>
          <w:bCs/>
          <w:sz w:val="24"/>
          <w:szCs w:val="24"/>
        </w:rPr>
        <w:t>【政府采购合同专用条款】</w:t>
      </w:r>
      <w:r>
        <w:rPr>
          <w:rFonts w:hint="eastAsia" w:ascii="宋体" w:hAnsi="宋体" w:cs="宋体"/>
          <w:sz w:val="24"/>
          <w:szCs w:val="24"/>
        </w:rPr>
        <w:t>约定应由乙方承担的其他义务和责任。</w:t>
      </w:r>
    </w:p>
    <w:p w14:paraId="0E8231B8">
      <w:pPr>
        <w:numPr>
          <w:ilvl w:val="0"/>
          <w:numId w:val="9"/>
        </w:num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合同履行</w:t>
      </w:r>
    </w:p>
    <w:p w14:paraId="30110F97">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6.1 甲乙双方应当按照</w:t>
      </w:r>
      <w:r>
        <w:rPr>
          <w:rFonts w:hint="eastAsia" w:ascii="宋体" w:hAnsi="宋体" w:cs="宋体"/>
          <w:b/>
          <w:bCs/>
          <w:sz w:val="24"/>
        </w:rPr>
        <w:t>【政府采购合同专用条款】</w:t>
      </w:r>
      <w:r>
        <w:rPr>
          <w:rFonts w:hint="eastAsia" w:ascii="宋体" w:hAnsi="宋体" w:cs="宋体"/>
          <w:sz w:val="24"/>
        </w:rPr>
        <w:t>约定顺序履行合同义务；如果没有先后顺序的，应当同时履行。</w:t>
      </w:r>
    </w:p>
    <w:p w14:paraId="1105E2C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6.2 甲乙双方按照合同约定顺序履行合同义务时，应当先履行一方未履行的，后履行一方有权拒绝其履行请求。先履行一方履行不符合约定的，后履行一方有权拒绝其相应的履行请求。</w:t>
      </w:r>
    </w:p>
    <w:p w14:paraId="52BB12BD">
      <w:pPr>
        <w:adjustRightInd w:val="0"/>
        <w:snapToGrid w:val="0"/>
        <w:spacing w:line="400" w:lineRule="exact"/>
        <w:jc w:val="left"/>
        <w:rPr>
          <w:rFonts w:ascii="宋体" w:hAnsi="宋体" w:cs="宋体"/>
          <w:b/>
          <w:bCs/>
          <w:sz w:val="24"/>
        </w:rPr>
      </w:pPr>
      <w:r>
        <w:rPr>
          <w:rFonts w:hint="eastAsia" w:ascii="宋体" w:hAnsi="宋体" w:cs="宋体"/>
          <w:b/>
          <w:bCs/>
          <w:sz w:val="24"/>
        </w:rPr>
        <w:t>7. 货物包装、运输、保险和交付要求</w:t>
      </w:r>
    </w:p>
    <w:p w14:paraId="46ACA063">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7.1 本合同</w:t>
      </w:r>
      <w:r>
        <w:rPr>
          <w:rFonts w:hint="eastAsia" w:ascii="宋体" w:hAnsi="宋体" w:cs="宋体"/>
          <w:bCs/>
          <w:sz w:val="24"/>
        </w:rPr>
        <w:t>涉及商品包装、快递包装的，</w:t>
      </w:r>
      <w:r>
        <w:rPr>
          <w:rFonts w:hint="eastAsia" w:ascii="宋体" w:hAnsi="宋体" w:cs="宋体"/>
          <w:sz w:val="24"/>
        </w:rPr>
        <w:t>除</w:t>
      </w:r>
      <w:r>
        <w:rPr>
          <w:rFonts w:hint="eastAsia" w:ascii="宋体" w:hAnsi="宋体" w:cs="宋体"/>
          <w:b/>
          <w:sz w:val="24"/>
        </w:rPr>
        <w:t>【政府采购合同专用条款】</w:t>
      </w:r>
      <w:r>
        <w:rPr>
          <w:rFonts w:hint="eastAsia" w:ascii="宋体" w:hAnsi="宋体" w:cs="宋体"/>
          <w:bCs/>
          <w:sz w:val="24"/>
        </w:rPr>
        <w:t>另有约定外，</w:t>
      </w:r>
      <w:r>
        <w:rPr>
          <w:rFonts w:hint="eastAsia" w:ascii="宋体" w:hAnsi="宋体" w:cs="宋体"/>
          <w:sz w:val="24"/>
        </w:rPr>
        <w:t>包装应适应远距离运输、防潮、防震、防锈和防野蛮装卸等要求，确保货物安全无损地运抵</w:t>
      </w:r>
      <w:r>
        <w:rPr>
          <w:rFonts w:hint="eastAsia" w:ascii="宋体" w:hAnsi="宋体" w:cs="宋体"/>
          <w:b/>
          <w:sz w:val="24"/>
        </w:rPr>
        <w:t>【政府采购合同专用条款】</w:t>
      </w:r>
      <w:r>
        <w:rPr>
          <w:rFonts w:hint="eastAsia" w:ascii="宋体" w:hAnsi="宋体" w:cs="宋体"/>
          <w:bCs/>
          <w:sz w:val="24"/>
        </w:rPr>
        <w:t>约定的</w:t>
      </w:r>
      <w:r>
        <w:rPr>
          <w:rFonts w:hint="eastAsia" w:ascii="宋体" w:hAnsi="宋体" w:cs="宋体"/>
          <w:sz w:val="24"/>
        </w:rPr>
        <w:t>指定现场。</w:t>
      </w:r>
    </w:p>
    <w:p w14:paraId="7AF5EB4B">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7.2 除</w:t>
      </w:r>
      <w:r>
        <w:rPr>
          <w:rFonts w:hint="eastAsia" w:ascii="宋体" w:hAnsi="宋体" w:cs="宋体"/>
          <w:b/>
          <w:sz w:val="24"/>
        </w:rPr>
        <w:t>【政府采购合同专用条款】</w:t>
      </w:r>
      <w:r>
        <w:rPr>
          <w:rFonts w:hint="eastAsia" w:ascii="宋体" w:hAnsi="宋体" w:cs="宋体"/>
          <w:bCs/>
          <w:sz w:val="24"/>
        </w:rPr>
        <w:t>另有约定外，</w:t>
      </w:r>
      <w:r>
        <w:rPr>
          <w:rFonts w:hint="eastAsia" w:ascii="宋体" w:hAnsi="宋体" w:cs="宋体"/>
          <w:sz w:val="24"/>
        </w:rPr>
        <w:t>乙方负责办理将货物运抵本合同规定的交货地点，并装卸、交付至甲方的一切运输事项，相关费用应包含在合同价款中。</w:t>
      </w:r>
    </w:p>
    <w:p w14:paraId="50AEF19C">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7.3 货物保险要求按</w:t>
      </w:r>
      <w:r>
        <w:rPr>
          <w:rFonts w:hint="eastAsia" w:ascii="宋体" w:hAnsi="宋体" w:cs="宋体"/>
          <w:b/>
          <w:sz w:val="24"/>
        </w:rPr>
        <w:t>【政府采购合同专用条款】</w:t>
      </w:r>
      <w:r>
        <w:rPr>
          <w:rFonts w:hint="eastAsia" w:ascii="宋体" w:hAnsi="宋体" w:cs="宋体"/>
          <w:bCs/>
          <w:sz w:val="24"/>
        </w:rPr>
        <w:t>规定执行</w:t>
      </w:r>
      <w:r>
        <w:rPr>
          <w:rFonts w:hint="eastAsia" w:ascii="宋体" w:hAnsi="宋体" w:cs="宋体"/>
          <w:sz w:val="24"/>
        </w:rPr>
        <w:t>。</w:t>
      </w:r>
    </w:p>
    <w:p w14:paraId="4BC24556">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85E6506">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7.5 乙方在运输到达之前应提前通知甲方，并提示货物运输装卸的注意事项，甲方配合乙方做好货物的接收工作。</w:t>
      </w:r>
    </w:p>
    <w:p w14:paraId="0B9F8F35">
      <w:pPr>
        <w:pStyle w:val="2"/>
        <w:ind w:firstLine="480"/>
        <w:rPr>
          <w:rFonts w:ascii="宋体" w:hAnsi="宋体" w:eastAsia="宋体" w:cs="宋体"/>
          <w:sz w:val="24"/>
          <w:szCs w:val="24"/>
        </w:rPr>
      </w:pPr>
      <w:r>
        <w:rPr>
          <w:rFonts w:hint="eastAsia" w:ascii="宋体" w:hAnsi="宋体" w:eastAsia="宋体" w:cs="宋体"/>
          <w:kern w:val="2"/>
          <w:sz w:val="24"/>
          <w:szCs w:val="24"/>
        </w:rPr>
        <w:t>7.6 如因包装、运输问题导致货物损毁、丢失或者品质下降，甲方有权要求降价、换货、拒收部分或整批货物，由此产生的费用和损失，均由乙方承担。</w:t>
      </w:r>
    </w:p>
    <w:p w14:paraId="609A5E93">
      <w:pPr>
        <w:adjustRightInd w:val="0"/>
        <w:snapToGrid w:val="0"/>
        <w:spacing w:line="400" w:lineRule="exact"/>
        <w:jc w:val="left"/>
        <w:rPr>
          <w:rFonts w:ascii="宋体" w:hAnsi="宋体" w:cs="宋体"/>
          <w:b/>
          <w:sz w:val="24"/>
        </w:rPr>
      </w:pPr>
      <w:r>
        <w:rPr>
          <w:rFonts w:hint="eastAsia" w:ascii="宋体" w:hAnsi="宋体" w:cs="宋体"/>
          <w:b/>
          <w:sz w:val="24"/>
        </w:rPr>
        <w:t>8. 质量标准和保证</w:t>
      </w:r>
    </w:p>
    <w:p w14:paraId="4A2F91D7">
      <w:pPr>
        <w:pStyle w:val="10"/>
        <w:adjustRightInd w:val="0"/>
        <w:snapToGrid w:val="0"/>
        <w:spacing w:line="400" w:lineRule="exact"/>
        <w:ind w:firstLine="480" w:firstLineChars="200"/>
        <w:jc w:val="left"/>
        <w:rPr>
          <w:rFonts w:hAnsi="宋体" w:cs="宋体"/>
          <w:b/>
          <w:sz w:val="24"/>
          <w:szCs w:val="24"/>
        </w:rPr>
      </w:pPr>
      <w:r>
        <w:rPr>
          <w:rFonts w:hint="eastAsia" w:hAnsi="宋体" w:cs="宋体"/>
          <w:sz w:val="24"/>
          <w:szCs w:val="24"/>
        </w:rPr>
        <w:t>8.1 质量标准</w:t>
      </w:r>
    </w:p>
    <w:p w14:paraId="33C830E1">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94E6AB5">
      <w:pPr>
        <w:pStyle w:val="10"/>
        <w:adjustRightInd w:val="0"/>
        <w:snapToGrid w:val="0"/>
        <w:spacing w:line="400" w:lineRule="exact"/>
        <w:ind w:firstLine="480" w:firstLineChars="200"/>
        <w:jc w:val="left"/>
        <w:rPr>
          <w:rFonts w:hAnsi="宋体" w:cs="宋体"/>
          <w:sz w:val="24"/>
          <w:szCs w:val="24"/>
        </w:rPr>
      </w:pPr>
      <w:r>
        <w:rPr>
          <w:rFonts w:hint="eastAsia" w:hAnsi="宋体" w:cs="宋体"/>
          <w:sz w:val="24"/>
          <w:szCs w:val="24"/>
        </w:rPr>
        <w:t>（2）采用中华人民共和国法定计量单位。</w:t>
      </w:r>
    </w:p>
    <w:p w14:paraId="628ECB83">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（3）乙方所提供的货物应符合国家有关安全、环保、卫生的规定。</w:t>
      </w:r>
    </w:p>
    <w:p w14:paraId="088EFA4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（4）乙方应向甲方提交所提供货物的技术文件，包括相应的中文技术文件，如：产品目录、图纸、操作手册、使用说明、维护手册或服务指南等。上述文件应包装好随货物一同发运。</w:t>
      </w:r>
    </w:p>
    <w:p w14:paraId="35888A12">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8.2 保证</w:t>
      </w:r>
    </w:p>
    <w:p w14:paraId="0B50D512">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sz w:val="24"/>
        </w:rPr>
        <w:t>【政府采购合同专用条款】</w:t>
      </w:r>
      <w:r>
        <w:rPr>
          <w:rFonts w:hint="eastAsia" w:ascii="宋体" w:hAnsi="宋体" w:cs="宋体"/>
          <w:sz w:val="24"/>
        </w:rPr>
        <w:t>规定或乙方书面承诺（两者以较长的为准）的质量保证期内，本保证保持有效。</w:t>
      </w:r>
    </w:p>
    <w:p w14:paraId="15C2FCA4">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（2）在质量保证期内所发现的缺陷，甲方应尽快以书面形式通知乙方。</w:t>
      </w:r>
    </w:p>
    <w:p w14:paraId="22E4CDBE">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（3）乙方收到通知后，应在</w:t>
      </w:r>
      <w:r>
        <w:rPr>
          <w:rFonts w:hint="eastAsia" w:ascii="宋体" w:hAnsi="宋体" w:cs="宋体"/>
          <w:b/>
          <w:sz w:val="24"/>
        </w:rPr>
        <w:t>【政府采购合同专用条款】</w:t>
      </w:r>
      <w:r>
        <w:rPr>
          <w:rFonts w:hint="eastAsia" w:ascii="宋体" w:hAnsi="宋体" w:cs="宋体"/>
          <w:sz w:val="24"/>
        </w:rPr>
        <w:t>规定的响应时间内以合理的速度免费维修或更换有缺陷的货物或部件。</w:t>
      </w:r>
    </w:p>
    <w:p w14:paraId="126D13F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（4）在质量保证期内，如果货物的质量或规格与合同不符，或证实货物是有缺陷的，包括潜在的缺陷或使用不符合要求的材料等，甲方可以根据本合同第15.1条规定以书面形式追究乙方的违约责任。</w:t>
      </w:r>
    </w:p>
    <w:p w14:paraId="0747B20B">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（5）乙方在约定的时间内未能弥补缺陷，甲方可采取必要的补救措施，但其风险和费用将由乙方承担，甲方根据合同约定对乙方行使的其他权利不受影响。</w:t>
      </w:r>
    </w:p>
    <w:p w14:paraId="62BD25C1">
      <w:pPr>
        <w:adjustRightInd w:val="0"/>
        <w:snapToGrid w:val="0"/>
        <w:spacing w:line="400" w:lineRule="exact"/>
        <w:jc w:val="left"/>
        <w:rPr>
          <w:rFonts w:ascii="宋体" w:hAnsi="宋体" w:cs="宋体"/>
          <w:b/>
          <w:bCs/>
          <w:sz w:val="24"/>
        </w:rPr>
      </w:pPr>
      <w:r>
        <w:rPr>
          <w:rFonts w:hint="eastAsia" w:ascii="宋体" w:hAnsi="宋体" w:cs="宋体"/>
          <w:b/>
          <w:bCs/>
          <w:sz w:val="24"/>
        </w:rPr>
        <w:t>9. 权利瑕疵担保</w:t>
      </w:r>
    </w:p>
    <w:p w14:paraId="4094ED97">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9.1 乙方保证对其出售的货物享有合法的权利。</w:t>
      </w:r>
    </w:p>
    <w:p w14:paraId="20B3015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9.2 乙方保证在交付的货物上不存在抵押权等担保物权。</w:t>
      </w:r>
    </w:p>
    <w:p w14:paraId="34941CA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9.3 如甲方使用上述货物构成对第三人侵权的，则由乙方承担全部责任。</w:t>
      </w:r>
    </w:p>
    <w:p w14:paraId="4C788BFE">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10. 知识产权保护</w:t>
      </w:r>
    </w:p>
    <w:p w14:paraId="0988E74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10.1 乙方对其所销售的货物应当享有知识产权或经权利人合法授权，保证没有侵犯任何第三人的知识产权等权利。</w:t>
      </w:r>
      <w:bookmarkStart w:id="93"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93"/>
      <w:r>
        <w:rPr>
          <w:rFonts w:hint="eastAsia" w:ascii="宋体" w:hAnsi="宋体" w:cs="宋体"/>
          <w:sz w:val="24"/>
        </w:rPr>
        <w:t>。</w:t>
      </w:r>
    </w:p>
    <w:p w14:paraId="5813265B">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11. 保密义务</w:t>
      </w:r>
    </w:p>
    <w:p w14:paraId="3E812052">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579E7D35">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12. 合同价款支付</w:t>
      </w:r>
    </w:p>
    <w:p w14:paraId="13B9EB78">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12.1 合同价款支付按照国库集中支付制度及财政管理相关规定执行。</w:t>
      </w:r>
    </w:p>
    <w:p w14:paraId="0B93053A">
      <w:pPr>
        <w:pStyle w:val="4"/>
        <w:spacing w:line="400" w:lineRule="exact"/>
        <w:ind w:firstLine="480" w:firstLineChars="200"/>
        <w:rPr>
          <w:rFonts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5F387FC1">
      <w:pPr>
        <w:pStyle w:val="8"/>
        <w:spacing w:line="400" w:lineRule="exact"/>
        <w:rPr>
          <w:rFonts w:ascii="宋体" w:hAnsi="宋体" w:cs="宋体"/>
          <w:b/>
          <w:bCs/>
          <w:sz w:val="24"/>
          <w:szCs w:val="24"/>
        </w:rPr>
      </w:pPr>
      <w:r>
        <w:rPr>
          <w:rFonts w:hint="eastAsia" w:ascii="宋体" w:hAnsi="宋体" w:cs="宋体"/>
          <w:b/>
          <w:bCs/>
          <w:sz w:val="24"/>
          <w:szCs w:val="24"/>
        </w:rPr>
        <w:t>13. 履约保证金</w:t>
      </w:r>
    </w:p>
    <w:p w14:paraId="0345DD5C">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13.1 乙方应当以支票、汇票、本票或者金融机构、担保机构出具的保函等非现金形式提交。</w:t>
      </w:r>
    </w:p>
    <w:p w14:paraId="01C78EBC">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约定情形的，履约保证金不予退还；如果乙方未能按合同约定全面履行义务，甲方有权从履约保证金中取得补偿或赔偿，且不影响甲方要求乙方承担合同约定的超过履约保证金的违约责任的权利。</w:t>
      </w:r>
    </w:p>
    <w:p w14:paraId="030874A0">
      <w:pPr>
        <w:spacing w:line="400" w:lineRule="exact"/>
        <w:ind w:firstLine="420"/>
        <w:rPr>
          <w:rFonts w:ascii="宋体" w:hAnsi="宋体" w:cs="宋体"/>
          <w:sz w:val="24"/>
        </w:rPr>
      </w:pPr>
      <w:r>
        <w:rPr>
          <w:rFonts w:hint="eastAsia" w:ascii="宋体" w:hAnsi="宋体" w:cs="宋体"/>
          <w:sz w:val="24"/>
        </w:rPr>
        <w:t>13.3 甲方在项目通过验收后按照</w:t>
      </w:r>
      <w:r>
        <w:rPr>
          <w:rFonts w:hint="eastAsia" w:ascii="宋体" w:hAnsi="宋体" w:cs="宋体"/>
          <w:b/>
          <w:sz w:val="24"/>
        </w:rPr>
        <w:t>【政府采购合同专用条款】</w:t>
      </w:r>
      <w:r>
        <w:rPr>
          <w:rFonts w:hint="eastAsia" w:ascii="宋体" w:hAnsi="宋体" w:cs="宋体"/>
          <w:sz w:val="24"/>
        </w:rPr>
        <w:t>规定的时间内将履约保证金退还乙方；逾期退还的，乙方可要求甲方支付违约金，违约金按照</w:t>
      </w:r>
      <w:r>
        <w:rPr>
          <w:rFonts w:hint="eastAsia" w:ascii="宋体" w:hAnsi="宋体" w:cs="宋体"/>
          <w:b/>
          <w:sz w:val="24"/>
        </w:rPr>
        <w:t>【政府采购合同专用条款】</w:t>
      </w:r>
      <w:r>
        <w:rPr>
          <w:rFonts w:hint="eastAsia" w:ascii="宋体" w:hAnsi="宋体" w:cs="宋体"/>
          <w:sz w:val="24"/>
        </w:rPr>
        <w:t>规定支付。</w:t>
      </w:r>
    </w:p>
    <w:p w14:paraId="57419986">
      <w:pPr>
        <w:autoSpaceDE w:val="0"/>
        <w:autoSpaceDN w:val="0"/>
        <w:adjustRightInd w:val="0"/>
        <w:snapToGrid w:val="0"/>
        <w:spacing w:line="400" w:lineRule="exact"/>
        <w:jc w:val="left"/>
        <w:rPr>
          <w:rFonts w:ascii="宋体" w:hAnsi="宋体" w:cs="宋体"/>
          <w:b/>
          <w:sz w:val="24"/>
        </w:rPr>
      </w:pPr>
      <w:r>
        <w:rPr>
          <w:rFonts w:hint="eastAsia" w:ascii="宋体" w:hAnsi="宋体" w:cs="宋体"/>
          <w:b/>
          <w:bCs/>
          <w:sz w:val="24"/>
        </w:rPr>
        <w:t xml:space="preserve">14. </w:t>
      </w:r>
      <w:r>
        <w:rPr>
          <w:rFonts w:hint="eastAsia" w:ascii="宋体" w:hAnsi="宋体" w:cs="宋体"/>
          <w:b/>
          <w:sz w:val="24"/>
        </w:rPr>
        <w:t>售后服务</w:t>
      </w:r>
    </w:p>
    <w:p w14:paraId="5BF756E1">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14.1 除项目不涉及或采购活动中明确约定无须承担外，乙方还应提供下列服务：</w:t>
      </w:r>
    </w:p>
    <w:p w14:paraId="2E70AE05">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（1）货物的现场移动、安装、调试、启动监督及技术支持；</w:t>
      </w:r>
    </w:p>
    <w:p w14:paraId="632F68E6">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（2）提供货物组装和维修所需的专用工具和辅助材料；</w:t>
      </w:r>
    </w:p>
    <w:p w14:paraId="2CA72B9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（3）在</w:t>
      </w:r>
      <w:r>
        <w:rPr>
          <w:rFonts w:hint="eastAsia" w:ascii="宋体" w:hAnsi="宋体" w:cs="宋体"/>
          <w:b/>
          <w:bCs/>
          <w:sz w:val="24"/>
        </w:rPr>
        <w:t>【政府采购合同专用条款】</w:t>
      </w:r>
      <w:r>
        <w:rPr>
          <w:rFonts w:hint="eastAsia" w:ascii="宋体" w:hAnsi="宋体" w:cs="宋体"/>
          <w:sz w:val="24"/>
        </w:rPr>
        <w:t>约定的期限内对所有的货物实施运行监督、维修，但前提条件是该服务并不能免除乙方在质量保证期内所承担的义务；</w:t>
      </w:r>
    </w:p>
    <w:p w14:paraId="77647212">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（4）在制造商所在地或指定现场就货物的安装、启动、运营、维护、废弃处置等对甲方操作人员进行培训；</w:t>
      </w:r>
    </w:p>
    <w:p w14:paraId="36E8879A">
      <w:pPr>
        <w:pStyle w:val="2"/>
        <w:ind w:firstLine="480"/>
        <w:rPr>
          <w:rFonts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938D74A">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b/>
          <w:sz w:val="24"/>
        </w:rPr>
        <w:t>【政府采购合同专用条款】</w:t>
      </w:r>
      <w:r>
        <w:rPr>
          <w:rFonts w:hint="eastAsia" w:ascii="宋体" w:hAnsi="宋体" w:cs="宋体"/>
          <w:sz w:val="24"/>
        </w:rPr>
        <w:t>规定由乙方提供的其他服务。</w:t>
      </w:r>
    </w:p>
    <w:p w14:paraId="7316A4F1">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14.2 乙方提供的售后服务的费用已包含在合同价款中，甲方不再另行支付。</w:t>
      </w:r>
    </w:p>
    <w:p w14:paraId="6D9A79C7">
      <w:pPr>
        <w:adjustRightInd w:val="0"/>
        <w:snapToGrid w:val="0"/>
        <w:spacing w:line="400" w:lineRule="exact"/>
        <w:jc w:val="left"/>
        <w:rPr>
          <w:rFonts w:ascii="宋体" w:hAnsi="宋体" w:cs="宋体"/>
          <w:b/>
          <w:bCs/>
          <w:sz w:val="24"/>
        </w:rPr>
      </w:pPr>
      <w:r>
        <w:rPr>
          <w:rFonts w:hint="eastAsia" w:ascii="宋体" w:hAnsi="宋体" w:cs="宋体"/>
          <w:b/>
          <w:bCs/>
          <w:sz w:val="24"/>
        </w:rPr>
        <w:t>15. 违约责任</w:t>
      </w:r>
    </w:p>
    <w:p w14:paraId="107D7366">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15.1质量瑕疵的违约责任</w:t>
      </w:r>
    </w:p>
    <w:p w14:paraId="515A7A74">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乙方提供的产品不符合合同约定的质量标准或存在产品质量缺陷，甲方有权要求乙方根据</w:t>
      </w:r>
      <w:r>
        <w:rPr>
          <w:rFonts w:hint="eastAsia" w:ascii="宋体" w:hAnsi="宋体" w:cs="宋体"/>
          <w:b/>
          <w:sz w:val="24"/>
        </w:rPr>
        <w:t>【政府采购合同专用条款】</w:t>
      </w:r>
      <w:r>
        <w:rPr>
          <w:rFonts w:hint="eastAsia" w:ascii="宋体" w:hAnsi="宋体" w:cs="宋体"/>
          <w:bCs/>
          <w:sz w:val="24"/>
        </w:rPr>
        <w:t>要求</w:t>
      </w:r>
      <w:r>
        <w:rPr>
          <w:rFonts w:hint="eastAsia" w:ascii="宋体" w:hAnsi="宋体" w:cs="宋体"/>
          <w:sz w:val="24"/>
        </w:rPr>
        <w:t>及时修理、重作、更换，并承担由此给甲方造成的损失。</w:t>
      </w:r>
    </w:p>
    <w:p w14:paraId="5E6B86C1">
      <w:pPr>
        <w:autoSpaceDE w:val="0"/>
        <w:autoSpaceDN w:val="0"/>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15.2 迟延交货的违约责任</w:t>
      </w:r>
    </w:p>
    <w:p w14:paraId="160178B2">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3748DD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（2）如果乙方没有按照合同规定的时间交货和提供相关服务，甲方有权从货款中扣除误期赔偿费而不影响合同项下的其他补救方法，赔偿费按</w:t>
      </w:r>
      <w:r>
        <w:rPr>
          <w:rFonts w:hint="eastAsia" w:ascii="宋体" w:hAnsi="宋体" w:cs="宋体"/>
          <w:b/>
          <w:sz w:val="24"/>
        </w:rPr>
        <w:t>【政府采购合同专用条款】</w:t>
      </w:r>
      <w:r>
        <w:rPr>
          <w:rFonts w:hint="eastAsia" w:ascii="宋体" w:hAnsi="宋体" w:cs="宋体"/>
          <w:sz w:val="24"/>
        </w:rPr>
        <w:t>规定执行。如果涉及公共利益，且赔偿金额无法弥补公共利益损失，甲方可要求继续履行或者采取其他补救措施。</w:t>
      </w:r>
    </w:p>
    <w:p w14:paraId="60D1B08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15.3 迟延支付的违约责任</w:t>
      </w:r>
    </w:p>
    <w:p w14:paraId="0D2A33A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甲方存在迟延支付乙方合同款项的，应当承担</w:t>
      </w:r>
      <w:r>
        <w:rPr>
          <w:rFonts w:hint="eastAsia" w:ascii="宋体" w:hAnsi="宋体" w:cs="宋体"/>
          <w:b/>
          <w:bCs/>
          <w:sz w:val="24"/>
        </w:rPr>
        <w:t>【政府采购合同专用条款】</w:t>
      </w:r>
      <w:r>
        <w:rPr>
          <w:rFonts w:hint="eastAsia" w:ascii="宋体" w:hAnsi="宋体" w:cs="宋体"/>
          <w:sz w:val="24"/>
        </w:rPr>
        <w:t>规定的逾期付款利息。</w:t>
      </w:r>
    </w:p>
    <w:p w14:paraId="4D02A3CF">
      <w:pPr>
        <w:adjustRightInd w:val="0"/>
        <w:snapToGrid w:val="0"/>
        <w:spacing w:line="400" w:lineRule="exact"/>
        <w:ind w:firstLine="480" w:firstLineChars="200"/>
        <w:jc w:val="left"/>
        <w:rPr>
          <w:rFonts w:ascii="宋体" w:hAnsi="宋体" w:cs="宋体"/>
          <w:sz w:val="24"/>
        </w:rPr>
      </w:pPr>
      <w:r>
        <w:rPr>
          <w:rFonts w:hint="eastAsia" w:ascii="宋体" w:hAnsi="宋体" w:cs="宋体"/>
          <w:bCs/>
          <w:sz w:val="24"/>
        </w:rPr>
        <w:t>15.4其他违约责任根据项目实际需要按</w:t>
      </w:r>
      <w:r>
        <w:rPr>
          <w:rFonts w:hint="eastAsia" w:ascii="宋体" w:hAnsi="宋体" w:cs="宋体"/>
          <w:b/>
          <w:bCs/>
          <w:sz w:val="24"/>
        </w:rPr>
        <w:t>【政府采购合同专用条款】</w:t>
      </w:r>
      <w:r>
        <w:rPr>
          <w:rFonts w:hint="eastAsia" w:ascii="宋体" w:hAnsi="宋体" w:cs="宋体"/>
          <w:sz w:val="24"/>
        </w:rPr>
        <w:t>规定执行。</w:t>
      </w:r>
    </w:p>
    <w:p w14:paraId="1DBC3E1C">
      <w:pPr>
        <w:numPr>
          <w:ilvl w:val="0"/>
          <w:numId w:val="10"/>
        </w:numPr>
        <w:autoSpaceDE w:val="0"/>
        <w:autoSpaceDN w:val="0"/>
        <w:adjustRightInd w:val="0"/>
        <w:snapToGrid w:val="0"/>
        <w:spacing w:line="400" w:lineRule="exact"/>
        <w:jc w:val="left"/>
        <w:rPr>
          <w:rFonts w:ascii="宋体" w:hAnsi="宋体" w:cs="宋体"/>
          <w:b/>
          <w:sz w:val="24"/>
        </w:rPr>
      </w:pPr>
      <w:r>
        <w:rPr>
          <w:rFonts w:hint="eastAsia" w:ascii="宋体" w:hAnsi="宋体" w:cs="宋体"/>
          <w:b/>
          <w:sz w:val="24"/>
        </w:rPr>
        <w:t>合同变更、中止与终止</w:t>
      </w:r>
    </w:p>
    <w:p w14:paraId="68A5FD8B">
      <w:pPr>
        <w:adjustRightInd w:val="0"/>
        <w:snapToGrid w:val="0"/>
        <w:spacing w:line="400" w:lineRule="exact"/>
        <w:jc w:val="left"/>
        <w:rPr>
          <w:rFonts w:ascii="宋体" w:hAnsi="宋体" w:cs="宋体"/>
          <w:sz w:val="24"/>
        </w:rPr>
      </w:pPr>
      <w:r>
        <w:rPr>
          <w:rFonts w:hint="eastAsia" w:ascii="宋体" w:hAnsi="宋体" w:cs="宋体"/>
          <w:sz w:val="24"/>
        </w:rPr>
        <w:t xml:space="preserve">    16.1合同的变更</w:t>
      </w:r>
    </w:p>
    <w:p w14:paraId="2060FCA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政府采购合同履行中，在不改变合同其他条款的前提下，甲方可以在合同价款10%的范围内追加与合同标的相同的货物，并就此与乙方协商一致后签订补充协议。</w:t>
      </w:r>
    </w:p>
    <w:p w14:paraId="663ED0DA">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16.2合同的中止</w:t>
      </w:r>
    </w:p>
    <w:p w14:paraId="33860D95">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（1）合同履行过程中因供应商就采购文件、采购过程或结果提起投诉的，甲方认为有必要的，可以中止合同的履行。</w:t>
      </w:r>
    </w:p>
    <w:p w14:paraId="003E830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25B068">
      <w:pPr>
        <w:pStyle w:val="2"/>
        <w:ind w:firstLine="480"/>
        <w:jc w:val="both"/>
        <w:rPr>
          <w:rFonts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437BD410">
      <w:pPr>
        <w:snapToGrid w:val="0"/>
        <w:spacing w:line="400" w:lineRule="exact"/>
        <w:ind w:firstLine="480" w:firstLineChars="200"/>
        <w:jc w:val="left"/>
        <w:rPr>
          <w:rFonts w:ascii="宋体" w:hAnsi="宋体" w:cs="宋体"/>
          <w:sz w:val="24"/>
        </w:rPr>
      </w:pPr>
      <w:r>
        <w:rPr>
          <w:rFonts w:hint="eastAsia" w:ascii="宋体" w:hAnsi="宋体" w:cs="宋体"/>
          <w:sz w:val="24"/>
        </w:rPr>
        <w:t>（4）甲方不得以行政区划调整、政府换届、机构或者职能调整以及相关责任人更替为由中止合同。</w:t>
      </w:r>
    </w:p>
    <w:p w14:paraId="514EAE17">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16.3合同的终止</w:t>
      </w:r>
    </w:p>
    <w:p w14:paraId="79836527">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（1）合同因有效期限届满而终止；</w:t>
      </w:r>
    </w:p>
    <w:p w14:paraId="3235F0EB">
      <w:pPr>
        <w:snapToGrid w:val="0"/>
        <w:spacing w:line="400" w:lineRule="exact"/>
        <w:ind w:firstLine="480" w:firstLineChars="200"/>
        <w:rPr>
          <w:rFonts w:ascii="宋体" w:hAnsi="宋体" w:cs="宋体"/>
          <w:sz w:val="24"/>
        </w:rPr>
      </w:pPr>
      <w:r>
        <w:rPr>
          <w:rFonts w:hint="eastAsia" w:ascii="宋体" w:hAnsi="宋体" w:cs="宋体"/>
          <w:sz w:val="24"/>
        </w:rPr>
        <w:t>（2）乙方未按合同约定履行，构成根本性违约的，甲方有权终止合同，并追究乙方的违约责任。</w:t>
      </w:r>
    </w:p>
    <w:p w14:paraId="661687F3">
      <w:pPr>
        <w:pStyle w:val="2"/>
        <w:ind w:firstLine="480"/>
        <w:rPr>
          <w:rFonts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35315CAE">
      <w:pPr>
        <w:pStyle w:val="2"/>
        <w:ind w:firstLine="480"/>
        <w:jc w:val="both"/>
        <w:rPr>
          <w:rFonts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16062B84">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17. 合同分包</w:t>
      </w:r>
    </w:p>
    <w:p w14:paraId="5F6FF7D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17.1 乙方不得将合同转包给其他供应商。涉及合同分包的，乙方应根据采购文件和投标（响应）文件规定进行合同分包。</w:t>
      </w:r>
    </w:p>
    <w:p w14:paraId="1A265D1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17.2 乙方执行政府采购政策向中小企业依法分包的，乙方应当按采购文件和投标（响应）文件签订分包意向协议，分包意向协议属于本合同组成部分。</w:t>
      </w:r>
    </w:p>
    <w:p w14:paraId="2C06A696">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18. 不可抗力</w:t>
      </w:r>
    </w:p>
    <w:p w14:paraId="74EBCE4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18.1 不可抗力是指合同双方不能预见、不能避免且不能克服的客观情况。</w:t>
      </w:r>
    </w:p>
    <w:p w14:paraId="59FE1C5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18.2 任何一方对由于不可抗力造成的部分或全部不能履行合同不承担违约责任。但迟延履行后发生不可抗力的，不能免除责任。</w:t>
      </w:r>
    </w:p>
    <w:p w14:paraId="7B197971">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96B387">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19. 解决争议的方法</w:t>
      </w:r>
    </w:p>
    <w:p w14:paraId="144B72C4">
      <w:pPr>
        <w:pStyle w:val="2"/>
        <w:ind w:firstLine="480"/>
        <w:jc w:val="both"/>
        <w:rPr>
          <w:rFonts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1B2DE141">
      <w:pPr>
        <w:pStyle w:val="2"/>
        <w:ind w:firstLine="480"/>
        <w:jc w:val="both"/>
        <w:rPr>
          <w:rFonts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4E309AA8">
      <w:pPr>
        <w:pStyle w:val="2"/>
        <w:ind w:firstLine="480"/>
        <w:jc w:val="both"/>
        <w:rPr>
          <w:rFonts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40518AF6">
      <w:pPr>
        <w:autoSpaceDE w:val="0"/>
        <w:autoSpaceDN w:val="0"/>
        <w:adjustRightInd w:val="0"/>
        <w:snapToGrid w:val="0"/>
        <w:spacing w:line="400" w:lineRule="exact"/>
        <w:jc w:val="left"/>
        <w:rPr>
          <w:rFonts w:ascii="宋体" w:hAnsi="宋体" w:cs="宋体"/>
          <w:sz w:val="24"/>
        </w:rPr>
      </w:pPr>
      <w:r>
        <w:rPr>
          <w:rFonts w:hint="eastAsia" w:ascii="宋体" w:hAnsi="宋体" w:cs="宋体"/>
          <w:b/>
          <w:sz w:val="24"/>
        </w:rPr>
        <w:t>20. 政府采购政策</w:t>
      </w:r>
    </w:p>
    <w:p w14:paraId="11DEF79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 xml:space="preserve">20.1 </w:t>
      </w:r>
      <w:r>
        <w:rPr>
          <w:rFonts w:hint="eastAsia" w:ascii="宋体" w:hAnsi="宋体" w:cs="宋体"/>
          <w:sz w:val="24"/>
          <w:lang w:val="en-GB"/>
        </w:rPr>
        <w:t>本合同应当按照规定执行政府采购政策。</w:t>
      </w:r>
    </w:p>
    <w:p w14:paraId="0A5FCBA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20.2 本合同依法执行政府采购政策的方式和内容，属于合同履约验收的范围。甲乙双方</w:t>
      </w:r>
      <w:r>
        <w:rPr>
          <w:rFonts w:hint="eastAsia" w:ascii="宋体" w:hAnsi="宋体" w:cs="宋体"/>
          <w:sz w:val="24"/>
          <w:lang w:val="en-GB"/>
        </w:rPr>
        <w:t>未按规定要求执行政府采购政策造成损失的</w:t>
      </w:r>
      <w:r>
        <w:rPr>
          <w:rFonts w:hint="eastAsia" w:ascii="宋体" w:hAnsi="宋体" w:cs="宋体"/>
          <w:sz w:val="24"/>
        </w:rPr>
        <w:t>，有过错的一方应当承担赔偿责任，双方都有过错的，各自承担相应的责任。</w:t>
      </w:r>
    </w:p>
    <w:p w14:paraId="3EDA1513">
      <w:pPr>
        <w:pStyle w:val="8"/>
        <w:spacing w:line="400" w:lineRule="exact"/>
        <w:ind w:firstLine="480" w:firstLineChars="200"/>
        <w:rPr>
          <w:rFonts w:ascii="宋体" w:hAnsi="宋体" w:cs="宋体"/>
          <w:sz w:val="24"/>
          <w:szCs w:val="24"/>
        </w:rPr>
      </w:pPr>
      <w:r>
        <w:rPr>
          <w:rFonts w:hint="eastAsia" w:ascii="宋体" w:hAnsi="宋体" w:cs="宋体"/>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D0C79E2">
      <w:pPr>
        <w:autoSpaceDE w:val="0"/>
        <w:autoSpaceDN w:val="0"/>
        <w:adjustRightInd w:val="0"/>
        <w:snapToGrid w:val="0"/>
        <w:spacing w:line="400" w:lineRule="exact"/>
        <w:jc w:val="left"/>
        <w:rPr>
          <w:rFonts w:ascii="宋体" w:hAnsi="宋体" w:cs="宋体"/>
          <w:b/>
          <w:sz w:val="24"/>
        </w:rPr>
      </w:pPr>
      <w:r>
        <w:rPr>
          <w:rFonts w:hint="eastAsia" w:ascii="宋体" w:hAnsi="宋体" w:cs="宋体"/>
          <w:b/>
          <w:sz w:val="24"/>
        </w:rPr>
        <w:t>21. 法律适用</w:t>
      </w:r>
    </w:p>
    <w:p w14:paraId="70BFB35D">
      <w:pPr>
        <w:pStyle w:val="2"/>
        <w:ind w:firstLine="480"/>
        <w:jc w:val="both"/>
        <w:rPr>
          <w:rFonts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5831271A">
      <w:pPr>
        <w:pStyle w:val="2"/>
        <w:ind w:firstLine="480"/>
        <w:jc w:val="both"/>
        <w:rPr>
          <w:rFonts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51B7F885">
      <w:pPr>
        <w:numPr>
          <w:ilvl w:val="255"/>
          <w:numId w:val="0"/>
        </w:numPr>
        <w:autoSpaceDE w:val="0"/>
        <w:autoSpaceDN w:val="0"/>
        <w:adjustRightInd w:val="0"/>
        <w:snapToGrid w:val="0"/>
        <w:spacing w:line="400" w:lineRule="exact"/>
        <w:jc w:val="left"/>
        <w:rPr>
          <w:rFonts w:ascii="宋体" w:hAnsi="宋体" w:cs="宋体"/>
          <w:b/>
          <w:sz w:val="24"/>
        </w:rPr>
      </w:pPr>
      <w:r>
        <w:rPr>
          <w:rFonts w:hint="eastAsia" w:ascii="宋体" w:hAnsi="宋体" w:cs="宋体"/>
          <w:b/>
          <w:sz w:val="24"/>
        </w:rPr>
        <w:t>22. 通知</w:t>
      </w:r>
    </w:p>
    <w:p w14:paraId="722B72AC">
      <w:pPr>
        <w:pStyle w:val="2"/>
        <w:ind w:firstLine="480"/>
        <w:jc w:val="both"/>
        <w:rPr>
          <w:rFonts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3E0EF446">
      <w:pPr>
        <w:pStyle w:val="2"/>
        <w:ind w:firstLine="0" w:firstLineChars="0"/>
        <w:jc w:val="both"/>
        <w:rPr>
          <w:rFonts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2A7650AE">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22.3本合同一方给另一方的通知均应采用书面形式，传真或快递送到本合同中规定的对方的地址和办理签收手续。</w:t>
      </w:r>
    </w:p>
    <w:p w14:paraId="464A7F98">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22.4通知以送达之日或通知书中规定的生效之日起生效，两者中以较迟之日为准。</w:t>
      </w:r>
    </w:p>
    <w:p w14:paraId="588972EB">
      <w:pPr>
        <w:numPr>
          <w:ilvl w:val="0"/>
          <w:numId w:val="11"/>
        </w:numPr>
        <w:adjustRightInd w:val="0"/>
        <w:snapToGrid w:val="0"/>
        <w:spacing w:line="400" w:lineRule="exact"/>
        <w:jc w:val="left"/>
        <w:rPr>
          <w:rFonts w:ascii="宋体" w:hAnsi="宋体" w:cs="宋体"/>
          <w:b/>
          <w:bCs/>
          <w:sz w:val="24"/>
        </w:rPr>
      </w:pPr>
      <w:r>
        <w:rPr>
          <w:rFonts w:hint="eastAsia" w:ascii="宋体" w:hAnsi="宋体" w:cs="宋体"/>
          <w:b/>
          <w:bCs/>
          <w:sz w:val="24"/>
        </w:rPr>
        <w:t>合同未尽事项</w:t>
      </w:r>
    </w:p>
    <w:p w14:paraId="4DB0014A">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23.1合同未尽事项见</w:t>
      </w:r>
      <w:r>
        <w:rPr>
          <w:rFonts w:hint="eastAsia" w:ascii="宋体" w:hAnsi="宋体" w:cs="宋体"/>
          <w:b/>
          <w:sz w:val="24"/>
        </w:rPr>
        <w:t>【政府采购合同专用条款】</w:t>
      </w:r>
      <w:r>
        <w:rPr>
          <w:rFonts w:hint="eastAsia" w:ascii="宋体" w:hAnsi="宋体" w:cs="宋体"/>
          <w:bCs/>
          <w:sz w:val="24"/>
        </w:rPr>
        <w:t>。</w:t>
      </w:r>
    </w:p>
    <w:p w14:paraId="702A5C15">
      <w:pPr>
        <w:ind w:firstLine="480"/>
        <w:rPr>
          <w:rFonts w:ascii="宋体" w:hAnsi="宋体" w:cs="宋体"/>
          <w:bCs/>
          <w:sz w:val="24"/>
        </w:rPr>
      </w:pPr>
      <w:r>
        <w:rPr>
          <w:rFonts w:hint="eastAsia" w:ascii="宋体" w:hAnsi="宋体" w:cs="宋体"/>
          <w:bCs/>
          <w:sz w:val="24"/>
        </w:rPr>
        <w:t>23.2 合同附件与合同正文具有同等的法律效力。</w:t>
      </w:r>
    </w:p>
    <w:p w14:paraId="457D45B7">
      <w:pPr>
        <w:ind w:firstLine="480"/>
        <w:rPr>
          <w:rFonts w:ascii="黑体" w:hAnsi="黑体" w:eastAsia="黑体"/>
          <w:b/>
          <w:color w:val="000000"/>
          <w:sz w:val="36"/>
          <w:szCs w:val="36"/>
        </w:rPr>
      </w:pPr>
      <w:r>
        <w:rPr>
          <w:rFonts w:hint="eastAsia" w:ascii="黑体" w:hAnsi="黑体" w:eastAsia="黑体"/>
          <w:b/>
          <w:color w:val="000000"/>
          <w:sz w:val="36"/>
          <w:szCs w:val="36"/>
        </w:rPr>
        <w:br w:type="page"/>
      </w:r>
    </w:p>
    <w:p w14:paraId="707B0FDC">
      <w:pPr>
        <w:spacing w:line="360" w:lineRule="auto"/>
        <w:jc w:val="center"/>
        <w:outlineLvl w:val="0"/>
        <w:rPr>
          <w:rFonts w:ascii="宋体" w:hAnsi="宋体"/>
          <w:b/>
          <w:color w:val="000000"/>
          <w:sz w:val="36"/>
          <w:szCs w:val="36"/>
        </w:rPr>
      </w:pPr>
      <w:r>
        <w:rPr>
          <w:rFonts w:hint="eastAsia" w:ascii="黑体" w:hAnsi="黑体" w:eastAsia="黑体"/>
          <w:b/>
          <w:color w:val="000000"/>
          <w:sz w:val="36"/>
          <w:szCs w:val="36"/>
        </w:rPr>
        <w:t xml:space="preserve">第六章   </w:t>
      </w:r>
      <w:bookmarkEnd w:id="81"/>
      <w:bookmarkEnd w:id="82"/>
      <w:bookmarkEnd w:id="83"/>
      <w:bookmarkEnd w:id="84"/>
      <w:bookmarkEnd w:id="85"/>
      <w:bookmarkEnd w:id="86"/>
      <w:bookmarkEnd w:id="87"/>
      <w:bookmarkEnd w:id="88"/>
      <w:bookmarkEnd w:id="89"/>
      <w:r>
        <w:rPr>
          <w:rFonts w:hint="eastAsia" w:ascii="宋体" w:hAnsi="宋体"/>
          <w:b/>
          <w:color w:val="000000"/>
          <w:sz w:val="36"/>
          <w:szCs w:val="36"/>
        </w:rPr>
        <w:t xml:space="preserve"> 响应性文件格式</w:t>
      </w:r>
      <w:bookmarkEnd w:id="90"/>
    </w:p>
    <w:p w14:paraId="34854234">
      <w:pPr>
        <w:spacing w:line="360" w:lineRule="auto"/>
        <w:rPr>
          <w:rFonts w:ascii="宋体" w:hAnsi="宋体" w:cs="宋体"/>
          <w:color w:val="000000"/>
          <w:kern w:val="10"/>
          <w:sz w:val="24"/>
        </w:rPr>
      </w:pPr>
    </w:p>
    <w:p w14:paraId="43E97350">
      <w:pPr>
        <w:spacing w:line="360" w:lineRule="auto"/>
        <w:rPr>
          <w:rFonts w:ascii="宋体" w:hAnsi="宋体" w:cs="宋体"/>
          <w:color w:val="000000"/>
          <w:kern w:val="10"/>
          <w:sz w:val="24"/>
        </w:rPr>
      </w:pPr>
    </w:p>
    <w:p w14:paraId="0093B6C6">
      <w:pPr>
        <w:spacing w:line="360" w:lineRule="auto"/>
        <w:jc w:val="center"/>
        <w:rPr>
          <w:rFonts w:ascii="宋体" w:hAnsi="宋体" w:cs="宋体"/>
          <w:b/>
          <w:color w:val="000000"/>
          <w:kern w:val="10"/>
          <w:sz w:val="24"/>
        </w:rPr>
      </w:pPr>
      <w:r>
        <w:rPr>
          <w:rFonts w:hint="eastAsia" w:ascii="宋体" w:hAnsi="宋体" w:cs="宋体"/>
          <w:b/>
          <w:color w:val="000000"/>
          <w:kern w:val="10"/>
          <w:sz w:val="32"/>
          <w:szCs w:val="32"/>
          <w:u w:val="single"/>
        </w:rPr>
        <w:t xml:space="preserve">                        （项目名称）</w:t>
      </w:r>
    </w:p>
    <w:p w14:paraId="20A57BFB">
      <w:pPr>
        <w:spacing w:line="360" w:lineRule="auto"/>
        <w:rPr>
          <w:rFonts w:ascii="宋体" w:hAnsi="宋体" w:cs="宋体"/>
          <w:b/>
          <w:color w:val="000000"/>
          <w:kern w:val="10"/>
          <w:sz w:val="24"/>
        </w:rPr>
      </w:pPr>
    </w:p>
    <w:p w14:paraId="69E6829E">
      <w:pPr>
        <w:spacing w:line="360" w:lineRule="auto"/>
        <w:rPr>
          <w:rFonts w:ascii="宋体" w:hAnsi="宋体" w:cs="宋体"/>
          <w:b/>
          <w:color w:val="000000"/>
          <w:kern w:val="10"/>
          <w:sz w:val="44"/>
          <w:szCs w:val="44"/>
        </w:rPr>
      </w:pPr>
    </w:p>
    <w:p w14:paraId="12EB4A66">
      <w:pPr>
        <w:spacing w:line="360" w:lineRule="auto"/>
        <w:rPr>
          <w:rFonts w:ascii="宋体" w:hAnsi="宋体" w:cs="宋体"/>
          <w:b/>
          <w:color w:val="000000"/>
          <w:kern w:val="10"/>
          <w:sz w:val="44"/>
          <w:szCs w:val="44"/>
        </w:rPr>
      </w:pPr>
    </w:p>
    <w:p w14:paraId="1F90196A">
      <w:pPr>
        <w:spacing w:line="360" w:lineRule="auto"/>
        <w:jc w:val="center"/>
        <w:rPr>
          <w:rFonts w:ascii="宋体" w:hAnsi="宋体" w:cs="宋体"/>
          <w:b/>
          <w:color w:val="000000"/>
          <w:kern w:val="10"/>
          <w:sz w:val="44"/>
          <w:szCs w:val="44"/>
        </w:rPr>
      </w:pPr>
      <w:r>
        <w:rPr>
          <w:rFonts w:hint="eastAsia" w:ascii="宋体" w:hAnsi="宋体" w:cs="宋体"/>
          <w:b/>
          <w:color w:val="000000"/>
          <w:kern w:val="10"/>
          <w:sz w:val="44"/>
          <w:szCs w:val="44"/>
        </w:rPr>
        <w:t>响 应 性 文 件</w:t>
      </w:r>
    </w:p>
    <w:p w14:paraId="65D27314">
      <w:pPr>
        <w:spacing w:line="360" w:lineRule="auto"/>
        <w:jc w:val="center"/>
        <w:rPr>
          <w:rFonts w:ascii="宋体" w:hAnsi="宋体" w:cs="宋体"/>
          <w:b/>
          <w:color w:val="000000"/>
          <w:kern w:val="10"/>
          <w:sz w:val="32"/>
          <w:szCs w:val="32"/>
        </w:rPr>
      </w:pPr>
    </w:p>
    <w:p w14:paraId="36F52B8C">
      <w:pPr>
        <w:spacing w:line="360" w:lineRule="auto"/>
        <w:jc w:val="center"/>
        <w:rPr>
          <w:rFonts w:ascii="宋体" w:hAnsi="宋体" w:cs="宋体"/>
          <w:b/>
          <w:color w:val="000000"/>
          <w:kern w:val="10"/>
          <w:sz w:val="32"/>
          <w:szCs w:val="32"/>
        </w:rPr>
      </w:pPr>
      <w:r>
        <w:rPr>
          <w:rFonts w:hint="eastAsia" w:ascii="宋体" w:hAnsi="宋体"/>
          <w:b/>
          <w:color w:val="000000"/>
          <w:sz w:val="32"/>
          <w:szCs w:val="32"/>
        </w:rPr>
        <w:t>项目编号：</w:t>
      </w:r>
    </w:p>
    <w:p w14:paraId="35092CDC">
      <w:pPr>
        <w:spacing w:line="360" w:lineRule="auto"/>
        <w:rPr>
          <w:rFonts w:ascii="宋体" w:hAnsi="宋体" w:cs="宋体"/>
          <w:b/>
          <w:color w:val="000000"/>
          <w:kern w:val="10"/>
          <w:sz w:val="24"/>
        </w:rPr>
      </w:pPr>
    </w:p>
    <w:p w14:paraId="373E117D">
      <w:pPr>
        <w:spacing w:line="360" w:lineRule="auto"/>
        <w:rPr>
          <w:rFonts w:ascii="宋体" w:hAnsi="宋体" w:cs="宋体"/>
          <w:b/>
          <w:color w:val="000000"/>
          <w:kern w:val="10"/>
          <w:sz w:val="24"/>
        </w:rPr>
      </w:pPr>
    </w:p>
    <w:p w14:paraId="4FC37B05">
      <w:pPr>
        <w:spacing w:line="360" w:lineRule="auto"/>
        <w:rPr>
          <w:rFonts w:ascii="宋体" w:hAnsi="宋体" w:cs="宋体"/>
          <w:b/>
          <w:color w:val="000000"/>
          <w:kern w:val="10"/>
          <w:sz w:val="24"/>
        </w:rPr>
      </w:pPr>
    </w:p>
    <w:p w14:paraId="37EED24E">
      <w:pPr>
        <w:spacing w:line="360" w:lineRule="auto"/>
        <w:rPr>
          <w:rFonts w:ascii="宋体" w:hAnsi="宋体" w:cs="宋体"/>
          <w:b/>
          <w:color w:val="000000"/>
          <w:kern w:val="10"/>
          <w:sz w:val="24"/>
        </w:rPr>
      </w:pPr>
    </w:p>
    <w:p w14:paraId="64E13FF4">
      <w:pPr>
        <w:spacing w:line="360" w:lineRule="auto"/>
        <w:rPr>
          <w:rFonts w:ascii="宋体" w:hAnsi="宋体" w:cs="宋体"/>
          <w:b/>
          <w:color w:val="000000"/>
          <w:kern w:val="10"/>
          <w:sz w:val="24"/>
        </w:rPr>
      </w:pPr>
    </w:p>
    <w:p w14:paraId="471251ED">
      <w:pPr>
        <w:spacing w:line="360" w:lineRule="auto"/>
        <w:rPr>
          <w:rFonts w:ascii="宋体" w:hAnsi="宋体" w:cs="宋体"/>
          <w:b/>
          <w:color w:val="000000"/>
          <w:kern w:val="10"/>
          <w:sz w:val="24"/>
        </w:rPr>
      </w:pPr>
    </w:p>
    <w:p w14:paraId="1676075E">
      <w:pPr>
        <w:spacing w:line="360" w:lineRule="auto"/>
        <w:rPr>
          <w:rFonts w:ascii="宋体" w:hAnsi="宋体" w:cs="宋体"/>
          <w:b/>
          <w:color w:val="000000"/>
          <w:kern w:val="10"/>
          <w:sz w:val="24"/>
        </w:rPr>
      </w:pPr>
    </w:p>
    <w:p w14:paraId="2BBD2145">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供应商：</w:t>
      </w:r>
      <w:r>
        <w:rPr>
          <w:rFonts w:hint="eastAsia" w:ascii="宋体" w:hAnsi="宋体" w:cs="宋体"/>
          <w:b/>
          <w:color w:val="000000"/>
          <w:kern w:val="10"/>
          <w:sz w:val="28"/>
          <w:szCs w:val="28"/>
          <w:u w:val="single"/>
        </w:rPr>
        <w:t xml:space="preserve">                          （电子签章）</w:t>
      </w:r>
    </w:p>
    <w:p w14:paraId="6E5CDDDD">
      <w:pPr>
        <w:spacing w:line="360" w:lineRule="auto"/>
        <w:jc w:val="center"/>
        <w:rPr>
          <w:rFonts w:ascii="宋体" w:hAnsi="宋体" w:cs="宋体"/>
          <w:b/>
          <w:color w:val="000000"/>
          <w:kern w:val="10"/>
          <w:sz w:val="28"/>
          <w:szCs w:val="28"/>
        </w:rPr>
      </w:pPr>
    </w:p>
    <w:p w14:paraId="14D74A0E">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法定代表人：</w:t>
      </w:r>
      <w:r>
        <w:rPr>
          <w:rFonts w:hint="eastAsia" w:ascii="宋体" w:hAnsi="宋体" w:cs="宋体"/>
          <w:b/>
          <w:color w:val="000000"/>
          <w:kern w:val="10"/>
          <w:sz w:val="28"/>
          <w:szCs w:val="28"/>
          <w:u w:val="single"/>
        </w:rPr>
        <w:t xml:space="preserve">                       （电子签章）</w:t>
      </w:r>
    </w:p>
    <w:p w14:paraId="4619BAAA">
      <w:pPr>
        <w:spacing w:line="360" w:lineRule="auto"/>
        <w:rPr>
          <w:rFonts w:ascii="宋体" w:hAnsi="宋体" w:cs="宋体"/>
          <w:b/>
          <w:color w:val="000000"/>
          <w:kern w:val="10"/>
          <w:sz w:val="28"/>
          <w:szCs w:val="28"/>
        </w:rPr>
      </w:pPr>
    </w:p>
    <w:p w14:paraId="63252898">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年      月     日</w:t>
      </w:r>
    </w:p>
    <w:p w14:paraId="7C7FF1B4">
      <w:pPr>
        <w:spacing w:line="360" w:lineRule="auto"/>
        <w:jc w:val="center"/>
        <w:rPr>
          <w:rFonts w:ascii="宋体" w:hAnsi="宋体" w:cs="宋体"/>
          <w:b/>
          <w:color w:val="000000"/>
          <w:kern w:val="10"/>
          <w:sz w:val="28"/>
          <w:szCs w:val="28"/>
        </w:rPr>
      </w:pPr>
    </w:p>
    <w:p w14:paraId="07201C5F">
      <w:pPr>
        <w:rPr>
          <w:rFonts w:ascii="宋体" w:hAnsi="宋体" w:cs="宋体"/>
          <w:b/>
          <w:color w:val="000000"/>
          <w:kern w:val="10"/>
          <w:sz w:val="32"/>
          <w:szCs w:val="32"/>
        </w:rPr>
      </w:pPr>
      <w:r>
        <w:rPr>
          <w:rFonts w:hint="eastAsia" w:ascii="宋体" w:hAnsi="宋体" w:cs="宋体"/>
          <w:b/>
          <w:color w:val="000000"/>
          <w:kern w:val="10"/>
          <w:sz w:val="32"/>
          <w:szCs w:val="32"/>
        </w:rPr>
        <w:br w:type="page"/>
      </w:r>
    </w:p>
    <w:p w14:paraId="0BFE5D84">
      <w:pPr>
        <w:spacing w:line="360" w:lineRule="auto"/>
        <w:jc w:val="center"/>
        <w:rPr>
          <w:rFonts w:ascii="宋体" w:hAnsi="宋体" w:cs="宋体"/>
          <w:b/>
          <w:color w:val="000000"/>
          <w:kern w:val="10"/>
          <w:sz w:val="32"/>
          <w:szCs w:val="32"/>
        </w:rPr>
      </w:pPr>
      <w:r>
        <w:rPr>
          <w:rFonts w:hint="eastAsia" w:ascii="宋体" w:hAnsi="宋体" w:cs="宋体"/>
          <w:b/>
          <w:color w:val="000000"/>
          <w:kern w:val="10"/>
          <w:sz w:val="32"/>
          <w:szCs w:val="32"/>
        </w:rPr>
        <w:t>目  录</w:t>
      </w:r>
    </w:p>
    <w:p w14:paraId="3A5A1C4E">
      <w:pPr>
        <w:spacing w:line="360" w:lineRule="auto"/>
        <w:rPr>
          <w:rFonts w:ascii="宋体" w:hAnsi="宋体" w:cs="宋体"/>
          <w:color w:val="000000"/>
          <w:kern w:val="10"/>
          <w:sz w:val="24"/>
        </w:rPr>
      </w:pPr>
    </w:p>
    <w:p w14:paraId="5E5C4801">
      <w:pPr>
        <w:spacing w:line="360" w:lineRule="auto"/>
        <w:ind w:firstLine="480" w:firstLineChars="200"/>
        <w:rPr>
          <w:rFonts w:ascii="宋体" w:hAnsi="宋体"/>
          <w:color w:val="000000"/>
          <w:sz w:val="24"/>
        </w:rPr>
      </w:pPr>
      <w:r>
        <w:rPr>
          <w:rFonts w:hint="eastAsia" w:ascii="宋体" w:hAnsi="宋体"/>
          <w:color w:val="000000"/>
          <w:sz w:val="24"/>
        </w:rPr>
        <w:t>一、投标函</w:t>
      </w:r>
    </w:p>
    <w:p w14:paraId="20E90287">
      <w:pPr>
        <w:spacing w:line="360" w:lineRule="auto"/>
        <w:ind w:firstLine="480" w:firstLineChars="200"/>
        <w:rPr>
          <w:rFonts w:ascii="宋体" w:hAnsi="宋体"/>
          <w:color w:val="000000"/>
          <w:sz w:val="24"/>
        </w:rPr>
      </w:pPr>
      <w:r>
        <w:rPr>
          <w:rFonts w:hint="eastAsia" w:ascii="宋体" w:hAnsi="宋体"/>
          <w:color w:val="000000"/>
          <w:sz w:val="24"/>
        </w:rPr>
        <w:t>二、法定代表人身份证明及授权委托书</w:t>
      </w:r>
    </w:p>
    <w:p w14:paraId="1AFDD58E">
      <w:pPr>
        <w:spacing w:line="360" w:lineRule="auto"/>
        <w:ind w:firstLine="480" w:firstLineChars="200"/>
        <w:rPr>
          <w:rFonts w:ascii="宋体" w:hAnsi="宋体"/>
          <w:color w:val="000000"/>
          <w:sz w:val="24"/>
        </w:rPr>
      </w:pPr>
      <w:r>
        <w:rPr>
          <w:rFonts w:hint="eastAsia" w:ascii="宋体" w:hAnsi="宋体"/>
          <w:color w:val="000000"/>
          <w:sz w:val="24"/>
        </w:rPr>
        <w:t>三、投标承诺函</w:t>
      </w:r>
    </w:p>
    <w:p w14:paraId="2BFE0483">
      <w:pPr>
        <w:spacing w:line="360" w:lineRule="auto"/>
        <w:ind w:firstLine="480" w:firstLineChars="200"/>
        <w:rPr>
          <w:rFonts w:ascii="宋体" w:hAnsi="宋体"/>
          <w:color w:val="000000"/>
          <w:sz w:val="24"/>
        </w:rPr>
      </w:pPr>
      <w:r>
        <w:rPr>
          <w:rFonts w:hint="eastAsia" w:ascii="宋体" w:hAnsi="宋体"/>
          <w:color w:val="000000"/>
          <w:sz w:val="24"/>
        </w:rPr>
        <w:t xml:space="preserve">四、报价一览表 </w:t>
      </w:r>
    </w:p>
    <w:p w14:paraId="55CEAB0A">
      <w:pPr>
        <w:spacing w:line="360" w:lineRule="auto"/>
        <w:ind w:firstLine="480" w:firstLineChars="200"/>
        <w:rPr>
          <w:rFonts w:ascii="宋体" w:hAnsi="宋体"/>
          <w:color w:val="000000"/>
          <w:sz w:val="24"/>
        </w:rPr>
      </w:pPr>
      <w:r>
        <w:rPr>
          <w:rFonts w:hint="eastAsia" w:ascii="宋体" w:hAnsi="宋体"/>
          <w:color w:val="000000"/>
          <w:sz w:val="24"/>
        </w:rPr>
        <w:t>五、实施方案及技术方案</w:t>
      </w:r>
    </w:p>
    <w:p w14:paraId="15D524D8">
      <w:pPr>
        <w:spacing w:line="360" w:lineRule="auto"/>
        <w:ind w:firstLine="480" w:firstLineChars="200"/>
        <w:rPr>
          <w:rFonts w:ascii="宋体" w:hAnsi="宋体"/>
          <w:color w:val="000000"/>
          <w:sz w:val="24"/>
        </w:rPr>
      </w:pPr>
      <w:r>
        <w:rPr>
          <w:rFonts w:hint="eastAsia" w:ascii="宋体" w:hAnsi="宋体"/>
          <w:color w:val="000000"/>
          <w:sz w:val="24"/>
        </w:rPr>
        <w:t>六、质保及售后服务承诺</w:t>
      </w:r>
    </w:p>
    <w:p w14:paraId="50AF5479">
      <w:pPr>
        <w:spacing w:line="360" w:lineRule="auto"/>
        <w:ind w:firstLine="480" w:firstLineChars="200"/>
        <w:rPr>
          <w:rFonts w:ascii="宋体" w:hAnsi="宋体"/>
          <w:color w:val="000000"/>
          <w:sz w:val="24"/>
        </w:rPr>
      </w:pPr>
      <w:r>
        <w:rPr>
          <w:rFonts w:hint="eastAsia" w:ascii="宋体" w:hAnsi="宋体"/>
          <w:color w:val="000000"/>
          <w:sz w:val="24"/>
        </w:rPr>
        <w:t>七、中小微企业声明函</w:t>
      </w:r>
    </w:p>
    <w:p w14:paraId="3F60FFCF">
      <w:pPr>
        <w:spacing w:line="360" w:lineRule="auto"/>
        <w:ind w:firstLine="480" w:firstLineChars="200"/>
        <w:rPr>
          <w:rFonts w:ascii="宋体" w:hAnsi="宋体"/>
          <w:color w:val="000000"/>
          <w:sz w:val="24"/>
        </w:rPr>
      </w:pPr>
      <w:r>
        <w:rPr>
          <w:rFonts w:hint="eastAsia" w:ascii="宋体" w:hAnsi="宋体"/>
          <w:color w:val="000000"/>
          <w:sz w:val="24"/>
        </w:rPr>
        <w:t>八、监狱企业证明材料</w:t>
      </w:r>
    </w:p>
    <w:p w14:paraId="318CBFB3">
      <w:pPr>
        <w:spacing w:line="360" w:lineRule="auto"/>
        <w:ind w:firstLine="480" w:firstLineChars="200"/>
        <w:rPr>
          <w:rFonts w:ascii="宋体" w:hAnsi="宋体"/>
          <w:color w:val="000000"/>
          <w:sz w:val="24"/>
        </w:rPr>
      </w:pPr>
      <w:r>
        <w:rPr>
          <w:rFonts w:hint="eastAsia" w:ascii="宋体" w:hAnsi="宋体"/>
          <w:color w:val="000000"/>
          <w:sz w:val="24"/>
        </w:rPr>
        <w:t>九、资格审查资料</w:t>
      </w:r>
    </w:p>
    <w:p w14:paraId="76F30C6A">
      <w:pPr>
        <w:spacing w:line="360" w:lineRule="auto"/>
        <w:ind w:firstLine="480" w:firstLineChars="200"/>
        <w:rPr>
          <w:rFonts w:ascii="宋体" w:hAnsi="宋体"/>
          <w:color w:val="000000"/>
          <w:sz w:val="24"/>
        </w:rPr>
      </w:pPr>
      <w:r>
        <w:rPr>
          <w:rFonts w:hint="eastAsia" w:ascii="宋体" w:hAnsi="宋体"/>
          <w:color w:val="000000"/>
          <w:sz w:val="24"/>
        </w:rPr>
        <w:t>十、其他材料</w:t>
      </w:r>
    </w:p>
    <w:p w14:paraId="6DD8F08F">
      <w:pPr>
        <w:spacing w:line="360" w:lineRule="auto"/>
        <w:rPr>
          <w:rFonts w:ascii="宋体" w:hAnsi="宋体" w:cs="宋体"/>
          <w:color w:val="000000"/>
          <w:kern w:val="10"/>
          <w:sz w:val="24"/>
        </w:rPr>
      </w:pPr>
    </w:p>
    <w:p w14:paraId="4171E648">
      <w:pPr>
        <w:spacing w:line="360" w:lineRule="auto"/>
        <w:rPr>
          <w:rFonts w:ascii="宋体" w:hAnsi="宋体" w:cs="宋体"/>
          <w:color w:val="000000"/>
          <w:kern w:val="10"/>
          <w:sz w:val="24"/>
        </w:rPr>
      </w:pPr>
    </w:p>
    <w:p w14:paraId="17252D3F">
      <w:pPr>
        <w:spacing w:line="360" w:lineRule="auto"/>
        <w:rPr>
          <w:rFonts w:ascii="宋体" w:hAnsi="宋体" w:cs="宋体"/>
          <w:color w:val="000000"/>
          <w:kern w:val="10"/>
          <w:sz w:val="24"/>
        </w:rPr>
      </w:pPr>
    </w:p>
    <w:p w14:paraId="22EB1FAF">
      <w:pPr>
        <w:spacing w:line="360" w:lineRule="auto"/>
        <w:rPr>
          <w:rFonts w:ascii="宋体" w:hAnsi="宋体" w:cs="宋体"/>
          <w:color w:val="000000"/>
          <w:kern w:val="10"/>
          <w:sz w:val="24"/>
        </w:rPr>
      </w:pPr>
    </w:p>
    <w:p w14:paraId="2116EC7A">
      <w:pPr>
        <w:rPr>
          <w:rFonts w:ascii="宋体" w:hAnsi="宋体" w:cs="宋体"/>
          <w:b/>
          <w:bCs/>
          <w:color w:val="000000"/>
          <w:kern w:val="10"/>
          <w:sz w:val="28"/>
          <w:szCs w:val="28"/>
        </w:rPr>
      </w:pPr>
      <w:bookmarkStart w:id="94" w:name="_Toc99007056"/>
      <w:bookmarkStart w:id="95" w:name="_Toc15192"/>
      <w:bookmarkStart w:id="96" w:name="_Toc22238"/>
      <w:bookmarkStart w:id="97" w:name="_Toc7366"/>
      <w:bookmarkStart w:id="98" w:name="_Toc11031"/>
      <w:bookmarkStart w:id="99" w:name="_Toc57277893"/>
      <w:bookmarkStart w:id="100" w:name="_Toc17554"/>
      <w:bookmarkStart w:id="101" w:name="_Toc31372"/>
      <w:bookmarkStart w:id="102" w:name="_Toc516499664"/>
      <w:bookmarkStart w:id="103" w:name="_Toc20924"/>
      <w:bookmarkStart w:id="104" w:name="_Toc11591"/>
      <w:r>
        <w:rPr>
          <w:rFonts w:hint="eastAsia" w:ascii="宋体" w:hAnsi="宋体" w:cs="宋体"/>
          <w:b/>
          <w:bCs/>
          <w:color w:val="000000"/>
          <w:kern w:val="10"/>
          <w:sz w:val="28"/>
          <w:szCs w:val="28"/>
        </w:rPr>
        <w:br w:type="page"/>
      </w:r>
    </w:p>
    <w:p w14:paraId="1493BFCC">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一、投标函</w:t>
      </w:r>
      <w:bookmarkEnd w:id="94"/>
      <w:bookmarkEnd w:id="95"/>
      <w:bookmarkEnd w:id="96"/>
      <w:bookmarkEnd w:id="97"/>
      <w:bookmarkEnd w:id="98"/>
      <w:bookmarkEnd w:id="99"/>
      <w:bookmarkEnd w:id="100"/>
      <w:bookmarkEnd w:id="101"/>
      <w:bookmarkEnd w:id="102"/>
      <w:bookmarkEnd w:id="103"/>
      <w:bookmarkEnd w:id="104"/>
      <w:bookmarkStart w:id="105" w:name="_Toc234382958"/>
    </w:p>
    <w:bookmarkEnd w:id="105"/>
    <w:p w14:paraId="2A4C21B5">
      <w:pPr>
        <w:spacing w:line="360" w:lineRule="auto"/>
        <w:rPr>
          <w:rFonts w:ascii="宋体" w:hAnsi="宋体" w:cs="宋体"/>
          <w:color w:val="000000"/>
          <w:kern w:val="10"/>
          <w:sz w:val="24"/>
        </w:rPr>
      </w:pPr>
      <w:r>
        <w:rPr>
          <w:rFonts w:hint="eastAsia" w:ascii="宋体" w:hAnsi="宋体" w:cs="宋体"/>
          <w:color w:val="000000"/>
          <w:kern w:val="10"/>
          <w:sz w:val="24"/>
        </w:rPr>
        <w:t>致：</w:t>
      </w:r>
      <w:r>
        <w:rPr>
          <w:rFonts w:hint="eastAsia" w:ascii="宋体" w:hAnsi="宋体" w:cs="宋体"/>
          <w:color w:val="000000"/>
          <w:kern w:val="10"/>
          <w:sz w:val="24"/>
          <w:u w:val="single"/>
        </w:rPr>
        <w:t xml:space="preserve">              </w:t>
      </w:r>
      <w:r>
        <w:rPr>
          <w:rFonts w:hint="eastAsia" w:ascii="宋体" w:hAnsi="宋体" w:cs="宋体"/>
          <w:color w:val="000000"/>
          <w:kern w:val="10"/>
          <w:sz w:val="24"/>
        </w:rPr>
        <w:t>（采购人名称）：</w:t>
      </w:r>
    </w:p>
    <w:p w14:paraId="475A2782">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1、根据贵方为</w:t>
      </w:r>
      <w:r>
        <w:rPr>
          <w:rFonts w:hint="eastAsia" w:ascii="宋体" w:hAnsi="宋体" w:cs="宋体"/>
          <w:color w:val="000000"/>
          <w:kern w:val="10"/>
          <w:sz w:val="24"/>
          <w:u w:val="single"/>
        </w:rPr>
        <w:t xml:space="preserve">                        </w:t>
      </w:r>
      <w:r>
        <w:rPr>
          <w:rFonts w:hint="eastAsia" w:ascii="宋体" w:hAnsi="宋体" w:cs="宋体"/>
          <w:color w:val="000000"/>
          <w:kern w:val="10"/>
          <w:sz w:val="24"/>
        </w:rPr>
        <w:t>项目的竞争性磋商公告，遵照《中华人民共和国政府采购法》等有关法律、法规的规定，经认真研究竞争性磋商文件后，我方投标报价为人民币（大写）</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r>
        <w:rPr>
          <w:rFonts w:hint="eastAsia" w:ascii="宋体" w:hAnsi="宋体" w:cs="宋体"/>
          <w:color w:val="000000"/>
          <w:kern w:val="10"/>
          <w:sz w:val="24"/>
          <w:u w:val="single"/>
        </w:rPr>
        <w:t xml:space="preserve">       </w:t>
      </w:r>
      <w:r>
        <w:rPr>
          <w:rFonts w:hint="eastAsia" w:ascii="宋体" w:hAnsi="宋体" w:cs="宋体"/>
          <w:color w:val="000000"/>
          <w:kern w:val="10"/>
          <w:sz w:val="24"/>
        </w:rPr>
        <w:t>），交货期</w:t>
      </w:r>
      <w:r>
        <w:rPr>
          <w:rFonts w:hint="eastAsia" w:ascii="宋体" w:hAnsi="宋体" w:cs="宋体"/>
          <w:color w:val="000000"/>
          <w:kern w:val="10"/>
          <w:sz w:val="24"/>
          <w:u w:val="single"/>
        </w:rPr>
        <w:t xml:space="preserve">        </w:t>
      </w:r>
      <w:r>
        <w:rPr>
          <w:rFonts w:hint="eastAsia" w:ascii="宋体" w:hAnsi="宋体" w:cs="宋体"/>
          <w:sz w:val="24"/>
        </w:rPr>
        <w:t>，质保期</w:t>
      </w:r>
      <w:r>
        <w:rPr>
          <w:rFonts w:hint="eastAsia" w:ascii="宋体" w:hAnsi="宋体" w:cs="宋体"/>
          <w:sz w:val="24"/>
          <w:u w:val="single"/>
        </w:rPr>
        <w:t xml:space="preserve">       </w:t>
      </w:r>
      <w:r>
        <w:rPr>
          <w:rFonts w:hint="eastAsia" w:ascii="宋体" w:hAnsi="宋体" w:cs="宋体"/>
          <w:color w:val="000000"/>
          <w:kern w:val="10"/>
          <w:sz w:val="24"/>
        </w:rPr>
        <w:t>。</w:t>
      </w:r>
    </w:p>
    <w:p w14:paraId="6BB0B92E">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2、如果我们的投标书被接受，我们将履行竞争性磋商文件中规定的每一项要求，按期、按质、按量履行合同。</w:t>
      </w:r>
    </w:p>
    <w:p w14:paraId="0CCB2DC1">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3、我方愿按《中华人民共和国合同法》履行我方的全部责任。</w:t>
      </w:r>
    </w:p>
    <w:p w14:paraId="4588575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4、我方已详细研究全部竞争性磋商文件，包括修改文件以及全部参考资料和有关附件。我们完全理解并同意放弃对这方面有不明及误解的权力。</w:t>
      </w:r>
    </w:p>
    <w:p w14:paraId="088DDDC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5、本项目投标有效期为</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p>
    <w:p w14:paraId="7CD3329A">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6、我方同意提供按照贵方可能要求的与投标有关的一切数据或资料，理解贵方不一定接受最低价的投标或收到的任何投标。</w:t>
      </w:r>
    </w:p>
    <w:p w14:paraId="13A5D504">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7、我单位声明参加本次政府采购活动前3年内在经营活动中没有重大违法记录（重大违法记录，是指投标人因违法经营受到刑事处罚或者责令停产停业、吊销许可证或者执照、较大数额罚款等行政处罚）。</w:t>
      </w:r>
    </w:p>
    <w:p w14:paraId="14D27DFB">
      <w:pPr>
        <w:spacing w:line="360" w:lineRule="auto"/>
        <w:ind w:firstLine="480" w:firstLineChars="200"/>
        <w:rPr>
          <w:rFonts w:ascii="宋体" w:hAnsi="宋体" w:cs="宋体"/>
          <w:b/>
          <w:bCs/>
          <w:color w:val="000000"/>
          <w:kern w:val="10"/>
          <w:sz w:val="24"/>
        </w:rPr>
      </w:pPr>
      <w:r>
        <w:rPr>
          <w:rFonts w:hint="eastAsia" w:ascii="宋体" w:hAnsi="宋体" w:cs="宋体"/>
          <w:b/>
          <w:bCs/>
          <w:color w:val="000000"/>
          <w:kern w:val="10"/>
          <w:sz w:val="24"/>
        </w:rPr>
        <w:t>8、我方保证投标文件中的所有资料均为真实、有效的，如有虚假，我方承诺投标文件无效并愿承担一切责任。</w:t>
      </w:r>
    </w:p>
    <w:p w14:paraId="2FBCD985">
      <w:pPr>
        <w:spacing w:line="360" w:lineRule="auto"/>
        <w:rPr>
          <w:rFonts w:ascii="宋体" w:hAnsi="宋体" w:cs="宋体"/>
          <w:color w:val="000000"/>
          <w:kern w:val="10"/>
          <w:sz w:val="24"/>
        </w:rPr>
      </w:pPr>
    </w:p>
    <w:p w14:paraId="63786C9D">
      <w:pPr>
        <w:spacing w:line="360" w:lineRule="auto"/>
        <w:rPr>
          <w:rFonts w:ascii="宋体" w:hAnsi="宋体" w:cs="宋体"/>
          <w:color w:val="000000"/>
          <w:kern w:val="10"/>
          <w:sz w:val="24"/>
        </w:rPr>
      </w:pPr>
      <w:r>
        <w:rPr>
          <w:rFonts w:hint="eastAsia" w:ascii="宋体" w:hAnsi="宋体" w:cs="宋体"/>
          <w:color w:val="000000"/>
          <w:kern w:val="10"/>
          <w:sz w:val="24"/>
        </w:rPr>
        <w:t>供应商(电子签章)：</w:t>
      </w:r>
    </w:p>
    <w:p w14:paraId="729C0859">
      <w:pPr>
        <w:spacing w:line="360" w:lineRule="auto"/>
        <w:rPr>
          <w:rFonts w:ascii="宋体" w:hAnsi="宋体" w:cs="宋体"/>
          <w:color w:val="000000"/>
          <w:kern w:val="10"/>
          <w:sz w:val="24"/>
        </w:rPr>
      </w:pPr>
      <w:r>
        <w:rPr>
          <w:rFonts w:hint="eastAsia" w:ascii="宋体" w:hAnsi="宋体" w:cs="宋体"/>
          <w:color w:val="000000"/>
          <w:kern w:val="10"/>
          <w:sz w:val="24"/>
        </w:rPr>
        <w:t>法定代表人(电子签章)：</w:t>
      </w:r>
    </w:p>
    <w:p w14:paraId="35D95950">
      <w:pPr>
        <w:spacing w:line="360" w:lineRule="auto"/>
        <w:rPr>
          <w:rFonts w:ascii="宋体" w:hAnsi="宋体" w:cs="宋体"/>
          <w:color w:val="000000"/>
          <w:kern w:val="10"/>
          <w:sz w:val="24"/>
        </w:rPr>
      </w:pPr>
      <w:r>
        <w:rPr>
          <w:rFonts w:hint="eastAsia" w:ascii="宋体" w:hAnsi="宋体" w:cs="宋体"/>
          <w:color w:val="000000"/>
          <w:kern w:val="10"/>
          <w:sz w:val="24"/>
        </w:rPr>
        <w:t>单位地址：</w:t>
      </w:r>
    </w:p>
    <w:p w14:paraId="03848165">
      <w:pPr>
        <w:spacing w:line="360" w:lineRule="auto"/>
        <w:rPr>
          <w:rFonts w:ascii="宋体" w:hAnsi="宋体" w:cs="宋体"/>
          <w:color w:val="000000"/>
          <w:kern w:val="10"/>
          <w:sz w:val="24"/>
        </w:rPr>
      </w:pPr>
      <w:r>
        <w:rPr>
          <w:rFonts w:hint="eastAsia" w:ascii="宋体" w:hAnsi="宋体" w:cs="宋体"/>
          <w:color w:val="000000"/>
          <w:kern w:val="10"/>
          <w:sz w:val="24"/>
        </w:rPr>
        <w:t>电话： （填写能联系到的电话号码，方便通知二次报价）</w:t>
      </w:r>
    </w:p>
    <w:p w14:paraId="4EF5EEC6">
      <w:pPr>
        <w:spacing w:line="360" w:lineRule="auto"/>
        <w:rPr>
          <w:rFonts w:ascii="宋体" w:hAnsi="宋体" w:cs="宋体"/>
          <w:color w:val="000000"/>
          <w:sz w:val="24"/>
        </w:rPr>
      </w:pPr>
      <w:bookmarkStart w:id="106" w:name="_Toc78"/>
      <w:bookmarkStart w:id="107" w:name="_Toc14945"/>
      <w:bookmarkStart w:id="108" w:name="_Toc16260"/>
      <w:bookmarkStart w:id="109" w:name="_Toc234382961"/>
      <w:bookmarkStart w:id="110" w:name="_Toc8145"/>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681BA9B2">
      <w:pPr>
        <w:spacing w:line="360" w:lineRule="auto"/>
        <w:rPr>
          <w:rFonts w:ascii="宋体" w:hAnsi="宋体" w:cs="宋体"/>
          <w:color w:val="000000"/>
          <w:sz w:val="24"/>
        </w:rPr>
      </w:pPr>
    </w:p>
    <w:p w14:paraId="4215A003">
      <w:pPr>
        <w:pStyle w:val="5"/>
        <w:ind w:firstLine="442"/>
        <w:jc w:val="center"/>
        <w:rPr>
          <w:rFonts w:ascii="宋体" w:hAnsi="宋体" w:cs="宋体"/>
        </w:rPr>
      </w:pPr>
      <w:bookmarkStart w:id="111" w:name="_Toc9610"/>
      <w:bookmarkStart w:id="112" w:name="_Toc24521"/>
      <w:bookmarkStart w:id="113" w:name="_Toc57277894"/>
      <w:bookmarkStart w:id="114" w:name="_Toc18464"/>
      <w:bookmarkStart w:id="115" w:name="_Toc13521"/>
      <w:bookmarkStart w:id="116" w:name="_Toc516499665"/>
      <w:bookmarkStart w:id="117" w:name="_Toc99007057"/>
      <w:r>
        <w:rPr>
          <w:rFonts w:hint="eastAsia" w:ascii="宋体" w:hAnsi="宋体" w:cs="宋体"/>
          <w:color w:val="000000"/>
          <w:kern w:val="10"/>
          <w:sz w:val="28"/>
          <w:szCs w:val="28"/>
        </w:rPr>
        <w:br w:type="page"/>
      </w:r>
      <w:r>
        <w:rPr>
          <w:rFonts w:hint="eastAsia" w:ascii="宋体" w:hAnsi="宋体" w:cs="宋体"/>
          <w:color w:val="000000"/>
          <w:kern w:val="10"/>
          <w:sz w:val="28"/>
          <w:szCs w:val="28"/>
        </w:rPr>
        <w:t>投标函附录</w:t>
      </w:r>
    </w:p>
    <w:tbl>
      <w:tblPr>
        <w:tblStyle w:val="19"/>
        <w:tblpPr w:leftFromText="181" w:rightFromText="181" w:vertAnchor="text" w:horzAnchor="margin" w:tblpXSpec="center" w:tblpY="128"/>
        <w:tblOverlap w:val="never"/>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6836"/>
      </w:tblGrid>
      <w:tr w14:paraId="25D1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1603" w:type="dxa"/>
            <w:tcBorders>
              <w:top w:val="single" w:color="auto" w:sz="4" w:space="0"/>
              <w:left w:val="single" w:color="auto" w:sz="4" w:space="0"/>
              <w:bottom w:val="single" w:color="auto" w:sz="4" w:space="0"/>
              <w:right w:val="single" w:color="auto" w:sz="4" w:space="0"/>
            </w:tcBorders>
            <w:vAlign w:val="center"/>
          </w:tcPr>
          <w:p w14:paraId="67899B6A">
            <w:pPr>
              <w:spacing w:line="0" w:lineRule="atLeast"/>
              <w:jc w:val="center"/>
              <w:rPr>
                <w:rFonts w:ascii="宋体" w:hAnsi="宋体" w:cs="宋体"/>
                <w:sz w:val="24"/>
              </w:rPr>
            </w:pPr>
            <w:r>
              <w:rPr>
                <w:rFonts w:hint="eastAsia" w:ascii="宋体" w:hAnsi="宋体" w:cs="宋体"/>
                <w:sz w:val="24"/>
              </w:rPr>
              <w:t>项目名称</w:t>
            </w:r>
          </w:p>
        </w:tc>
        <w:tc>
          <w:tcPr>
            <w:tcW w:w="6836" w:type="dxa"/>
            <w:tcBorders>
              <w:top w:val="single" w:color="auto" w:sz="4" w:space="0"/>
              <w:left w:val="single" w:color="auto" w:sz="4" w:space="0"/>
              <w:bottom w:val="single" w:color="auto" w:sz="4" w:space="0"/>
              <w:right w:val="single" w:color="auto" w:sz="4" w:space="0"/>
            </w:tcBorders>
            <w:vAlign w:val="center"/>
          </w:tcPr>
          <w:p w14:paraId="5CDDF6C0">
            <w:pPr>
              <w:spacing w:line="0" w:lineRule="atLeast"/>
              <w:rPr>
                <w:rFonts w:ascii="宋体" w:hAnsi="宋体" w:cs="宋体"/>
                <w:sz w:val="24"/>
              </w:rPr>
            </w:pPr>
          </w:p>
        </w:tc>
      </w:tr>
      <w:tr w14:paraId="6F5D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exact"/>
        </w:trPr>
        <w:tc>
          <w:tcPr>
            <w:tcW w:w="1603" w:type="dxa"/>
            <w:tcBorders>
              <w:top w:val="single" w:color="auto" w:sz="4" w:space="0"/>
              <w:left w:val="single" w:color="auto" w:sz="4" w:space="0"/>
              <w:bottom w:val="single" w:color="auto" w:sz="4" w:space="0"/>
              <w:right w:val="single" w:color="auto" w:sz="4" w:space="0"/>
            </w:tcBorders>
            <w:vAlign w:val="center"/>
          </w:tcPr>
          <w:p w14:paraId="726BF99E">
            <w:pPr>
              <w:spacing w:line="0" w:lineRule="atLeast"/>
              <w:jc w:val="center"/>
              <w:rPr>
                <w:rFonts w:ascii="宋体" w:hAnsi="宋体" w:cs="宋体"/>
                <w:sz w:val="24"/>
              </w:rPr>
            </w:pPr>
            <w:r>
              <w:rPr>
                <w:rFonts w:hint="eastAsia" w:ascii="宋体" w:hAnsi="宋体" w:cs="宋体"/>
                <w:sz w:val="24"/>
              </w:rPr>
              <w:t>投标人名称</w:t>
            </w:r>
          </w:p>
        </w:tc>
        <w:tc>
          <w:tcPr>
            <w:tcW w:w="6836" w:type="dxa"/>
            <w:tcBorders>
              <w:top w:val="single" w:color="auto" w:sz="4" w:space="0"/>
              <w:left w:val="single" w:color="auto" w:sz="4" w:space="0"/>
              <w:bottom w:val="single" w:color="auto" w:sz="4" w:space="0"/>
              <w:right w:val="single" w:color="auto" w:sz="4" w:space="0"/>
            </w:tcBorders>
            <w:vAlign w:val="center"/>
          </w:tcPr>
          <w:p w14:paraId="0A2BE96D">
            <w:pPr>
              <w:spacing w:line="0" w:lineRule="atLeast"/>
              <w:rPr>
                <w:rFonts w:ascii="宋体" w:hAnsi="宋体" w:cs="宋体"/>
                <w:sz w:val="24"/>
              </w:rPr>
            </w:pPr>
          </w:p>
        </w:tc>
      </w:tr>
      <w:tr w14:paraId="30AE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exact"/>
        </w:trPr>
        <w:tc>
          <w:tcPr>
            <w:tcW w:w="1603" w:type="dxa"/>
            <w:tcBorders>
              <w:top w:val="single" w:color="auto" w:sz="4" w:space="0"/>
              <w:left w:val="single" w:color="auto" w:sz="4" w:space="0"/>
              <w:bottom w:val="single" w:color="auto" w:sz="4" w:space="0"/>
              <w:right w:val="single" w:color="auto" w:sz="4" w:space="0"/>
            </w:tcBorders>
            <w:vAlign w:val="center"/>
          </w:tcPr>
          <w:p w14:paraId="62BC0A12">
            <w:pPr>
              <w:spacing w:line="0" w:lineRule="atLeast"/>
              <w:jc w:val="center"/>
              <w:rPr>
                <w:rFonts w:ascii="宋体" w:hAnsi="宋体" w:cs="宋体"/>
                <w:sz w:val="24"/>
              </w:rPr>
            </w:pPr>
            <w:r>
              <w:rPr>
                <w:rFonts w:hint="eastAsia" w:ascii="宋体" w:hAnsi="宋体" w:cs="宋体"/>
                <w:sz w:val="24"/>
              </w:rPr>
              <w:t>供应商统一社会信用代码</w:t>
            </w:r>
          </w:p>
        </w:tc>
        <w:tc>
          <w:tcPr>
            <w:tcW w:w="6836" w:type="dxa"/>
            <w:tcBorders>
              <w:top w:val="single" w:color="auto" w:sz="4" w:space="0"/>
              <w:left w:val="single" w:color="auto" w:sz="4" w:space="0"/>
              <w:bottom w:val="single" w:color="auto" w:sz="4" w:space="0"/>
              <w:right w:val="single" w:color="auto" w:sz="4" w:space="0"/>
            </w:tcBorders>
            <w:vAlign w:val="center"/>
          </w:tcPr>
          <w:p w14:paraId="333CB8CF">
            <w:pPr>
              <w:spacing w:line="0" w:lineRule="atLeast"/>
              <w:rPr>
                <w:rFonts w:ascii="宋体" w:hAnsi="宋体" w:cs="宋体"/>
                <w:sz w:val="24"/>
              </w:rPr>
            </w:pPr>
          </w:p>
        </w:tc>
      </w:tr>
      <w:tr w14:paraId="7FD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trPr>
        <w:tc>
          <w:tcPr>
            <w:tcW w:w="1603" w:type="dxa"/>
            <w:tcBorders>
              <w:top w:val="single" w:color="auto" w:sz="4" w:space="0"/>
              <w:left w:val="single" w:color="auto" w:sz="4" w:space="0"/>
              <w:bottom w:val="single" w:color="auto" w:sz="4" w:space="0"/>
              <w:right w:val="single" w:color="auto" w:sz="4" w:space="0"/>
            </w:tcBorders>
            <w:vAlign w:val="center"/>
          </w:tcPr>
          <w:p w14:paraId="5182D6E2">
            <w:pPr>
              <w:spacing w:line="0" w:lineRule="atLeast"/>
              <w:jc w:val="center"/>
              <w:rPr>
                <w:rFonts w:ascii="宋体" w:hAnsi="宋体" w:cs="宋体"/>
                <w:sz w:val="24"/>
              </w:rPr>
            </w:pPr>
            <w:r>
              <w:rPr>
                <w:rFonts w:hint="eastAsia" w:ascii="宋体" w:hAnsi="宋体" w:cs="宋体"/>
                <w:sz w:val="24"/>
              </w:rPr>
              <w:t>投标范围</w:t>
            </w:r>
          </w:p>
        </w:tc>
        <w:tc>
          <w:tcPr>
            <w:tcW w:w="6836" w:type="dxa"/>
            <w:tcBorders>
              <w:top w:val="single" w:color="auto" w:sz="4" w:space="0"/>
              <w:left w:val="single" w:color="auto" w:sz="4" w:space="0"/>
              <w:bottom w:val="single" w:color="auto" w:sz="4" w:space="0"/>
              <w:right w:val="single" w:color="auto" w:sz="4" w:space="0"/>
            </w:tcBorders>
            <w:vAlign w:val="center"/>
          </w:tcPr>
          <w:p w14:paraId="4342C88A">
            <w:pPr>
              <w:spacing w:line="0" w:lineRule="atLeast"/>
              <w:rPr>
                <w:rFonts w:ascii="宋体" w:hAnsi="宋体" w:cs="宋体"/>
                <w:sz w:val="24"/>
              </w:rPr>
            </w:pPr>
          </w:p>
        </w:tc>
      </w:tr>
      <w:tr w14:paraId="5475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exact"/>
        </w:trPr>
        <w:tc>
          <w:tcPr>
            <w:tcW w:w="1603" w:type="dxa"/>
            <w:tcBorders>
              <w:top w:val="single" w:color="auto" w:sz="4" w:space="0"/>
              <w:left w:val="single" w:color="auto" w:sz="4" w:space="0"/>
              <w:bottom w:val="single" w:color="auto" w:sz="4" w:space="0"/>
              <w:right w:val="single" w:color="auto" w:sz="4" w:space="0"/>
            </w:tcBorders>
            <w:vAlign w:val="center"/>
          </w:tcPr>
          <w:p w14:paraId="7D53A1E7">
            <w:pPr>
              <w:spacing w:line="0" w:lineRule="atLeast"/>
              <w:jc w:val="center"/>
              <w:rPr>
                <w:rFonts w:ascii="宋体" w:hAnsi="宋体" w:cs="宋体"/>
                <w:sz w:val="24"/>
              </w:rPr>
            </w:pPr>
            <w:r>
              <w:rPr>
                <w:rFonts w:hint="eastAsia" w:ascii="宋体" w:hAnsi="宋体" w:cs="宋体"/>
                <w:sz w:val="24"/>
              </w:rPr>
              <w:t>磋商总报价（元）</w:t>
            </w:r>
          </w:p>
        </w:tc>
        <w:tc>
          <w:tcPr>
            <w:tcW w:w="6836" w:type="dxa"/>
            <w:tcBorders>
              <w:top w:val="single" w:color="auto" w:sz="4" w:space="0"/>
              <w:left w:val="single" w:color="auto" w:sz="4" w:space="0"/>
              <w:bottom w:val="single" w:color="auto" w:sz="4" w:space="0"/>
              <w:right w:val="single" w:color="auto" w:sz="4" w:space="0"/>
            </w:tcBorders>
            <w:vAlign w:val="center"/>
          </w:tcPr>
          <w:p w14:paraId="799E1CF1">
            <w:pPr>
              <w:spacing w:line="0" w:lineRule="atLeast"/>
              <w:ind w:firstLine="482"/>
              <w:rPr>
                <w:rFonts w:ascii="宋体" w:hAnsi="宋体" w:cs="宋体"/>
                <w:sz w:val="24"/>
                <w:u w:val="single"/>
              </w:rPr>
            </w:pPr>
            <w:r>
              <w:rPr>
                <w:rFonts w:hint="eastAsia" w:ascii="宋体" w:hAnsi="宋体" w:cs="宋体"/>
                <w:sz w:val="24"/>
                <w:u w:val="single"/>
              </w:rPr>
              <w:t xml:space="preserve">（大写）                   </w:t>
            </w:r>
          </w:p>
          <w:p w14:paraId="24929F98">
            <w:pPr>
              <w:spacing w:line="0" w:lineRule="atLeast"/>
              <w:ind w:firstLine="482"/>
              <w:rPr>
                <w:rFonts w:ascii="宋体" w:hAnsi="宋体" w:cs="宋体"/>
                <w:sz w:val="24"/>
                <w:u w:val="single"/>
              </w:rPr>
            </w:pPr>
            <w:r>
              <w:rPr>
                <w:rFonts w:hint="eastAsia" w:ascii="宋体" w:hAnsi="宋体" w:cs="宋体"/>
                <w:sz w:val="24"/>
                <w:u w:val="single"/>
              </w:rPr>
              <w:t xml:space="preserve">（小写）                    </w:t>
            </w:r>
          </w:p>
        </w:tc>
      </w:tr>
      <w:tr w14:paraId="5DD9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603" w:type="dxa"/>
            <w:tcBorders>
              <w:top w:val="single" w:color="auto" w:sz="4" w:space="0"/>
              <w:left w:val="single" w:color="auto" w:sz="4" w:space="0"/>
              <w:bottom w:val="single" w:color="auto" w:sz="4" w:space="0"/>
              <w:right w:val="single" w:color="auto" w:sz="4" w:space="0"/>
            </w:tcBorders>
            <w:vAlign w:val="center"/>
          </w:tcPr>
          <w:p w14:paraId="7562F0B4">
            <w:pPr>
              <w:spacing w:line="0" w:lineRule="atLeast"/>
              <w:jc w:val="center"/>
              <w:rPr>
                <w:rFonts w:ascii="宋体" w:hAnsi="宋体" w:cs="宋体"/>
                <w:sz w:val="24"/>
              </w:rPr>
            </w:pPr>
            <w:r>
              <w:rPr>
                <w:rFonts w:hint="eastAsia" w:ascii="宋体" w:hAnsi="宋体" w:cs="宋体"/>
                <w:sz w:val="24"/>
              </w:rPr>
              <w:t>质量要求</w:t>
            </w:r>
          </w:p>
        </w:tc>
        <w:tc>
          <w:tcPr>
            <w:tcW w:w="6836" w:type="dxa"/>
            <w:tcBorders>
              <w:top w:val="single" w:color="auto" w:sz="4" w:space="0"/>
              <w:left w:val="single" w:color="auto" w:sz="4" w:space="0"/>
              <w:bottom w:val="single" w:color="auto" w:sz="4" w:space="0"/>
              <w:right w:val="single" w:color="auto" w:sz="4" w:space="0"/>
            </w:tcBorders>
            <w:vAlign w:val="center"/>
          </w:tcPr>
          <w:p w14:paraId="27C1FD22">
            <w:pPr>
              <w:spacing w:line="0" w:lineRule="atLeast"/>
              <w:ind w:firstLine="482"/>
              <w:jc w:val="center"/>
              <w:rPr>
                <w:rFonts w:ascii="宋体" w:hAnsi="宋体" w:cs="宋体"/>
                <w:sz w:val="24"/>
              </w:rPr>
            </w:pPr>
          </w:p>
        </w:tc>
      </w:tr>
      <w:tr w14:paraId="20CE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603" w:type="dxa"/>
            <w:tcBorders>
              <w:top w:val="single" w:color="auto" w:sz="4" w:space="0"/>
              <w:left w:val="single" w:color="auto" w:sz="4" w:space="0"/>
              <w:bottom w:val="single" w:color="auto" w:sz="4" w:space="0"/>
              <w:right w:val="single" w:color="auto" w:sz="4" w:space="0"/>
            </w:tcBorders>
            <w:vAlign w:val="center"/>
          </w:tcPr>
          <w:p w14:paraId="16A66266">
            <w:pPr>
              <w:spacing w:line="0" w:lineRule="atLeast"/>
              <w:jc w:val="center"/>
              <w:rPr>
                <w:rFonts w:ascii="宋体" w:hAnsi="宋体" w:cs="宋体"/>
                <w:sz w:val="24"/>
              </w:rPr>
            </w:pPr>
            <w:r>
              <w:rPr>
                <w:rFonts w:hint="eastAsia" w:ascii="宋体" w:hAnsi="宋体" w:cs="宋体"/>
                <w:sz w:val="24"/>
              </w:rPr>
              <w:t>交货期</w:t>
            </w:r>
          </w:p>
        </w:tc>
        <w:tc>
          <w:tcPr>
            <w:tcW w:w="6836" w:type="dxa"/>
            <w:tcBorders>
              <w:top w:val="single" w:color="auto" w:sz="4" w:space="0"/>
              <w:left w:val="single" w:color="auto" w:sz="4" w:space="0"/>
              <w:bottom w:val="single" w:color="auto" w:sz="4" w:space="0"/>
              <w:right w:val="single" w:color="auto" w:sz="4" w:space="0"/>
            </w:tcBorders>
            <w:vAlign w:val="center"/>
          </w:tcPr>
          <w:p w14:paraId="2F1E8B11">
            <w:pPr>
              <w:spacing w:line="0" w:lineRule="atLeast"/>
              <w:ind w:firstLine="482"/>
              <w:jc w:val="center"/>
              <w:rPr>
                <w:rFonts w:ascii="宋体" w:hAnsi="宋体" w:cs="宋体"/>
                <w:sz w:val="24"/>
              </w:rPr>
            </w:pPr>
          </w:p>
        </w:tc>
      </w:tr>
      <w:tr w14:paraId="2272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603" w:type="dxa"/>
            <w:tcBorders>
              <w:top w:val="single" w:color="auto" w:sz="4" w:space="0"/>
              <w:left w:val="single" w:color="auto" w:sz="4" w:space="0"/>
              <w:bottom w:val="single" w:color="auto" w:sz="4" w:space="0"/>
              <w:right w:val="single" w:color="auto" w:sz="4" w:space="0"/>
            </w:tcBorders>
            <w:vAlign w:val="center"/>
          </w:tcPr>
          <w:p w14:paraId="639AB3CE">
            <w:pPr>
              <w:spacing w:line="0" w:lineRule="atLeast"/>
              <w:jc w:val="center"/>
              <w:rPr>
                <w:rFonts w:ascii="宋体" w:hAnsi="宋体" w:cs="宋体"/>
                <w:sz w:val="24"/>
              </w:rPr>
            </w:pPr>
            <w:r>
              <w:rPr>
                <w:rFonts w:hint="eastAsia" w:ascii="宋体" w:hAnsi="宋体" w:cs="宋体"/>
                <w:sz w:val="24"/>
              </w:rPr>
              <w:t>磋商有效期</w:t>
            </w:r>
          </w:p>
        </w:tc>
        <w:tc>
          <w:tcPr>
            <w:tcW w:w="6836" w:type="dxa"/>
            <w:tcBorders>
              <w:top w:val="single" w:color="auto" w:sz="4" w:space="0"/>
              <w:left w:val="single" w:color="auto" w:sz="4" w:space="0"/>
              <w:bottom w:val="single" w:color="auto" w:sz="4" w:space="0"/>
              <w:right w:val="single" w:color="auto" w:sz="4" w:space="0"/>
            </w:tcBorders>
            <w:vAlign w:val="center"/>
          </w:tcPr>
          <w:p w14:paraId="00B9F5A5">
            <w:pPr>
              <w:spacing w:line="0" w:lineRule="atLeast"/>
              <w:ind w:firstLine="482"/>
              <w:jc w:val="center"/>
              <w:rPr>
                <w:rFonts w:ascii="宋体" w:hAnsi="宋体" w:cs="宋体"/>
                <w:sz w:val="24"/>
              </w:rPr>
            </w:pPr>
          </w:p>
        </w:tc>
      </w:tr>
      <w:tr w14:paraId="00D7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603" w:type="dxa"/>
            <w:tcBorders>
              <w:top w:val="single" w:color="auto" w:sz="4" w:space="0"/>
              <w:left w:val="single" w:color="auto" w:sz="4" w:space="0"/>
              <w:bottom w:val="single" w:color="auto" w:sz="4" w:space="0"/>
              <w:right w:val="single" w:color="auto" w:sz="4" w:space="0"/>
            </w:tcBorders>
            <w:vAlign w:val="center"/>
          </w:tcPr>
          <w:p w14:paraId="55006BDE">
            <w:pPr>
              <w:spacing w:line="0" w:lineRule="atLeast"/>
              <w:jc w:val="center"/>
              <w:rPr>
                <w:rFonts w:ascii="宋体" w:hAnsi="宋体" w:cs="宋体"/>
                <w:sz w:val="24"/>
              </w:rPr>
            </w:pPr>
            <w:r>
              <w:rPr>
                <w:rFonts w:hint="eastAsia" w:cs="宋体"/>
                <w:sz w:val="24"/>
              </w:rPr>
              <w:t>项目负责人及联系方式</w:t>
            </w:r>
          </w:p>
        </w:tc>
        <w:tc>
          <w:tcPr>
            <w:tcW w:w="6836" w:type="dxa"/>
            <w:tcBorders>
              <w:top w:val="single" w:color="auto" w:sz="4" w:space="0"/>
              <w:left w:val="single" w:color="auto" w:sz="4" w:space="0"/>
              <w:bottom w:val="single" w:color="auto" w:sz="4" w:space="0"/>
              <w:right w:val="single" w:color="auto" w:sz="4" w:space="0"/>
            </w:tcBorders>
            <w:vAlign w:val="center"/>
          </w:tcPr>
          <w:p w14:paraId="229F7C8C">
            <w:pPr>
              <w:spacing w:line="0" w:lineRule="atLeast"/>
              <w:ind w:firstLine="482"/>
              <w:jc w:val="center"/>
              <w:rPr>
                <w:rFonts w:ascii="宋体" w:hAnsi="宋体" w:cs="宋体"/>
                <w:sz w:val="24"/>
              </w:rPr>
            </w:pPr>
          </w:p>
        </w:tc>
      </w:tr>
      <w:tr w14:paraId="2280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1603" w:type="dxa"/>
            <w:tcBorders>
              <w:top w:val="single" w:color="auto" w:sz="4" w:space="0"/>
              <w:left w:val="single" w:color="auto" w:sz="4" w:space="0"/>
              <w:bottom w:val="single" w:color="auto" w:sz="4" w:space="0"/>
              <w:right w:val="single" w:color="auto" w:sz="4" w:space="0"/>
            </w:tcBorders>
            <w:vAlign w:val="center"/>
          </w:tcPr>
          <w:p w14:paraId="64C9C84C">
            <w:pPr>
              <w:spacing w:line="0" w:lineRule="atLeast"/>
              <w:jc w:val="center"/>
              <w:rPr>
                <w:rFonts w:ascii="宋体" w:hAnsi="宋体" w:cs="宋体"/>
                <w:sz w:val="24"/>
              </w:rPr>
            </w:pPr>
            <w:r>
              <w:rPr>
                <w:rFonts w:hint="eastAsia" w:ascii="宋体" w:hAnsi="宋体" w:cs="宋体"/>
                <w:sz w:val="24"/>
              </w:rPr>
              <w:t>备注</w:t>
            </w:r>
          </w:p>
        </w:tc>
        <w:tc>
          <w:tcPr>
            <w:tcW w:w="6836" w:type="dxa"/>
            <w:tcBorders>
              <w:top w:val="single" w:color="auto" w:sz="4" w:space="0"/>
              <w:left w:val="single" w:color="auto" w:sz="4" w:space="0"/>
              <w:bottom w:val="single" w:color="auto" w:sz="4" w:space="0"/>
              <w:right w:val="single" w:color="auto" w:sz="4" w:space="0"/>
            </w:tcBorders>
            <w:vAlign w:val="center"/>
          </w:tcPr>
          <w:p w14:paraId="02B85D71">
            <w:pPr>
              <w:spacing w:line="0" w:lineRule="atLeast"/>
              <w:ind w:firstLine="482"/>
              <w:rPr>
                <w:rFonts w:ascii="宋体" w:hAnsi="宋体" w:cs="宋体"/>
                <w:sz w:val="24"/>
              </w:rPr>
            </w:pPr>
          </w:p>
        </w:tc>
      </w:tr>
    </w:tbl>
    <w:p w14:paraId="1CAD5622">
      <w:pPr>
        <w:widowControl/>
        <w:adjustRightInd w:val="0"/>
        <w:spacing w:line="165" w:lineRule="atLeast"/>
        <w:ind w:firstLine="482"/>
        <w:jc w:val="left"/>
        <w:rPr>
          <w:rFonts w:ascii="宋体" w:hAnsi="宋体" w:cs="宋体"/>
          <w:kern w:val="0"/>
          <w:sz w:val="24"/>
        </w:rPr>
      </w:pPr>
    </w:p>
    <w:p w14:paraId="71AD810D">
      <w:pPr>
        <w:widowControl/>
        <w:adjustRightInd w:val="0"/>
        <w:spacing w:line="360" w:lineRule="auto"/>
        <w:ind w:firstLine="482"/>
        <w:jc w:val="left"/>
        <w:rPr>
          <w:rFonts w:ascii="宋体" w:hAnsi="宋体" w:cs="宋体"/>
          <w:kern w:val="0"/>
          <w:sz w:val="24"/>
        </w:rPr>
      </w:pPr>
      <w:r>
        <w:rPr>
          <w:rFonts w:hint="eastAsia" w:ascii="宋体" w:hAnsi="宋体" w:cs="宋体"/>
          <w:kern w:val="0"/>
          <w:sz w:val="24"/>
        </w:rPr>
        <w:t>供应商：（电子签章）</w:t>
      </w:r>
    </w:p>
    <w:p w14:paraId="4CC3120A">
      <w:pPr>
        <w:widowControl/>
        <w:adjustRightInd w:val="0"/>
        <w:spacing w:line="360" w:lineRule="auto"/>
        <w:ind w:firstLine="482"/>
        <w:jc w:val="left"/>
        <w:rPr>
          <w:rFonts w:ascii="宋体" w:hAnsi="宋体" w:cs="宋体"/>
          <w:kern w:val="0"/>
          <w:sz w:val="24"/>
        </w:rPr>
      </w:pPr>
      <w:r>
        <w:rPr>
          <w:rFonts w:hint="eastAsia" w:ascii="宋体" w:hAnsi="宋体" w:cs="宋体"/>
          <w:kern w:val="0"/>
          <w:sz w:val="24"/>
        </w:rPr>
        <w:t>法定代表人或其委托代理人：（电子签章）</w:t>
      </w:r>
    </w:p>
    <w:p w14:paraId="023DC801">
      <w:pPr>
        <w:widowControl/>
        <w:adjustRightInd w:val="0"/>
        <w:spacing w:line="360" w:lineRule="auto"/>
        <w:ind w:firstLine="482"/>
        <w:jc w:val="left"/>
        <w:rPr>
          <w:rFonts w:ascii="宋体" w:hAnsi="宋体" w:cs="宋体"/>
          <w:kern w:val="0"/>
          <w:sz w:val="22"/>
          <w:szCs w:val="22"/>
        </w:rPr>
      </w:pPr>
      <w:r>
        <w:rPr>
          <w:rFonts w:hint="eastAsia" w:ascii="宋体" w:hAnsi="宋体" w:cs="宋体"/>
          <w:kern w:val="0"/>
          <w:sz w:val="24"/>
        </w:rPr>
        <w:t>日期：  年  月  日</w:t>
      </w:r>
    </w:p>
    <w:p w14:paraId="26723F00">
      <w:pPr>
        <w:rPr>
          <w:rFonts w:ascii="宋体" w:hAnsi="宋体" w:cs="宋体"/>
          <w:b/>
          <w:bCs/>
          <w:color w:val="000000"/>
          <w:kern w:val="10"/>
          <w:sz w:val="28"/>
          <w:szCs w:val="28"/>
        </w:rPr>
      </w:pPr>
      <w:r>
        <w:rPr>
          <w:rFonts w:hint="eastAsia" w:ascii="宋体" w:hAnsi="宋体" w:cs="宋体"/>
          <w:b/>
          <w:bCs/>
          <w:color w:val="000000"/>
          <w:kern w:val="10"/>
          <w:sz w:val="28"/>
          <w:szCs w:val="28"/>
        </w:rPr>
        <w:br w:type="page"/>
      </w:r>
    </w:p>
    <w:p w14:paraId="732DABA0">
      <w:pPr>
        <w:rPr>
          <w:rFonts w:ascii="宋体" w:hAnsi="宋体" w:cs="宋体"/>
          <w:b/>
          <w:bCs/>
          <w:color w:val="000000"/>
          <w:kern w:val="10"/>
          <w:sz w:val="28"/>
          <w:szCs w:val="28"/>
        </w:rPr>
      </w:pPr>
    </w:p>
    <w:p w14:paraId="50B7579C">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二、法定代表人身份证明及授权委托书</w:t>
      </w:r>
      <w:bookmarkEnd w:id="106"/>
      <w:bookmarkEnd w:id="107"/>
      <w:bookmarkEnd w:id="108"/>
      <w:bookmarkEnd w:id="109"/>
      <w:bookmarkEnd w:id="110"/>
      <w:bookmarkEnd w:id="111"/>
      <w:bookmarkEnd w:id="112"/>
      <w:bookmarkEnd w:id="113"/>
      <w:bookmarkEnd w:id="114"/>
      <w:bookmarkEnd w:id="115"/>
      <w:bookmarkEnd w:id="116"/>
      <w:bookmarkEnd w:id="117"/>
      <w:bookmarkStart w:id="118" w:name="_Toc234382962"/>
    </w:p>
    <w:p w14:paraId="38DDD25A">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（一）法定代表人身份证明</w:t>
      </w:r>
      <w:bookmarkEnd w:id="118"/>
    </w:p>
    <w:p w14:paraId="6590811D">
      <w:pPr>
        <w:spacing w:line="360" w:lineRule="auto"/>
        <w:rPr>
          <w:rFonts w:ascii="宋体" w:hAnsi="宋体" w:cs="宋体"/>
          <w:color w:val="000000"/>
          <w:kern w:val="10"/>
          <w:sz w:val="24"/>
        </w:rPr>
      </w:pPr>
    </w:p>
    <w:p w14:paraId="13777647">
      <w:pPr>
        <w:spacing w:line="360" w:lineRule="auto"/>
        <w:rPr>
          <w:rFonts w:ascii="宋体" w:hAnsi="宋体" w:cs="宋体"/>
          <w:color w:val="000000"/>
          <w:kern w:val="10"/>
          <w:sz w:val="24"/>
        </w:rPr>
      </w:pPr>
      <w:r>
        <w:rPr>
          <w:rFonts w:hint="eastAsia" w:ascii="宋体" w:hAnsi="宋体" w:cs="宋体"/>
          <w:color w:val="000000"/>
          <w:kern w:val="10"/>
          <w:sz w:val="24"/>
        </w:rPr>
        <w:t>供应商名称：</w:t>
      </w:r>
      <w:r>
        <w:rPr>
          <w:rFonts w:hint="eastAsia" w:ascii="宋体" w:hAnsi="宋体" w:cs="宋体"/>
          <w:color w:val="000000"/>
          <w:kern w:val="10"/>
          <w:sz w:val="24"/>
          <w:u w:val="single"/>
        </w:rPr>
        <w:t xml:space="preserve">                        </w:t>
      </w:r>
    </w:p>
    <w:p w14:paraId="1A9B4163">
      <w:pPr>
        <w:spacing w:line="360" w:lineRule="auto"/>
        <w:rPr>
          <w:rFonts w:ascii="宋体" w:hAnsi="宋体" w:cs="宋体"/>
          <w:color w:val="000000"/>
          <w:kern w:val="10"/>
          <w:sz w:val="24"/>
        </w:rPr>
      </w:pPr>
      <w:r>
        <w:rPr>
          <w:rFonts w:hint="eastAsia" w:ascii="宋体" w:hAnsi="宋体" w:cs="宋体"/>
          <w:color w:val="000000"/>
          <w:kern w:val="10"/>
          <w:sz w:val="24"/>
        </w:rPr>
        <w:t>单位性质：</w:t>
      </w:r>
      <w:r>
        <w:rPr>
          <w:rFonts w:hint="eastAsia" w:ascii="宋体" w:hAnsi="宋体" w:cs="宋体"/>
          <w:color w:val="000000"/>
          <w:kern w:val="10"/>
          <w:sz w:val="24"/>
          <w:u w:val="single"/>
        </w:rPr>
        <w:t xml:space="preserve">                        </w:t>
      </w:r>
    </w:p>
    <w:p w14:paraId="491E8AE4">
      <w:pPr>
        <w:spacing w:line="360" w:lineRule="auto"/>
        <w:rPr>
          <w:rFonts w:ascii="宋体" w:hAnsi="宋体" w:cs="宋体"/>
          <w:color w:val="000000"/>
          <w:kern w:val="10"/>
          <w:sz w:val="24"/>
        </w:rPr>
      </w:pPr>
      <w:r>
        <w:rPr>
          <w:rFonts w:hint="eastAsia" w:ascii="宋体" w:hAnsi="宋体" w:cs="宋体"/>
          <w:color w:val="000000"/>
          <w:kern w:val="10"/>
          <w:sz w:val="24"/>
        </w:rPr>
        <w:t>地址：</w:t>
      </w:r>
      <w:r>
        <w:rPr>
          <w:rFonts w:hint="eastAsia" w:ascii="宋体" w:hAnsi="宋体" w:cs="宋体"/>
          <w:color w:val="000000"/>
          <w:kern w:val="10"/>
          <w:sz w:val="24"/>
          <w:u w:val="single"/>
        </w:rPr>
        <w:t xml:space="preserve">                        </w:t>
      </w:r>
    </w:p>
    <w:p w14:paraId="432F638A">
      <w:pPr>
        <w:spacing w:line="360" w:lineRule="auto"/>
        <w:rPr>
          <w:rFonts w:ascii="宋体" w:hAnsi="宋体" w:cs="宋体"/>
          <w:color w:val="000000"/>
          <w:kern w:val="10"/>
          <w:sz w:val="24"/>
        </w:rPr>
      </w:pPr>
      <w:r>
        <w:rPr>
          <w:rFonts w:hint="eastAsia" w:ascii="宋体" w:hAnsi="宋体" w:cs="宋体"/>
          <w:color w:val="000000"/>
          <w:kern w:val="10"/>
          <w:sz w:val="24"/>
        </w:rPr>
        <w:t>成立时间：</w:t>
      </w:r>
      <w:r>
        <w:rPr>
          <w:rFonts w:hint="eastAsia" w:ascii="宋体" w:hAnsi="宋体" w:cs="宋体"/>
          <w:color w:val="000000"/>
          <w:kern w:val="10"/>
          <w:sz w:val="24"/>
          <w:u w:val="single"/>
        </w:rPr>
        <w:t xml:space="preserve">        年      月      日</w:t>
      </w:r>
    </w:p>
    <w:p w14:paraId="32F98311">
      <w:pPr>
        <w:spacing w:line="360" w:lineRule="auto"/>
        <w:rPr>
          <w:rFonts w:ascii="宋体" w:hAnsi="宋体" w:cs="宋体"/>
          <w:color w:val="000000"/>
          <w:kern w:val="10"/>
          <w:sz w:val="24"/>
        </w:rPr>
      </w:pPr>
      <w:r>
        <w:rPr>
          <w:rFonts w:hint="eastAsia" w:ascii="宋体" w:hAnsi="宋体" w:cs="宋体"/>
          <w:color w:val="000000"/>
          <w:kern w:val="10"/>
          <w:sz w:val="24"/>
        </w:rPr>
        <w:t>经营期限：</w:t>
      </w:r>
      <w:r>
        <w:rPr>
          <w:rFonts w:hint="eastAsia" w:ascii="宋体" w:hAnsi="宋体" w:cs="宋体"/>
          <w:color w:val="000000"/>
          <w:kern w:val="10"/>
          <w:sz w:val="24"/>
          <w:u w:val="single"/>
        </w:rPr>
        <w:t xml:space="preserve">          </w:t>
      </w:r>
    </w:p>
    <w:p w14:paraId="05C02660">
      <w:pPr>
        <w:spacing w:line="360" w:lineRule="auto"/>
        <w:rPr>
          <w:rFonts w:ascii="宋体" w:hAnsi="宋体" w:cs="宋体"/>
          <w:color w:val="000000"/>
          <w:kern w:val="10"/>
          <w:sz w:val="24"/>
        </w:rPr>
      </w:pPr>
      <w:r>
        <w:rPr>
          <w:rFonts w:hint="eastAsia" w:ascii="宋体" w:hAnsi="宋体" w:cs="宋体"/>
          <w:color w:val="000000"/>
          <w:kern w:val="10"/>
          <w:sz w:val="24"/>
        </w:rPr>
        <w:t>姓名：</w:t>
      </w:r>
      <w:r>
        <w:rPr>
          <w:rFonts w:hint="eastAsia" w:ascii="宋体" w:hAnsi="宋体" w:cs="宋体"/>
          <w:color w:val="000000"/>
          <w:kern w:val="10"/>
          <w:sz w:val="24"/>
          <w:u w:val="single"/>
        </w:rPr>
        <w:t xml:space="preserve">                     </w:t>
      </w:r>
      <w:r>
        <w:rPr>
          <w:rFonts w:hint="eastAsia" w:ascii="宋体" w:hAnsi="宋体" w:cs="宋体"/>
          <w:color w:val="000000"/>
          <w:kern w:val="10"/>
          <w:sz w:val="24"/>
        </w:rPr>
        <w:t>性别：</w:t>
      </w:r>
      <w:r>
        <w:rPr>
          <w:rFonts w:hint="eastAsia" w:ascii="宋体" w:hAnsi="宋体" w:cs="宋体"/>
          <w:color w:val="000000"/>
          <w:kern w:val="10"/>
          <w:sz w:val="24"/>
          <w:u w:val="single"/>
        </w:rPr>
        <w:t xml:space="preserve">        </w:t>
      </w:r>
      <w:r>
        <w:rPr>
          <w:rFonts w:hint="eastAsia" w:ascii="宋体" w:hAnsi="宋体" w:cs="宋体"/>
          <w:color w:val="000000"/>
          <w:kern w:val="10"/>
          <w:sz w:val="24"/>
        </w:rPr>
        <w:t>年龄：</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职务：</w:t>
      </w:r>
      <w:r>
        <w:rPr>
          <w:rFonts w:hint="eastAsia" w:ascii="宋体" w:hAnsi="宋体" w:cs="宋体"/>
          <w:color w:val="000000"/>
          <w:kern w:val="10"/>
          <w:sz w:val="24"/>
          <w:u w:val="single"/>
        </w:rPr>
        <w:t xml:space="preserve">          </w:t>
      </w:r>
    </w:p>
    <w:p w14:paraId="22794930">
      <w:pPr>
        <w:spacing w:line="360" w:lineRule="auto"/>
        <w:rPr>
          <w:rFonts w:ascii="宋体" w:hAnsi="宋体" w:cs="宋体"/>
          <w:color w:val="000000"/>
          <w:kern w:val="10"/>
          <w:sz w:val="24"/>
        </w:rPr>
      </w:pPr>
      <w:r>
        <w:rPr>
          <w:rFonts w:hint="eastAsia" w:ascii="宋体" w:hAnsi="宋体" w:cs="宋体"/>
          <w:color w:val="000000"/>
          <w:kern w:val="10"/>
          <w:sz w:val="24"/>
        </w:rPr>
        <w:t>系</w:t>
      </w:r>
      <w:r>
        <w:rPr>
          <w:rFonts w:hint="eastAsia" w:ascii="宋体" w:hAnsi="宋体" w:cs="宋体"/>
          <w:color w:val="000000"/>
          <w:kern w:val="10"/>
          <w:sz w:val="24"/>
          <w:u w:val="single"/>
        </w:rPr>
        <w:t xml:space="preserve">                   </w:t>
      </w:r>
      <w:r>
        <w:rPr>
          <w:rFonts w:hint="eastAsia" w:ascii="宋体" w:hAnsi="宋体" w:cs="宋体"/>
          <w:color w:val="000000"/>
          <w:kern w:val="10"/>
          <w:sz w:val="24"/>
        </w:rPr>
        <w:t>（供应商名称）的法定代表人。</w:t>
      </w:r>
    </w:p>
    <w:p w14:paraId="2F2DD742">
      <w:pPr>
        <w:spacing w:line="360" w:lineRule="auto"/>
        <w:rPr>
          <w:rFonts w:ascii="宋体" w:hAnsi="宋体" w:cs="宋体"/>
          <w:color w:val="000000"/>
          <w:kern w:val="10"/>
          <w:sz w:val="24"/>
        </w:rPr>
      </w:pPr>
      <w:r>
        <w:rPr>
          <w:rFonts w:hint="eastAsia" w:ascii="宋体" w:hAnsi="宋体" w:cs="宋体"/>
          <w:color w:val="000000"/>
          <w:kern w:val="10"/>
          <w:sz w:val="24"/>
        </w:rPr>
        <w:t xml:space="preserve">    特此证明。</w:t>
      </w:r>
    </w:p>
    <w:p w14:paraId="5E321E04">
      <w:pPr>
        <w:spacing w:line="360" w:lineRule="auto"/>
        <w:rPr>
          <w:rFonts w:ascii="宋体" w:hAnsi="宋体" w:cs="宋体"/>
          <w:color w:val="000000"/>
          <w:kern w:val="10"/>
          <w:sz w:val="24"/>
        </w:rPr>
      </w:pPr>
      <w:r>
        <w:rPr>
          <w:rFonts w:hint="eastAsia" w:ascii="宋体" w:hAnsi="宋体" w:cs="宋体"/>
          <w:color w:val="000000"/>
          <w:kern w:val="10"/>
          <w:sz w:val="24"/>
        </w:rPr>
        <w:t xml:space="preserve">                                     </w:t>
      </w:r>
    </w:p>
    <w:p w14:paraId="2CF73864">
      <w:pPr>
        <w:spacing w:line="360" w:lineRule="auto"/>
        <w:rPr>
          <w:rFonts w:ascii="宋体" w:hAnsi="宋体" w:cs="宋体"/>
          <w:color w:val="000000"/>
          <w:kern w:val="10"/>
          <w:sz w:val="24"/>
        </w:rPr>
      </w:pPr>
    </w:p>
    <w:p w14:paraId="1DD6C55C">
      <w:pPr>
        <w:spacing w:line="360" w:lineRule="auto"/>
        <w:jc w:val="right"/>
        <w:rPr>
          <w:rFonts w:ascii="宋体" w:hAnsi="宋体" w:cs="宋体"/>
          <w:color w:val="000000"/>
          <w:kern w:val="10"/>
          <w:sz w:val="24"/>
        </w:rPr>
      </w:pPr>
      <w:r>
        <w:rPr>
          <w:rFonts w:hint="eastAsia" w:ascii="宋体" w:hAnsi="宋体" w:cs="宋体"/>
          <w:color w:val="000000"/>
          <w:kern w:val="10"/>
          <w:sz w:val="24"/>
        </w:rPr>
        <w:t xml:space="preserve">     供应商：</w:t>
      </w:r>
      <w:r>
        <w:rPr>
          <w:rFonts w:hint="eastAsia" w:ascii="宋体" w:hAnsi="宋体" w:cs="宋体"/>
          <w:color w:val="000000"/>
          <w:kern w:val="10"/>
          <w:sz w:val="24"/>
          <w:u w:val="single"/>
        </w:rPr>
        <w:t xml:space="preserve">          （电子签章）      </w:t>
      </w:r>
      <w:r>
        <w:rPr>
          <w:rFonts w:hint="eastAsia" w:ascii="宋体" w:hAnsi="宋体" w:cs="宋体"/>
          <w:color w:val="000000"/>
          <w:kern w:val="10"/>
          <w:sz w:val="24"/>
        </w:rPr>
        <w:t xml:space="preserve"> </w:t>
      </w:r>
    </w:p>
    <w:p w14:paraId="482D287C">
      <w:pPr>
        <w:spacing w:line="360" w:lineRule="auto"/>
        <w:rPr>
          <w:rFonts w:ascii="宋体" w:hAnsi="宋体" w:cs="宋体"/>
          <w:color w:val="000000"/>
          <w:kern w:val="10"/>
          <w:sz w:val="24"/>
        </w:rPr>
      </w:pPr>
    </w:p>
    <w:p w14:paraId="2485F79C">
      <w:pPr>
        <w:spacing w:line="360" w:lineRule="auto"/>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7828C26C">
      <w:pPr>
        <w:spacing w:line="360" w:lineRule="auto"/>
        <w:rPr>
          <w:rFonts w:ascii="宋体" w:hAnsi="宋体" w:cs="宋体"/>
          <w:color w:val="000000"/>
          <w:kern w:val="10"/>
          <w:sz w:val="24"/>
        </w:rPr>
      </w:pPr>
    </w:p>
    <w:p w14:paraId="36DC78E5">
      <w:pPr>
        <w:spacing w:line="360" w:lineRule="auto"/>
        <w:rPr>
          <w:rFonts w:ascii="宋体" w:hAnsi="宋体" w:cs="宋体"/>
          <w:color w:val="000000"/>
          <w:kern w:val="10"/>
          <w:sz w:val="24"/>
        </w:rPr>
      </w:pPr>
    </w:p>
    <w:p w14:paraId="5FB91BF2">
      <w:pPr>
        <w:spacing w:line="360" w:lineRule="auto"/>
        <w:rPr>
          <w:rFonts w:ascii="宋体" w:hAnsi="宋体" w:cs="宋体"/>
          <w:color w:val="000000"/>
          <w:kern w:val="10"/>
          <w:sz w:val="24"/>
        </w:rPr>
      </w:pPr>
      <w:r>
        <w:rPr>
          <w:rFonts w:hint="eastAsia" w:ascii="宋体" w:hAnsi="宋体" w:cs="宋体"/>
          <w:color w:val="000000"/>
          <w:sz w:val="24"/>
        </w:rPr>
        <w:t>附：法定代表人身份证复印件或扫描件</w:t>
      </w:r>
    </w:p>
    <w:p w14:paraId="54849E8C">
      <w:pPr>
        <w:spacing w:line="360" w:lineRule="auto"/>
        <w:rPr>
          <w:rFonts w:ascii="宋体" w:hAnsi="宋体" w:cs="宋体"/>
          <w:color w:val="000000"/>
          <w:kern w:val="10"/>
          <w:sz w:val="24"/>
        </w:rPr>
      </w:pPr>
    </w:p>
    <w:p w14:paraId="0F39AE0E">
      <w:pPr>
        <w:spacing w:line="360" w:lineRule="auto"/>
        <w:rPr>
          <w:rFonts w:ascii="宋体" w:hAnsi="宋体" w:cs="宋体"/>
          <w:color w:val="000000"/>
          <w:kern w:val="10"/>
          <w:sz w:val="24"/>
        </w:rPr>
      </w:pPr>
    </w:p>
    <w:p w14:paraId="29E0B384">
      <w:pPr>
        <w:rPr>
          <w:rFonts w:ascii="宋体" w:hAnsi="宋体" w:cs="宋体"/>
          <w:color w:val="000000"/>
          <w:kern w:val="10"/>
          <w:sz w:val="24"/>
        </w:rPr>
      </w:pPr>
      <w:r>
        <w:rPr>
          <w:rFonts w:ascii="宋体" w:hAnsi="宋体" w:cs="宋体"/>
          <w:color w:val="000000"/>
          <w:kern w:val="10"/>
          <w:sz w:val="24"/>
        </w:rPr>
        <w:br w:type="page"/>
      </w:r>
    </w:p>
    <w:p w14:paraId="531CB00D">
      <w:pPr>
        <w:spacing w:line="360" w:lineRule="auto"/>
        <w:rPr>
          <w:rFonts w:ascii="宋体" w:hAnsi="宋体" w:cs="宋体"/>
          <w:color w:val="000000"/>
          <w:kern w:val="10"/>
          <w:sz w:val="24"/>
        </w:rPr>
      </w:pPr>
    </w:p>
    <w:p w14:paraId="19C942F6">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（二）授权委托书</w:t>
      </w:r>
    </w:p>
    <w:p w14:paraId="7148748C">
      <w:pPr>
        <w:spacing w:line="360" w:lineRule="auto"/>
        <w:rPr>
          <w:rFonts w:ascii="宋体" w:hAnsi="宋体" w:cs="宋体"/>
          <w:color w:val="000000"/>
          <w:kern w:val="10"/>
          <w:sz w:val="24"/>
        </w:rPr>
      </w:pPr>
    </w:p>
    <w:p w14:paraId="72DD3928">
      <w:pPr>
        <w:spacing w:line="500" w:lineRule="exact"/>
        <w:ind w:firstLine="480" w:firstLineChars="200"/>
        <w:rPr>
          <w:rFonts w:ascii="宋体" w:hAnsi="宋体" w:cs="宋体"/>
          <w:color w:val="000000"/>
          <w:sz w:val="24"/>
        </w:rPr>
      </w:pPr>
      <w:r>
        <w:rPr>
          <w:rFonts w:hint="eastAsia" w:ascii="宋体" w:hAnsi="宋体" w:cs="宋体"/>
          <w:color w:val="000000"/>
          <w:sz w:val="24"/>
        </w:rPr>
        <w:t>本人</w:t>
      </w:r>
      <w:r>
        <w:rPr>
          <w:rFonts w:hint="eastAsia" w:ascii="宋体" w:hAnsi="宋体" w:cs="宋体"/>
          <w:color w:val="000000"/>
          <w:sz w:val="24"/>
          <w:u w:val="single"/>
        </w:rPr>
        <w:t xml:space="preserve">           </w:t>
      </w:r>
      <w:r>
        <w:rPr>
          <w:rFonts w:hint="eastAsia" w:ascii="宋体" w:hAnsi="宋体" w:cs="宋体"/>
          <w:color w:val="000000"/>
          <w:sz w:val="24"/>
        </w:rPr>
        <w:t>（姓名）系</w:t>
      </w:r>
      <w:r>
        <w:rPr>
          <w:rFonts w:hint="eastAsia" w:ascii="宋体" w:hAnsi="宋体" w:cs="宋体"/>
          <w:color w:val="000000"/>
          <w:sz w:val="24"/>
          <w:u w:val="single"/>
        </w:rPr>
        <w:t xml:space="preserve">                          </w:t>
      </w:r>
      <w:r>
        <w:rPr>
          <w:rFonts w:hint="eastAsia" w:ascii="宋体" w:hAnsi="宋体" w:cs="宋体"/>
          <w:color w:val="000000"/>
          <w:sz w:val="24"/>
        </w:rPr>
        <w:t>（供应商名称）的法定代表人，现委托</w:t>
      </w:r>
      <w:r>
        <w:rPr>
          <w:rFonts w:hint="eastAsia" w:ascii="宋体" w:hAnsi="宋体" w:cs="宋体"/>
          <w:color w:val="000000"/>
          <w:sz w:val="24"/>
          <w:u w:val="single"/>
        </w:rPr>
        <w:t xml:space="preserve">             </w:t>
      </w:r>
      <w:r>
        <w:rPr>
          <w:rFonts w:hint="eastAsia" w:ascii="宋体" w:hAnsi="宋体" w:cs="宋体"/>
          <w:color w:val="000000"/>
          <w:sz w:val="24"/>
        </w:rPr>
        <w:t>（姓名）为我方代理人。代理人根据授权，以我方名义签署、澄清、递交、撤回、修改</w:t>
      </w:r>
      <w:r>
        <w:rPr>
          <w:rFonts w:hint="eastAsia" w:ascii="宋体" w:hAnsi="宋体" w:cs="宋体"/>
          <w:color w:val="000000"/>
          <w:sz w:val="24"/>
          <w:u w:val="single"/>
        </w:rPr>
        <w:t xml:space="preserve">           </w:t>
      </w:r>
      <w:r>
        <w:rPr>
          <w:rFonts w:hint="eastAsia" w:ascii="宋体" w:hAnsi="宋体" w:cs="宋体"/>
          <w:color w:val="000000"/>
          <w:sz w:val="24"/>
        </w:rPr>
        <w:t>（项目名称）投标文件、签订合同和处理有关事宜，其法律后果由我方承担。</w:t>
      </w:r>
    </w:p>
    <w:p w14:paraId="0961F6B6">
      <w:pPr>
        <w:spacing w:line="500" w:lineRule="exact"/>
        <w:ind w:firstLine="480" w:firstLineChars="200"/>
        <w:rPr>
          <w:rFonts w:ascii="宋体" w:hAnsi="宋体" w:cs="宋体"/>
          <w:color w:val="000000"/>
          <w:sz w:val="24"/>
        </w:rPr>
      </w:pPr>
      <w:r>
        <w:rPr>
          <w:rFonts w:hint="eastAsia" w:ascii="宋体" w:hAnsi="宋体" w:cs="宋体"/>
          <w:color w:val="000000"/>
          <w:sz w:val="24"/>
        </w:rPr>
        <w:t>委托期限：</w:t>
      </w:r>
      <w:r>
        <w:rPr>
          <w:rFonts w:hint="eastAsia" w:ascii="宋体" w:hAnsi="宋体" w:cs="宋体"/>
          <w:color w:val="000000"/>
          <w:sz w:val="24"/>
          <w:u w:val="single"/>
        </w:rPr>
        <w:t xml:space="preserve">          </w:t>
      </w:r>
      <w:r>
        <w:rPr>
          <w:rFonts w:hint="eastAsia" w:ascii="宋体" w:hAnsi="宋体" w:cs="宋体"/>
          <w:color w:val="000000"/>
          <w:sz w:val="24"/>
        </w:rPr>
        <w:t>。</w:t>
      </w:r>
    </w:p>
    <w:p w14:paraId="5F05B434">
      <w:pPr>
        <w:spacing w:line="500" w:lineRule="exact"/>
        <w:ind w:firstLine="480" w:firstLineChars="200"/>
        <w:rPr>
          <w:rFonts w:ascii="宋体" w:hAnsi="宋体" w:cs="宋体"/>
          <w:color w:val="000000"/>
          <w:sz w:val="24"/>
        </w:rPr>
      </w:pPr>
      <w:r>
        <w:rPr>
          <w:rFonts w:hint="eastAsia" w:ascii="宋体" w:hAnsi="宋体" w:cs="宋体"/>
          <w:color w:val="000000"/>
          <w:sz w:val="24"/>
        </w:rPr>
        <w:t xml:space="preserve">代理人无转委托权。 </w:t>
      </w:r>
    </w:p>
    <w:p w14:paraId="6F52DB3A">
      <w:pPr>
        <w:spacing w:line="500" w:lineRule="exact"/>
        <w:ind w:firstLine="480" w:firstLineChars="200"/>
        <w:rPr>
          <w:rFonts w:ascii="宋体" w:hAnsi="宋体" w:cs="宋体"/>
          <w:color w:val="000000"/>
          <w:sz w:val="24"/>
        </w:rPr>
      </w:pPr>
      <w:r>
        <w:rPr>
          <w:rFonts w:hint="eastAsia" w:ascii="宋体" w:hAnsi="宋体" w:cs="宋体"/>
          <w:color w:val="000000"/>
          <w:sz w:val="24"/>
        </w:rPr>
        <w:t>附：委托代理人身份证扫描件正反面</w:t>
      </w:r>
    </w:p>
    <w:p w14:paraId="69DF10CB">
      <w:pPr>
        <w:spacing w:line="500" w:lineRule="exact"/>
        <w:rPr>
          <w:rFonts w:ascii="宋体" w:hAnsi="宋体" w:cs="宋体"/>
          <w:color w:val="000000"/>
          <w:sz w:val="24"/>
        </w:rPr>
      </w:pPr>
    </w:p>
    <w:p w14:paraId="6AF0AB81">
      <w:pPr>
        <w:spacing w:line="500" w:lineRule="exact"/>
        <w:rPr>
          <w:rFonts w:ascii="宋体" w:hAnsi="宋体" w:cs="宋体"/>
          <w:color w:val="000000"/>
          <w:sz w:val="24"/>
        </w:rPr>
      </w:pPr>
    </w:p>
    <w:p w14:paraId="25C5DE64">
      <w:pPr>
        <w:spacing w:line="500" w:lineRule="exact"/>
        <w:rPr>
          <w:rFonts w:ascii="宋体" w:hAnsi="宋体" w:cs="宋体"/>
          <w:color w:val="000000"/>
          <w:sz w:val="24"/>
        </w:rPr>
      </w:pPr>
      <w:r>
        <w:rPr>
          <w:rFonts w:hint="eastAsia" w:ascii="宋体" w:hAnsi="宋体" w:cs="宋体"/>
          <w:color w:val="000000"/>
          <w:sz w:val="24"/>
        </w:rPr>
        <w:t xml:space="preserve">                                供应商：</w:t>
      </w:r>
      <w:r>
        <w:rPr>
          <w:rFonts w:hint="eastAsia" w:ascii="宋体" w:hAnsi="宋体" w:cs="宋体"/>
          <w:color w:val="000000"/>
          <w:sz w:val="24"/>
          <w:u w:val="single"/>
        </w:rPr>
        <w:t xml:space="preserve">                   </w:t>
      </w:r>
      <w:r>
        <w:rPr>
          <w:rFonts w:hint="eastAsia" w:ascii="宋体" w:hAnsi="宋体" w:cs="宋体"/>
          <w:color w:val="000000"/>
          <w:sz w:val="24"/>
        </w:rPr>
        <w:t>（盖单位章）</w:t>
      </w:r>
    </w:p>
    <w:p w14:paraId="1862620C">
      <w:pPr>
        <w:spacing w:line="500" w:lineRule="exact"/>
        <w:rPr>
          <w:rFonts w:ascii="宋体" w:hAnsi="宋体" w:cs="宋体"/>
          <w:color w:val="000000"/>
          <w:sz w:val="24"/>
        </w:rPr>
      </w:pPr>
      <w:r>
        <w:rPr>
          <w:rFonts w:hint="eastAsia" w:ascii="宋体" w:hAnsi="宋体" w:cs="宋体"/>
          <w:color w:val="000000"/>
          <w:sz w:val="24"/>
        </w:rPr>
        <w:t xml:space="preserve">                                法定代表人：</w:t>
      </w:r>
      <w:r>
        <w:rPr>
          <w:rFonts w:hint="eastAsia" w:ascii="宋体" w:hAnsi="宋体" w:cs="宋体"/>
          <w:color w:val="000000"/>
          <w:sz w:val="24"/>
          <w:u w:val="single"/>
        </w:rPr>
        <w:t xml:space="preserve">                    </w:t>
      </w:r>
      <w:r>
        <w:rPr>
          <w:rFonts w:hint="eastAsia" w:ascii="宋体" w:hAnsi="宋体" w:cs="宋体"/>
          <w:color w:val="000000"/>
          <w:sz w:val="24"/>
        </w:rPr>
        <w:t>（电子签章）</w:t>
      </w:r>
    </w:p>
    <w:p w14:paraId="1931B452">
      <w:pPr>
        <w:spacing w:line="440" w:lineRule="exact"/>
        <w:ind w:firstLine="2700" w:firstLineChars="1125"/>
        <w:rPr>
          <w:rFonts w:ascii="宋体" w:hAnsi="宋体" w:cs="宋体"/>
          <w:color w:val="000000"/>
          <w:sz w:val="24"/>
        </w:rPr>
      </w:pPr>
      <w:r>
        <w:rPr>
          <w:rFonts w:hint="eastAsia" w:ascii="宋体" w:hAnsi="宋体" w:cs="宋体"/>
          <w:color w:val="000000"/>
          <w:sz w:val="24"/>
        </w:rPr>
        <w:t xml:space="preserve">          </w:t>
      </w:r>
      <w:r>
        <w:rPr>
          <w:rFonts w:hint="eastAsia" w:ascii="宋体" w:hAnsi="宋体"/>
          <w:kern w:val="1"/>
          <w:sz w:val="24"/>
        </w:rPr>
        <w:t>委托代理人：</w:t>
      </w:r>
      <w:r>
        <w:rPr>
          <w:rFonts w:hint="eastAsia" w:ascii="宋体" w:hAnsi="宋体"/>
          <w:kern w:val="1"/>
          <w:sz w:val="24"/>
          <w:u w:val="single"/>
        </w:rPr>
        <w:t xml:space="preserve">                   </w:t>
      </w:r>
      <w:r>
        <w:rPr>
          <w:rFonts w:hint="eastAsia" w:ascii="宋体" w:hAnsi="宋体"/>
          <w:kern w:val="1"/>
          <w:sz w:val="24"/>
        </w:rPr>
        <w:t>（签字）</w:t>
      </w:r>
    </w:p>
    <w:p w14:paraId="2C099F1A">
      <w:pPr>
        <w:spacing w:line="440" w:lineRule="exact"/>
        <w:ind w:firstLine="3900" w:firstLineChars="1625"/>
        <w:rPr>
          <w:sz w:val="24"/>
        </w:rPr>
      </w:pPr>
      <w:r>
        <w:rPr>
          <w:rFonts w:hint="eastAsia"/>
          <w:sz w:val="24"/>
        </w:rPr>
        <w:t>联系电话：</w:t>
      </w:r>
    </w:p>
    <w:p w14:paraId="4B15DFB6">
      <w:pPr>
        <w:spacing w:line="500" w:lineRule="exact"/>
        <w:rPr>
          <w:rFonts w:ascii="宋体" w:hAnsi="宋体" w:cs="宋体"/>
          <w:color w:val="000000"/>
          <w:sz w:val="24"/>
        </w:rPr>
      </w:pPr>
    </w:p>
    <w:p w14:paraId="4714E5AA">
      <w:pPr>
        <w:autoSpaceDE w:val="0"/>
        <w:autoSpaceDN w:val="0"/>
        <w:spacing w:line="560" w:lineRule="exact"/>
        <w:rPr>
          <w:rFonts w:ascii="宋体" w:hAnsi="宋体" w:cs="宋体"/>
          <w:b/>
          <w:bCs/>
          <w:color w:val="000000"/>
          <w:sz w:val="44"/>
          <w:szCs w:val="44"/>
          <w:lang w:val="zh-CN"/>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32FB9F3">
      <w:pPr>
        <w:spacing w:line="360" w:lineRule="auto"/>
        <w:rPr>
          <w:rFonts w:ascii="宋体" w:hAnsi="宋体" w:cs="宋体"/>
          <w:color w:val="000000"/>
          <w:kern w:val="10"/>
          <w:sz w:val="24"/>
        </w:rPr>
      </w:pPr>
    </w:p>
    <w:p w14:paraId="17B80BA1">
      <w:pPr>
        <w:spacing w:line="360" w:lineRule="auto"/>
        <w:rPr>
          <w:rFonts w:ascii="宋体" w:hAnsi="宋体" w:cs="宋体"/>
          <w:color w:val="000000"/>
          <w:kern w:val="10"/>
          <w:sz w:val="24"/>
        </w:rPr>
      </w:pPr>
    </w:p>
    <w:p w14:paraId="3CCD04EF">
      <w:pPr>
        <w:spacing w:line="360" w:lineRule="auto"/>
        <w:rPr>
          <w:rFonts w:ascii="宋体" w:hAnsi="宋体" w:cs="宋体"/>
          <w:color w:val="000000"/>
          <w:kern w:val="10"/>
          <w:sz w:val="24"/>
        </w:rPr>
      </w:pPr>
    </w:p>
    <w:p w14:paraId="5A49A0EE">
      <w:pPr>
        <w:spacing w:line="360" w:lineRule="auto"/>
        <w:rPr>
          <w:rFonts w:ascii="宋体" w:hAnsi="宋体" w:cs="宋体"/>
          <w:color w:val="000000"/>
          <w:kern w:val="10"/>
          <w:sz w:val="24"/>
        </w:rPr>
      </w:pPr>
    </w:p>
    <w:p w14:paraId="2D839F4F">
      <w:pPr>
        <w:rPr>
          <w:rFonts w:ascii="宋体" w:hAnsi="宋体" w:cs="宋体"/>
          <w:b/>
          <w:bCs/>
          <w:color w:val="000000"/>
          <w:kern w:val="10"/>
          <w:sz w:val="28"/>
          <w:szCs w:val="28"/>
        </w:rPr>
      </w:pPr>
      <w:bookmarkStart w:id="119" w:name="_Toc18813"/>
      <w:bookmarkStart w:id="120" w:name="_Toc6625"/>
      <w:bookmarkStart w:id="121" w:name="_Toc29319"/>
      <w:bookmarkStart w:id="122" w:name="_Toc22419"/>
      <w:bookmarkStart w:id="123" w:name="_Toc234382964"/>
      <w:bookmarkStart w:id="124" w:name="_Toc516499666"/>
      <w:bookmarkStart w:id="125" w:name="_Toc16571"/>
      <w:bookmarkStart w:id="126" w:name="_Toc57277895"/>
      <w:bookmarkStart w:id="127" w:name="_Toc25589"/>
      <w:bookmarkStart w:id="128" w:name="_Toc99007058"/>
      <w:bookmarkStart w:id="129" w:name="_Toc23239"/>
      <w:bookmarkStart w:id="130" w:name="_Toc23732"/>
      <w:r>
        <w:rPr>
          <w:rFonts w:hint="eastAsia" w:ascii="宋体" w:hAnsi="宋体" w:cs="宋体"/>
          <w:b/>
          <w:bCs/>
          <w:color w:val="000000"/>
          <w:kern w:val="10"/>
          <w:sz w:val="28"/>
          <w:szCs w:val="28"/>
        </w:rPr>
        <w:br w:type="page"/>
      </w:r>
    </w:p>
    <w:p w14:paraId="2D012ED9">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三、投标</w:t>
      </w:r>
      <w:bookmarkEnd w:id="119"/>
      <w:bookmarkEnd w:id="120"/>
      <w:bookmarkEnd w:id="121"/>
      <w:bookmarkEnd w:id="122"/>
      <w:bookmarkEnd w:id="123"/>
      <w:bookmarkEnd w:id="124"/>
      <w:r>
        <w:rPr>
          <w:rFonts w:hint="eastAsia" w:ascii="宋体" w:hAnsi="宋体" w:cs="宋体"/>
          <w:b/>
          <w:bCs/>
          <w:color w:val="000000"/>
          <w:kern w:val="10"/>
          <w:sz w:val="28"/>
          <w:szCs w:val="28"/>
        </w:rPr>
        <w:t>承诺函</w:t>
      </w:r>
      <w:bookmarkEnd w:id="125"/>
      <w:bookmarkEnd w:id="126"/>
      <w:bookmarkEnd w:id="127"/>
      <w:bookmarkEnd w:id="128"/>
      <w:bookmarkEnd w:id="129"/>
      <w:bookmarkEnd w:id="130"/>
    </w:p>
    <w:p w14:paraId="3FE654BF">
      <w:pPr>
        <w:spacing w:line="360" w:lineRule="auto"/>
        <w:rPr>
          <w:rFonts w:ascii="宋体" w:hAnsi="宋体" w:cs="宋体"/>
          <w:b/>
          <w:color w:val="000000"/>
          <w:kern w:val="10"/>
          <w:sz w:val="24"/>
        </w:rPr>
      </w:pPr>
      <w:r>
        <w:rPr>
          <w:rFonts w:hint="eastAsia" w:ascii="宋体" w:hAnsi="宋体" w:cs="宋体"/>
          <w:b/>
          <w:color w:val="000000"/>
          <w:kern w:val="10"/>
          <w:sz w:val="24"/>
        </w:rPr>
        <w:t>致：</w:t>
      </w:r>
      <w:r>
        <w:rPr>
          <w:rFonts w:hint="eastAsia" w:ascii="宋体" w:hAnsi="宋体" w:cs="宋体"/>
          <w:b/>
          <w:color w:val="000000"/>
          <w:kern w:val="10"/>
          <w:sz w:val="24"/>
          <w:u w:val="single"/>
        </w:rPr>
        <w:t xml:space="preserve">    （采购人）</w:t>
      </w:r>
      <w:r>
        <w:rPr>
          <w:rFonts w:hint="eastAsia" w:ascii="宋体" w:hAnsi="宋体" w:cs="宋体"/>
          <w:b/>
          <w:color w:val="000000"/>
          <w:kern w:val="10"/>
          <w:sz w:val="24"/>
        </w:rPr>
        <w:t xml:space="preserve">                       </w:t>
      </w:r>
    </w:p>
    <w:p w14:paraId="22D256D1">
      <w:pPr>
        <w:spacing w:line="360" w:lineRule="auto"/>
        <w:ind w:firstLine="480" w:firstLineChars="200"/>
        <w:rPr>
          <w:sz w:val="24"/>
          <w:szCs w:val="28"/>
        </w:rPr>
      </w:pPr>
      <w:r>
        <w:rPr>
          <w:rFonts w:hint="eastAsia"/>
          <w:sz w:val="24"/>
          <w:szCs w:val="28"/>
        </w:rPr>
        <w:t>我公司作为本次采购项目的供应商，根据招标文件要求，现郑重承诺如下：</w:t>
      </w:r>
    </w:p>
    <w:p w14:paraId="3D1F1D41">
      <w:pPr>
        <w:spacing w:line="360" w:lineRule="auto"/>
        <w:ind w:firstLine="480" w:firstLineChars="200"/>
        <w:rPr>
          <w:sz w:val="24"/>
          <w:szCs w:val="28"/>
        </w:rPr>
      </w:pPr>
      <w:r>
        <w:rPr>
          <w:rFonts w:hint="eastAsia"/>
          <w:sz w:val="24"/>
          <w:szCs w:val="28"/>
        </w:rPr>
        <w:t>一、具备《中华人民共和国政府采购法》第二十二条第一款和本项目规定的条件：</w:t>
      </w:r>
    </w:p>
    <w:p w14:paraId="4CD0DA08">
      <w:pPr>
        <w:spacing w:line="360" w:lineRule="auto"/>
        <w:ind w:firstLine="480" w:firstLineChars="200"/>
        <w:rPr>
          <w:sz w:val="24"/>
          <w:szCs w:val="28"/>
        </w:rPr>
      </w:pPr>
      <w:r>
        <w:rPr>
          <w:rFonts w:hint="eastAsia"/>
          <w:sz w:val="24"/>
          <w:szCs w:val="28"/>
        </w:rPr>
        <w:t>（一）具有独立承担民事责任的能力；</w:t>
      </w:r>
    </w:p>
    <w:p w14:paraId="1A57146E">
      <w:pPr>
        <w:spacing w:line="360" w:lineRule="auto"/>
        <w:ind w:firstLine="480" w:firstLineChars="200"/>
        <w:rPr>
          <w:sz w:val="24"/>
          <w:szCs w:val="28"/>
        </w:rPr>
      </w:pPr>
      <w:r>
        <w:rPr>
          <w:rFonts w:hint="eastAsia"/>
          <w:sz w:val="24"/>
          <w:szCs w:val="28"/>
        </w:rPr>
        <w:t>（二）具有良好的商业信誉和健全的财务会计制度；</w:t>
      </w:r>
    </w:p>
    <w:p w14:paraId="7FCFD0EA">
      <w:pPr>
        <w:spacing w:line="360" w:lineRule="auto"/>
        <w:ind w:firstLine="480" w:firstLineChars="200"/>
        <w:rPr>
          <w:sz w:val="24"/>
          <w:szCs w:val="28"/>
        </w:rPr>
      </w:pPr>
      <w:r>
        <w:rPr>
          <w:rFonts w:hint="eastAsia"/>
          <w:sz w:val="24"/>
          <w:szCs w:val="28"/>
        </w:rPr>
        <w:t>（三）具有履行合同所必需的设备和专业技术能力；</w:t>
      </w:r>
    </w:p>
    <w:p w14:paraId="1AD2C7FC">
      <w:pPr>
        <w:spacing w:line="360" w:lineRule="auto"/>
        <w:ind w:firstLine="480" w:firstLineChars="200"/>
        <w:rPr>
          <w:sz w:val="24"/>
          <w:szCs w:val="28"/>
        </w:rPr>
      </w:pPr>
      <w:r>
        <w:rPr>
          <w:rFonts w:hint="eastAsia"/>
          <w:sz w:val="24"/>
          <w:szCs w:val="28"/>
        </w:rPr>
        <w:t>（四）有依法缴纳税收的良好记录；</w:t>
      </w:r>
    </w:p>
    <w:p w14:paraId="17492135">
      <w:pPr>
        <w:spacing w:line="360" w:lineRule="auto"/>
        <w:ind w:firstLine="480" w:firstLineChars="200"/>
        <w:rPr>
          <w:sz w:val="24"/>
          <w:szCs w:val="28"/>
        </w:rPr>
      </w:pPr>
      <w:r>
        <w:rPr>
          <w:rFonts w:hint="eastAsia"/>
          <w:sz w:val="24"/>
          <w:szCs w:val="28"/>
        </w:rPr>
        <w:t>（五）参加政府采购活动前三年内，在经营活动中没有重大违法记录；</w:t>
      </w:r>
    </w:p>
    <w:p w14:paraId="19C91FE7">
      <w:pPr>
        <w:spacing w:line="360" w:lineRule="auto"/>
        <w:ind w:firstLine="480" w:firstLineChars="200"/>
        <w:rPr>
          <w:sz w:val="24"/>
          <w:szCs w:val="28"/>
        </w:rPr>
      </w:pPr>
      <w:r>
        <w:rPr>
          <w:rFonts w:hint="eastAsia"/>
          <w:sz w:val="24"/>
          <w:szCs w:val="28"/>
        </w:rPr>
        <w:t>（六）法律、行政法规规定的其他条件；</w:t>
      </w:r>
    </w:p>
    <w:p w14:paraId="029D0485">
      <w:pPr>
        <w:spacing w:line="360" w:lineRule="auto"/>
        <w:ind w:firstLine="480" w:firstLineChars="200"/>
        <w:rPr>
          <w:sz w:val="24"/>
          <w:szCs w:val="28"/>
        </w:rPr>
      </w:pPr>
      <w:r>
        <w:rPr>
          <w:rFonts w:hint="eastAsia"/>
          <w:sz w:val="24"/>
          <w:szCs w:val="28"/>
        </w:rPr>
        <w:t>（七）根据采购项目提出的特殊条件。</w:t>
      </w:r>
    </w:p>
    <w:p w14:paraId="52480A75">
      <w:pPr>
        <w:spacing w:line="360" w:lineRule="auto"/>
        <w:ind w:firstLine="480" w:firstLineChars="200"/>
        <w:rPr>
          <w:sz w:val="24"/>
          <w:szCs w:val="28"/>
        </w:rPr>
      </w:pPr>
      <w:r>
        <w:rPr>
          <w:rFonts w:hint="eastAsia"/>
          <w:sz w:val="24"/>
          <w:szCs w:val="28"/>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234E42A3">
      <w:pPr>
        <w:spacing w:line="360" w:lineRule="auto"/>
        <w:ind w:firstLine="480" w:firstLineChars="200"/>
        <w:rPr>
          <w:sz w:val="24"/>
          <w:szCs w:val="28"/>
        </w:rPr>
      </w:pPr>
      <w:r>
        <w:rPr>
          <w:rFonts w:hint="eastAsia"/>
          <w:sz w:val="24"/>
          <w:szCs w:val="28"/>
        </w:rPr>
        <w:t>三、参加本次招标采购活动，不存在与单位负责人为同一人或者存在直接控股、管理关系的其他供应商参与同一合同项下的政府采购活动的行为。</w:t>
      </w:r>
    </w:p>
    <w:p w14:paraId="20504D37">
      <w:pPr>
        <w:spacing w:line="360" w:lineRule="auto"/>
        <w:ind w:firstLine="480" w:firstLineChars="200"/>
        <w:rPr>
          <w:sz w:val="24"/>
          <w:szCs w:val="28"/>
        </w:rPr>
      </w:pPr>
      <w:r>
        <w:rPr>
          <w:rFonts w:hint="eastAsia"/>
          <w:sz w:val="24"/>
          <w:szCs w:val="28"/>
        </w:rPr>
        <w:t>四、参加本次招标采购活动，不存在为采购项目提供整体设计、规范编制或者项目管理、监理、检测等服务的行为。</w:t>
      </w:r>
    </w:p>
    <w:p w14:paraId="4D93314C">
      <w:pPr>
        <w:spacing w:line="360" w:lineRule="auto"/>
        <w:ind w:firstLine="480" w:firstLineChars="200"/>
        <w:rPr>
          <w:sz w:val="24"/>
          <w:szCs w:val="28"/>
        </w:rPr>
      </w:pPr>
      <w:r>
        <w:rPr>
          <w:rFonts w:hint="eastAsia"/>
          <w:sz w:val="24"/>
          <w:szCs w:val="28"/>
        </w:rPr>
        <w:t>五、参加本次招标采购活动，不存在和其他供应商在同一合同项下的采购项目中，同时委托同一个自然人、同一家庭的人员、同一单位的人员作为代理人的行为。</w:t>
      </w:r>
    </w:p>
    <w:p w14:paraId="61F13EC4">
      <w:pPr>
        <w:spacing w:line="360" w:lineRule="auto"/>
        <w:ind w:firstLine="480" w:firstLineChars="200"/>
        <w:rPr>
          <w:sz w:val="24"/>
          <w:szCs w:val="28"/>
        </w:rPr>
      </w:pPr>
      <w:r>
        <w:rPr>
          <w:rFonts w:hint="eastAsia"/>
          <w:sz w:val="24"/>
          <w:szCs w:val="28"/>
        </w:rPr>
        <w:t>六、供应商参加本次政府采购活动要求在近三年内供应商和其法定代表人没有行贿犯罪行为。</w:t>
      </w:r>
    </w:p>
    <w:p w14:paraId="5F32CB81">
      <w:pPr>
        <w:spacing w:line="360" w:lineRule="auto"/>
        <w:ind w:firstLine="480" w:firstLineChars="200"/>
        <w:rPr>
          <w:sz w:val="24"/>
          <w:szCs w:val="28"/>
        </w:rPr>
      </w:pPr>
      <w:r>
        <w:rPr>
          <w:rFonts w:hint="eastAsia"/>
          <w:sz w:val="24"/>
          <w:szCs w:val="28"/>
        </w:rPr>
        <w:t>七、参加本次招标采购活动，不存在联合体投标。</w:t>
      </w:r>
    </w:p>
    <w:p w14:paraId="45C855E8">
      <w:pPr>
        <w:spacing w:line="360" w:lineRule="auto"/>
        <w:ind w:firstLine="480" w:firstLineChars="200"/>
        <w:rPr>
          <w:sz w:val="24"/>
          <w:szCs w:val="28"/>
        </w:rPr>
      </w:pPr>
      <w:r>
        <w:rPr>
          <w:rFonts w:hint="eastAsia"/>
          <w:sz w:val="24"/>
          <w:szCs w:val="28"/>
        </w:rPr>
        <w:t>八、投标文件中提供的能够给予我公司带来优惠、好处的任何材料资料和技术、服务、商务等响应承诺情况都是真实的、有效的、合法的。</w:t>
      </w:r>
    </w:p>
    <w:p w14:paraId="1DAF1645">
      <w:pPr>
        <w:spacing w:line="360" w:lineRule="auto"/>
        <w:ind w:firstLine="480" w:firstLineChars="200"/>
        <w:rPr>
          <w:sz w:val="24"/>
          <w:szCs w:val="28"/>
        </w:rPr>
      </w:pPr>
      <w:r>
        <w:rPr>
          <w:rFonts w:hint="eastAsia"/>
          <w:sz w:val="24"/>
          <w:szCs w:val="28"/>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01A12332">
      <w:pPr>
        <w:spacing w:line="360" w:lineRule="auto"/>
        <w:ind w:firstLine="480" w:firstLineChars="200"/>
        <w:rPr>
          <w:sz w:val="24"/>
          <w:szCs w:val="28"/>
        </w:rPr>
      </w:pPr>
      <w:r>
        <w:rPr>
          <w:rFonts w:hint="eastAsia"/>
          <w:sz w:val="24"/>
          <w:szCs w:val="28"/>
        </w:rPr>
        <w:t>十、存在以下行为之一的愿意接受相关部门的处理：</w:t>
      </w:r>
    </w:p>
    <w:p w14:paraId="66185758">
      <w:pPr>
        <w:spacing w:line="360" w:lineRule="auto"/>
        <w:ind w:firstLine="480" w:firstLineChars="200"/>
        <w:rPr>
          <w:sz w:val="24"/>
          <w:szCs w:val="28"/>
        </w:rPr>
      </w:pPr>
      <w:r>
        <w:rPr>
          <w:rFonts w:hint="eastAsia"/>
          <w:sz w:val="24"/>
          <w:szCs w:val="28"/>
        </w:rPr>
        <w:t>（一）投标有效期内撤销投标文件的；</w:t>
      </w:r>
    </w:p>
    <w:p w14:paraId="001F4F6A">
      <w:pPr>
        <w:spacing w:line="360" w:lineRule="auto"/>
        <w:ind w:firstLine="480" w:firstLineChars="200"/>
        <w:rPr>
          <w:sz w:val="24"/>
          <w:szCs w:val="28"/>
        </w:rPr>
      </w:pPr>
      <w:r>
        <w:rPr>
          <w:rFonts w:hint="eastAsia"/>
          <w:sz w:val="24"/>
          <w:szCs w:val="28"/>
        </w:rPr>
        <w:t>（二）在招标人确定中标人以前放弃中标候选资格的；</w:t>
      </w:r>
    </w:p>
    <w:p w14:paraId="5592B5F0">
      <w:pPr>
        <w:spacing w:line="360" w:lineRule="auto"/>
        <w:ind w:firstLine="480" w:firstLineChars="200"/>
        <w:rPr>
          <w:sz w:val="24"/>
          <w:szCs w:val="28"/>
        </w:rPr>
      </w:pPr>
      <w:r>
        <w:rPr>
          <w:rFonts w:hint="eastAsia"/>
          <w:sz w:val="24"/>
          <w:szCs w:val="28"/>
        </w:rPr>
        <w:t>（三）由于中标人的原因未能按照招标文件的规定与招标人签订合同；</w:t>
      </w:r>
    </w:p>
    <w:p w14:paraId="072665E5">
      <w:pPr>
        <w:spacing w:line="360" w:lineRule="auto"/>
        <w:ind w:firstLine="480" w:firstLineChars="200"/>
        <w:rPr>
          <w:sz w:val="24"/>
          <w:szCs w:val="28"/>
        </w:rPr>
      </w:pPr>
      <w:r>
        <w:rPr>
          <w:rFonts w:hint="eastAsia"/>
          <w:sz w:val="24"/>
          <w:szCs w:val="28"/>
        </w:rPr>
        <w:t>（四）在投标文件中提供虚假材料谋取中标；</w:t>
      </w:r>
    </w:p>
    <w:p w14:paraId="28EFC880">
      <w:pPr>
        <w:spacing w:line="360" w:lineRule="auto"/>
        <w:ind w:firstLine="480" w:firstLineChars="200"/>
        <w:rPr>
          <w:sz w:val="24"/>
          <w:szCs w:val="28"/>
        </w:rPr>
      </w:pPr>
      <w:r>
        <w:rPr>
          <w:rFonts w:hint="eastAsia"/>
          <w:sz w:val="24"/>
          <w:szCs w:val="28"/>
        </w:rPr>
        <w:t>（五）与招标人、其他供应商或者招标代理机构恶意串通的；</w:t>
      </w:r>
    </w:p>
    <w:p w14:paraId="45A04642">
      <w:pPr>
        <w:spacing w:line="360" w:lineRule="auto"/>
        <w:ind w:firstLine="480" w:firstLineChars="200"/>
        <w:rPr>
          <w:sz w:val="24"/>
          <w:szCs w:val="28"/>
        </w:rPr>
      </w:pPr>
      <w:r>
        <w:rPr>
          <w:rFonts w:hint="eastAsia"/>
          <w:sz w:val="24"/>
          <w:szCs w:val="28"/>
        </w:rPr>
        <w:t>（六）投标有效期内，供应商在政府采购活动中有违法、违规、违纪行为。由此产生的一切法律后果和责任由我公司承担。我公司声明放弃对此提出任何异议和追索的权利。</w:t>
      </w:r>
    </w:p>
    <w:p w14:paraId="77FBE3C1">
      <w:pPr>
        <w:spacing w:line="360" w:lineRule="auto"/>
        <w:ind w:firstLine="480" w:firstLineChars="200"/>
        <w:rPr>
          <w:sz w:val="24"/>
          <w:szCs w:val="28"/>
        </w:rPr>
      </w:pPr>
      <w:r>
        <w:rPr>
          <w:rFonts w:hint="eastAsia"/>
          <w:sz w:val="24"/>
          <w:szCs w:val="28"/>
        </w:rPr>
        <w:t>本公司对上述承诺的内容事项真实性负责。如经查实上述承诺的内容事项存在虚假，我公司愿意接受以提供虚假材料谋取中标追究法律责任。</w:t>
      </w:r>
    </w:p>
    <w:p w14:paraId="3D236C7B">
      <w:pPr>
        <w:spacing w:line="360" w:lineRule="auto"/>
        <w:ind w:firstLine="480" w:firstLineChars="200"/>
        <w:rPr>
          <w:sz w:val="24"/>
          <w:szCs w:val="28"/>
        </w:rPr>
      </w:pPr>
      <w:r>
        <w:rPr>
          <w:rFonts w:hint="eastAsia"/>
          <w:sz w:val="24"/>
          <w:szCs w:val="28"/>
        </w:rPr>
        <w:t>供应商：                      （盖单位公章）</w:t>
      </w:r>
    </w:p>
    <w:p w14:paraId="5B81DF75">
      <w:pPr>
        <w:spacing w:line="360" w:lineRule="auto"/>
        <w:ind w:firstLine="480" w:firstLineChars="200"/>
        <w:rPr>
          <w:sz w:val="24"/>
          <w:szCs w:val="28"/>
        </w:rPr>
      </w:pPr>
      <w:r>
        <w:rPr>
          <w:rFonts w:hint="eastAsia"/>
          <w:sz w:val="24"/>
          <w:szCs w:val="28"/>
        </w:rPr>
        <w:t>法定代表人：              （电子签章）</w:t>
      </w:r>
    </w:p>
    <w:p w14:paraId="75246CA2">
      <w:pPr>
        <w:spacing w:line="360" w:lineRule="auto"/>
        <w:ind w:firstLine="480" w:firstLineChars="200"/>
        <w:rPr>
          <w:sz w:val="24"/>
          <w:szCs w:val="28"/>
        </w:rPr>
      </w:pPr>
      <w:r>
        <w:rPr>
          <w:rFonts w:hint="eastAsia"/>
          <w:sz w:val="24"/>
          <w:szCs w:val="28"/>
        </w:rPr>
        <w:t>日期：        年      月      日</w:t>
      </w:r>
    </w:p>
    <w:p w14:paraId="5D2A5120">
      <w:pPr>
        <w:spacing w:line="360" w:lineRule="auto"/>
        <w:rPr>
          <w:rFonts w:ascii="宋体" w:hAnsi="宋体" w:cs="宋体"/>
          <w:color w:val="000000"/>
          <w:kern w:val="10"/>
          <w:sz w:val="24"/>
        </w:rPr>
      </w:pPr>
    </w:p>
    <w:p w14:paraId="3184D371">
      <w:pPr>
        <w:rPr>
          <w:rFonts w:ascii="宋体" w:hAnsi="宋体" w:cs="宋体"/>
          <w:b/>
          <w:bCs/>
          <w:color w:val="000000"/>
          <w:kern w:val="10"/>
          <w:sz w:val="28"/>
          <w:szCs w:val="28"/>
        </w:rPr>
      </w:pPr>
      <w:bookmarkStart w:id="131" w:name="_Toc25666"/>
      <w:bookmarkStart w:id="132" w:name="_Toc57708788"/>
      <w:bookmarkStart w:id="133" w:name="_Toc516499667"/>
      <w:bookmarkStart w:id="134" w:name="_Toc17218"/>
      <w:bookmarkStart w:id="135" w:name="_Toc27965"/>
      <w:bookmarkStart w:id="136" w:name="_Toc14627"/>
      <w:bookmarkStart w:id="137" w:name="_Toc26763"/>
      <w:bookmarkStart w:id="138" w:name="_Toc11013"/>
      <w:bookmarkStart w:id="139" w:name="_Toc21360"/>
      <w:bookmarkStart w:id="140" w:name="_Toc99007059"/>
      <w:bookmarkStart w:id="141" w:name="_Toc23983"/>
      <w:bookmarkStart w:id="142" w:name="_Toc57277896"/>
      <w:r>
        <w:rPr>
          <w:rFonts w:hint="eastAsia" w:ascii="宋体" w:hAnsi="宋体" w:cs="宋体"/>
          <w:b/>
          <w:bCs/>
          <w:color w:val="000000"/>
          <w:kern w:val="10"/>
          <w:sz w:val="28"/>
          <w:szCs w:val="28"/>
        </w:rPr>
        <w:br w:type="page"/>
      </w:r>
    </w:p>
    <w:p w14:paraId="3C714307">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四、报价一览表</w:t>
      </w:r>
      <w:bookmarkEnd w:id="131"/>
      <w:bookmarkEnd w:id="132"/>
      <w:r>
        <w:rPr>
          <w:rFonts w:hint="eastAsia" w:ascii="宋体" w:hAnsi="宋体" w:cs="宋体"/>
          <w:b/>
          <w:bCs/>
          <w:color w:val="000000"/>
          <w:kern w:val="10"/>
          <w:sz w:val="28"/>
          <w:szCs w:val="28"/>
        </w:rPr>
        <w:t xml:space="preserve"> </w:t>
      </w:r>
    </w:p>
    <w:p w14:paraId="150FA64B">
      <w:pPr>
        <w:spacing w:line="360" w:lineRule="auto"/>
        <w:rPr>
          <w:rFonts w:ascii="宋体" w:hAnsi="宋体" w:cs="宋体"/>
          <w:b/>
          <w:bCs/>
          <w:color w:val="000000"/>
          <w:kern w:val="10"/>
          <w:sz w:val="24"/>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060"/>
        <w:gridCol w:w="1267"/>
        <w:gridCol w:w="1572"/>
        <w:gridCol w:w="918"/>
        <w:gridCol w:w="1011"/>
        <w:gridCol w:w="1150"/>
        <w:gridCol w:w="734"/>
        <w:gridCol w:w="1109"/>
      </w:tblGrid>
      <w:tr w14:paraId="6A0A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251" w:type="pct"/>
            <w:vAlign w:val="center"/>
          </w:tcPr>
          <w:p w14:paraId="5D2439D5">
            <w:pPr>
              <w:spacing w:line="240" w:lineRule="exact"/>
              <w:jc w:val="center"/>
              <w:rPr>
                <w:rFonts w:ascii="宋体" w:hAnsi="宋体"/>
                <w:color w:val="000000"/>
                <w:sz w:val="24"/>
              </w:rPr>
            </w:pPr>
            <w:r>
              <w:rPr>
                <w:rFonts w:hint="eastAsia" w:ascii="宋体" w:hAnsi="宋体"/>
                <w:color w:val="000000"/>
                <w:sz w:val="24"/>
              </w:rPr>
              <w:t>序</w:t>
            </w:r>
          </w:p>
          <w:p w14:paraId="03C86C21">
            <w:pPr>
              <w:spacing w:line="240" w:lineRule="exact"/>
              <w:jc w:val="center"/>
              <w:rPr>
                <w:rFonts w:ascii="宋体" w:hAnsi="宋体"/>
                <w:color w:val="000000"/>
                <w:sz w:val="24"/>
              </w:rPr>
            </w:pPr>
            <w:r>
              <w:rPr>
                <w:rFonts w:hint="eastAsia" w:ascii="宋体" w:hAnsi="宋体"/>
                <w:color w:val="000000"/>
                <w:sz w:val="24"/>
              </w:rPr>
              <w:t>号</w:t>
            </w:r>
          </w:p>
        </w:tc>
        <w:tc>
          <w:tcPr>
            <w:tcW w:w="571" w:type="pct"/>
            <w:vAlign w:val="center"/>
          </w:tcPr>
          <w:p w14:paraId="0F796DD9">
            <w:pPr>
              <w:spacing w:line="240" w:lineRule="exact"/>
              <w:jc w:val="center"/>
              <w:rPr>
                <w:rFonts w:ascii="宋体" w:hAnsi="宋体"/>
                <w:color w:val="000000"/>
                <w:sz w:val="24"/>
              </w:rPr>
            </w:pPr>
            <w:r>
              <w:rPr>
                <w:rFonts w:hint="eastAsia" w:ascii="宋体" w:hAnsi="宋体"/>
                <w:color w:val="000000"/>
                <w:sz w:val="24"/>
              </w:rPr>
              <w:t>设备名称</w:t>
            </w:r>
          </w:p>
        </w:tc>
        <w:tc>
          <w:tcPr>
            <w:tcW w:w="682" w:type="pct"/>
            <w:vAlign w:val="center"/>
          </w:tcPr>
          <w:p w14:paraId="0CD2D03B">
            <w:pPr>
              <w:spacing w:line="240" w:lineRule="exact"/>
              <w:jc w:val="center"/>
              <w:rPr>
                <w:rFonts w:ascii="宋体" w:hAnsi="宋体"/>
                <w:color w:val="000000"/>
                <w:sz w:val="24"/>
              </w:rPr>
            </w:pPr>
            <w:r>
              <w:rPr>
                <w:rFonts w:hint="eastAsia" w:ascii="宋体" w:hAnsi="宋体"/>
                <w:color w:val="000000"/>
                <w:sz w:val="24"/>
              </w:rPr>
              <w:t>品牌/规格/</w:t>
            </w:r>
          </w:p>
          <w:p w14:paraId="6B274ADB">
            <w:pPr>
              <w:pStyle w:val="14"/>
              <w:pBdr>
                <w:bottom w:val="none" w:color="auto" w:sz="0" w:space="0"/>
              </w:pBdr>
              <w:tabs>
                <w:tab w:val="clear" w:pos="4153"/>
                <w:tab w:val="clear" w:pos="8306"/>
              </w:tabs>
              <w:spacing w:line="240" w:lineRule="exact"/>
              <w:rPr>
                <w:rFonts w:ascii="宋体" w:hAnsi="宋体"/>
                <w:color w:val="000000"/>
                <w:sz w:val="24"/>
                <w:szCs w:val="24"/>
              </w:rPr>
            </w:pPr>
            <w:r>
              <w:rPr>
                <w:rFonts w:hint="eastAsia" w:ascii="宋体" w:hAnsi="宋体"/>
                <w:color w:val="000000"/>
                <w:sz w:val="24"/>
                <w:szCs w:val="24"/>
              </w:rPr>
              <w:t>型号</w:t>
            </w:r>
          </w:p>
        </w:tc>
        <w:tc>
          <w:tcPr>
            <w:tcW w:w="846" w:type="pct"/>
            <w:vAlign w:val="center"/>
          </w:tcPr>
          <w:p w14:paraId="4D47F162">
            <w:pPr>
              <w:jc w:val="center"/>
              <w:rPr>
                <w:rFonts w:ascii="宋体" w:hAnsi="宋体" w:cs="黑体"/>
                <w:color w:val="000000"/>
                <w:sz w:val="24"/>
              </w:rPr>
            </w:pPr>
            <w:r>
              <w:rPr>
                <w:rFonts w:hint="eastAsia" w:ascii="宋体" w:hAnsi="宋体" w:cs="黑体"/>
                <w:color w:val="000000"/>
                <w:sz w:val="24"/>
              </w:rPr>
              <w:t>生产商</w:t>
            </w:r>
          </w:p>
          <w:p w14:paraId="1C9AEF43">
            <w:pPr>
              <w:spacing w:line="240" w:lineRule="exact"/>
              <w:ind w:firstLine="120" w:firstLineChars="50"/>
              <w:rPr>
                <w:rFonts w:ascii="宋体" w:hAnsi="宋体"/>
                <w:color w:val="000000"/>
                <w:sz w:val="24"/>
              </w:rPr>
            </w:pPr>
            <w:r>
              <w:rPr>
                <w:rFonts w:hint="eastAsia" w:ascii="宋体" w:hAnsi="宋体" w:cs="黑体"/>
                <w:color w:val="000000"/>
                <w:sz w:val="24"/>
              </w:rPr>
              <w:t>名称（全称）</w:t>
            </w:r>
          </w:p>
        </w:tc>
        <w:tc>
          <w:tcPr>
            <w:tcW w:w="494" w:type="pct"/>
            <w:vAlign w:val="center"/>
          </w:tcPr>
          <w:p w14:paraId="642150A7">
            <w:pPr>
              <w:spacing w:line="240" w:lineRule="exact"/>
              <w:rPr>
                <w:rFonts w:ascii="宋体" w:hAnsi="宋体"/>
                <w:color w:val="000000"/>
                <w:sz w:val="24"/>
              </w:rPr>
            </w:pPr>
            <w:r>
              <w:rPr>
                <w:rFonts w:hint="eastAsia" w:ascii="宋体" w:hAnsi="宋体"/>
                <w:color w:val="000000"/>
                <w:sz w:val="24"/>
              </w:rPr>
              <w:t>单位</w:t>
            </w:r>
          </w:p>
        </w:tc>
        <w:tc>
          <w:tcPr>
            <w:tcW w:w="544" w:type="pct"/>
            <w:vAlign w:val="center"/>
          </w:tcPr>
          <w:p w14:paraId="13417AE9">
            <w:pPr>
              <w:spacing w:line="240" w:lineRule="exact"/>
              <w:rPr>
                <w:rFonts w:ascii="宋体" w:hAnsi="宋体"/>
                <w:color w:val="000000"/>
                <w:sz w:val="24"/>
              </w:rPr>
            </w:pPr>
            <w:r>
              <w:rPr>
                <w:rFonts w:hint="eastAsia" w:ascii="宋体" w:hAnsi="宋体"/>
                <w:color w:val="000000"/>
                <w:sz w:val="24"/>
              </w:rPr>
              <w:t>数量</w:t>
            </w:r>
          </w:p>
        </w:tc>
        <w:tc>
          <w:tcPr>
            <w:tcW w:w="619" w:type="pct"/>
            <w:vAlign w:val="center"/>
          </w:tcPr>
          <w:p w14:paraId="61C2DC58">
            <w:pPr>
              <w:spacing w:line="240" w:lineRule="exact"/>
              <w:jc w:val="center"/>
              <w:rPr>
                <w:rFonts w:ascii="宋体" w:hAnsi="宋体"/>
                <w:color w:val="000000"/>
                <w:sz w:val="24"/>
              </w:rPr>
            </w:pPr>
            <w:r>
              <w:rPr>
                <w:rFonts w:hint="eastAsia" w:ascii="宋体" w:hAnsi="宋体"/>
                <w:color w:val="000000"/>
                <w:sz w:val="24"/>
              </w:rPr>
              <w:t>单价</w:t>
            </w:r>
          </w:p>
        </w:tc>
        <w:tc>
          <w:tcPr>
            <w:tcW w:w="395" w:type="pct"/>
            <w:vAlign w:val="center"/>
          </w:tcPr>
          <w:p w14:paraId="4A0A3DD0">
            <w:pPr>
              <w:spacing w:line="240" w:lineRule="exact"/>
              <w:jc w:val="center"/>
              <w:rPr>
                <w:rFonts w:ascii="宋体" w:hAnsi="宋体"/>
                <w:color w:val="000000"/>
                <w:sz w:val="24"/>
              </w:rPr>
            </w:pPr>
            <w:r>
              <w:rPr>
                <w:rFonts w:hint="eastAsia" w:ascii="宋体" w:hAnsi="宋体"/>
                <w:color w:val="000000"/>
                <w:sz w:val="24"/>
              </w:rPr>
              <w:t>合价</w:t>
            </w:r>
          </w:p>
        </w:tc>
        <w:tc>
          <w:tcPr>
            <w:tcW w:w="593" w:type="pct"/>
            <w:vAlign w:val="center"/>
          </w:tcPr>
          <w:p w14:paraId="244D920F">
            <w:pPr>
              <w:spacing w:line="240" w:lineRule="exact"/>
              <w:jc w:val="center"/>
              <w:rPr>
                <w:rFonts w:ascii="宋体" w:hAnsi="宋体"/>
                <w:color w:val="000000"/>
                <w:sz w:val="24"/>
              </w:rPr>
            </w:pPr>
            <w:r>
              <w:rPr>
                <w:rFonts w:hint="eastAsia" w:ascii="宋体" w:hAnsi="宋体"/>
                <w:color w:val="000000"/>
                <w:sz w:val="24"/>
              </w:rPr>
              <w:t>备注</w:t>
            </w:r>
          </w:p>
        </w:tc>
      </w:tr>
      <w:tr w14:paraId="59A9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1" w:type="pct"/>
          </w:tcPr>
          <w:p w14:paraId="2352E78C">
            <w:pPr>
              <w:spacing w:line="400" w:lineRule="exact"/>
              <w:rPr>
                <w:rFonts w:ascii="宋体" w:hAnsi="宋体"/>
                <w:color w:val="000000"/>
                <w:sz w:val="24"/>
              </w:rPr>
            </w:pPr>
            <w:r>
              <w:rPr>
                <w:rFonts w:hint="eastAsia" w:ascii="宋体" w:hAnsi="宋体"/>
                <w:color w:val="000000"/>
                <w:sz w:val="24"/>
              </w:rPr>
              <w:t>1</w:t>
            </w:r>
          </w:p>
        </w:tc>
        <w:tc>
          <w:tcPr>
            <w:tcW w:w="571" w:type="pct"/>
          </w:tcPr>
          <w:p w14:paraId="736D8CD7">
            <w:pPr>
              <w:spacing w:line="400" w:lineRule="exact"/>
              <w:rPr>
                <w:rFonts w:ascii="宋体" w:hAnsi="宋体"/>
                <w:color w:val="000000"/>
                <w:sz w:val="24"/>
              </w:rPr>
            </w:pPr>
          </w:p>
        </w:tc>
        <w:tc>
          <w:tcPr>
            <w:tcW w:w="682" w:type="pct"/>
          </w:tcPr>
          <w:p w14:paraId="0C046DAD">
            <w:pPr>
              <w:spacing w:line="400" w:lineRule="exact"/>
              <w:rPr>
                <w:rFonts w:ascii="宋体" w:hAnsi="宋体"/>
                <w:color w:val="000000"/>
                <w:sz w:val="24"/>
              </w:rPr>
            </w:pPr>
          </w:p>
        </w:tc>
        <w:tc>
          <w:tcPr>
            <w:tcW w:w="846" w:type="pct"/>
          </w:tcPr>
          <w:p w14:paraId="08453BAC">
            <w:pPr>
              <w:spacing w:line="400" w:lineRule="exact"/>
              <w:rPr>
                <w:rFonts w:ascii="宋体" w:hAnsi="宋体"/>
                <w:color w:val="000000"/>
                <w:sz w:val="24"/>
              </w:rPr>
            </w:pPr>
          </w:p>
        </w:tc>
        <w:tc>
          <w:tcPr>
            <w:tcW w:w="494" w:type="pct"/>
          </w:tcPr>
          <w:p w14:paraId="792B4801">
            <w:pPr>
              <w:spacing w:line="400" w:lineRule="exact"/>
              <w:rPr>
                <w:rFonts w:ascii="宋体" w:hAnsi="宋体"/>
                <w:color w:val="000000"/>
                <w:sz w:val="24"/>
              </w:rPr>
            </w:pPr>
          </w:p>
        </w:tc>
        <w:tc>
          <w:tcPr>
            <w:tcW w:w="544" w:type="pct"/>
          </w:tcPr>
          <w:p w14:paraId="453EEF51">
            <w:pPr>
              <w:spacing w:line="400" w:lineRule="exact"/>
              <w:rPr>
                <w:rFonts w:ascii="宋体" w:hAnsi="宋体"/>
                <w:color w:val="000000"/>
                <w:sz w:val="24"/>
              </w:rPr>
            </w:pPr>
          </w:p>
        </w:tc>
        <w:tc>
          <w:tcPr>
            <w:tcW w:w="619" w:type="pct"/>
          </w:tcPr>
          <w:p w14:paraId="4A34C5A2">
            <w:pPr>
              <w:spacing w:line="400" w:lineRule="exact"/>
              <w:rPr>
                <w:rFonts w:ascii="宋体" w:hAnsi="宋体"/>
                <w:color w:val="000000"/>
                <w:sz w:val="24"/>
              </w:rPr>
            </w:pPr>
          </w:p>
        </w:tc>
        <w:tc>
          <w:tcPr>
            <w:tcW w:w="395" w:type="pct"/>
          </w:tcPr>
          <w:p w14:paraId="3013C4E1">
            <w:pPr>
              <w:spacing w:line="400" w:lineRule="exact"/>
              <w:rPr>
                <w:rFonts w:ascii="宋体" w:hAnsi="宋体"/>
                <w:color w:val="000000"/>
                <w:sz w:val="24"/>
              </w:rPr>
            </w:pPr>
          </w:p>
        </w:tc>
        <w:tc>
          <w:tcPr>
            <w:tcW w:w="593" w:type="pct"/>
          </w:tcPr>
          <w:p w14:paraId="40CE3EFA">
            <w:pPr>
              <w:spacing w:line="400" w:lineRule="exact"/>
              <w:rPr>
                <w:rFonts w:ascii="宋体" w:hAnsi="宋体"/>
                <w:color w:val="000000"/>
                <w:sz w:val="24"/>
              </w:rPr>
            </w:pPr>
          </w:p>
        </w:tc>
      </w:tr>
      <w:tr w14:paraId="1FAB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51" w:type="pct"/>
          </w:tcPr>
          <w:p w14:paraId="204BDA6E">
            <w:pPr>
              <w:spacing w:line="400" w:lineRule="exact"/>
              <w:rPr>
                <w:rFonts w:ascii="宋体" w:hAnsi="宋体"/>
                <w:color w:val="000000"/>
                <w:sz w:val="24"/>
              </w:rPr>
            </w:pPr>
            <w:r>
              <w:rPr>
                <w:rFonts w:hint="eastAsia" w:ascii="宋体" w:hAnsi="宋体"/>
                <w:color w:val="000000"/>
                <w:sz w:val="24"/>
              </w:rPr>
              <w:t>2</w:t>
            </w:r>
          </w:p>
        </w:tc>
        <w:tc>
          <w:tcPr>
            <w:tcW w:w="571" w:type="pct"/>
          </w:tcPr>
          <w:p w14:paraId="4FE5D471">
            <w:pPr>
              <w:spacing w:line="400" w:lineRule="exact"/>
              <w:rPr>
                <w:rFonts w:ascii="宋体" w:hAnsi="宋体"/>
                <w:color w:val="000000"/>
                <w:sz w:val="24"/>
              </w:rPr>
            </w:pPr>
          </w:p>
        </w:tc>
        <w:tc>
          <w:tcPr>
            <w:tcW w:w="682" w:type="pct"/>
          </w:tcPr>
          <w:p w14:paraId="14C59EDA">
            <w:pPr>
              <w:spacing w:line="400" w:lineRule="exact"/>
              <w:rPr>
                <w:rFonts w:ascii="宋体" w:hAnsi="宋体"/>
                <w:color w:val="000000"/>
                <w:sz w:val="24"/>
              </w:rPr>
            </w:pPr>
          </w:p>
        </w:tc>
        <w:tc>
          <w:tcPr>
            <w:tcW w:w="846" w:type="pct"/>
          </w:tcPr>
          <w:p w14:paraId="3B66790F">
            <w:pPr>
              <w:spacing w:line="400" w:lineRule="exact"/>
              <w:rPr>
                <w:rFonts w:ascii="宋体" w:hAnsi="宋体"/>
                <w:color w:val="000000"/>
                <w:sz w:val="24"/>
              </w:rPr>
            </w:pPr>
          </w:p>
        </w:tc>
        <w:tc>
          <w:tcPr>
            <w:tcW w:w="494" w:type="pct"/>
          </w:tcPr>
          <w:p w14:paraId="6A2DE065">
            <w:pPr>
              <w:spacing w:line="400" w:lineRule="exact"/>
              <w:rPr>
                <w:rFonts w:ascii="宋体" w:hAnsi="宋体"/>
                <w:color w:val="000000"/>
                <w:sz w:val="24"/>
              </w:rPr>
            </w:pPr>
          </w:p>
        </w:tc>
        <w:tc>
          <w:tcPr>
            <w:tcW w:w="544" w:type="pct"/>
          </w:tcPr>
          <w:p w14:paraId="243B6039">
            <w:pPr>
              <w:spacing w:line="400" w:lineRule="exact"/>
              <w:rPr>
                <w:rFonts w:ascii="宋体" w:hAnsi="宋体"/>
                <w:color w:val="000000"/>
                <w:sz w:val="24"/>
              </w:rPr>
            </w:pPr>
          </w:p>
        </w:tc>
        <w:tc>
          <w:tcPr>
            <w:tcW w:w="619" w:type="pct"/>
          </w:tcPr>
          <w:p w14:paraId="0E43985A">
            <w:pPr>
              <w:spacing w:line="400" w:lineRule="exact"/>
              <w:rPr>
                <w:rFonts w:ascii="宋体" w:hAnsi="宋体"/>
                <w:color w:val="000000"/>
                <w:sz w:val="24"/>
              </w:rPr>
            </w:pPr>
          </w:p>
        </w:tc>
        <w:tc>
          <w:tcPr>
            <w:tcW w:w="395" w:type="pct"/>
          </w:tcPr>
          <w:p w14:paraId="462DAB9E">
            <w:pPr>
              <w:spacing w:line="400" w:lineRule="exact"/>
              <w:rPr>
                <w:rFonts w:ascii="宋体" w:hAnsi="宋体"/>
                <w:color w:val="000000"/>
                <w:sz w:val="24"/>
              </w:rPr>
            </w:pPr>
          </w:p>
        </w:tc>
        <w:tc>
          <w:tcPr>
            <w:tcW w:w="593" w:type="pct"/>
          </w:tcPr>
          <w:p w14:paraId="72065E36">
            <w:pPr>
              <w:spacing w:line="400" w:lineRule="exact"/>
              <w:rPr>
                <w:rFonts w:ascii="宋体" w:hAnsi="宋体"/>
                <w:color w:val="000000"/>
                <w:sz w:val="24"/>
              </w:rPr>
            </w:pPr>
          </w:p>
        </w:tc>
      </w:tr>
      <w:tr w14:paraId="25CF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1" w:type="pct"/>
          </w:tcPr>
          <w:p w14:paraId="61DF7717">
            <w:pPr>
              <w:spacing w:line="400" w:lineRule="exact"/>
              <w:rPr>
                <w:rFonts w:ascii="宋体" w:hAnsi="宋体"/>
                <w:color w:val="000000"/>
                <w:sz w:val="24"/>
              </w:rPr>
            </w:pPr>
            <w:r>
              <w:rPr>
                <w:rFonts w:hint="eastAsia" w:ascii="宋体" w:hAnsi="宋体"/>
                <w:color w:val="000000"/>
                <w:sz w:val="24"/>
              </w:rPr>
              <w:t>3</w:t>
            </w:r>
          </w:p>
        </w:tc>
        <w:tc>
          <w:tcPr>
            <w:tcW w:w="571" w:type="pct"/>
          </w:tcPr>
          <w:p w14:paraId="09F656A1">
            <w:pPr>
              <w:spacing w:line="400" w:lineRule="exact"/>
              <w:rPr>
                <w:rFonts w:ascii="宋体" w:hAnsi="宋体"/>
                <w:color w:val="000000"/>
                <w:sz w:val="24"/>
              </w:rPr>
            </w:pPr>
          </w:p>
        </w:tc>
        <w:tc>
          <w:tcPr>
            <w:tcW w:w="682" w:type="pct"/>
          </w:tcPr>
          <w:p w14:paraId="63837BCB">
            <w:pPr>
              <w:spacing w:line="400" w:lineRule="exact"/>
              <w:rPr>
                <w:rFonts w:ascii="宋体" w:hAnsi="宋体"/>
                <w:color w:val="000000"/>
                <w:sz w:val="24"/>
              </w:rPr>
            </w:pPr>
          </w:p>
        </w:tc>
        <w:tc>
          <w:tcPr>
            <w:tcW w:w="846" w:type="pct"/>
          </w:tcPr>
          <w:p w14:paraId="72F61B02">
            <w:pPr>
              <w:spacing w:line="400" w:lineRule="exact"/>
              <w:rPr>
                <w:rFonts w:ascii="宋体" w:hAnsi="宋体"/>
                <w:color w:val="000000"/>
                <w:sz w:val="24"/>
              </w:rPr>
            </w:pPr>
          </w:p>
        </w:tc>
        <w:tc>
          <w:tcPr>
            <w:tcW w:w="494" w:type="pct"/>
          </w:tcPr>
          <w:p w14:paraId="20F3289B">
            <w:pPr>
              <w:spacing w:line="400" w:lineRule="exact"/>
              <w:rPr>
                <w:rFonts w:ascii="宋体" w:hAnsi="宋体"/>
                <w:color w:val="000000"/>
                <w:sz w:val="24"/>
              </w:rPr>
            </w:pPr>
          </w:p>
        </w:tc>
        <w:tc>
          <w:tcPr>
            <w:tcW w:w="544" w:type="pct"/>
          </w:tcPr>
          <w:p w14:paraId="24187866">
            <w:pPr>
              <w:spacing w:line="400" w:lineRule="exact"/>
              <w:rPr>
                <w:rFonts w:ascii="宋体" w:hAnsi="宋体"/>
                <w:color w:val="000000"/>
                <w:sz w:val="24"/>
              </w:rPr>
            </w:pPr>
          </w:p>
        </w:tc>
        <w:tc>
          <w:tcPr>
            <w:tcW w:w="619" w:type="pct"/>
          </w:tcPr>
          <w:p w14:paraId="77F65E37">
            <w:pPr>
              <w:spacing w:line="400" w:lineRule="exact"/>
              <w:rPr>
                <w:rFonts w:ascii="宋体" w:hAnsi="宋体"/>
                <w:color w:val="000000"/>
                <w:sz w:val="24"/>
              </w:rPr>
            </w:pPr>
          </w:p>
        </w:tc>
        <w:tc>
          <w:tcPr>
            <w:tcW w:w="395" w:type="pct"/>
          </w:tcPr>
          <w:p w14:paraId="01C530B3">
            <w:pPr>
              <w:spacing w:line="400" w:lineRule="exact"/>
              <w:rPr>
                <w:rFonts w:ascii="宋体" w:hAnsi="宋体"/>
                <w:color w:val="000000"/>
                <w:sz w:val="24"/>
              </w:rPr>
            </w:pPr>
          </w:p>
        </w:tc>
        <w:tc>
          <w:tcPr>
            <w:tcW w:w="593" w:type="pct"/>
          </w:tcPr>
          <w:p w14:paraId="195FD184">
            <w:pPr>
              <w:spacing w:line="400" w:lineRule="exact"/>
              <w:rPr>
                <w:rFonts w:ascii="宋体" w:hAnsi="宋体"/>
                <w:color w:val="000000"/>
                <w:sz w:val="24"/>
              </w:rPr>
            </w:pPr>
          </w:p>
        </w:tc>
      </w:tr>
      <w:tr w14:paraId="113C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51" w:type="pct"/>
          </w:tcPr>
          <w:p w14:paraId="102001F8">
            <w:pPr>
              <w:spacing w:line="400" w:lineRule="exact"/>
              <w:rPr>
                <w:rFonts w:ascii="宋体" w:hAnsi="宋体"/>
                <w:color w:val="000000"/>
                <w:sz w:val="24"/>
              </w:rPr>
            </w:pPr>
            <w:r>
              <w:rPr>
                <w:rFonts w:hint="eastAsia" w:ascii="宋体" w:hAnsi="宋体"/>
                <w:color w:val="000000"/>
                <w:sz w:val="24"/>
              </w:rPr>
              <w:t>4</w:t>
            </w:r>
          </w:p>
        </w:tc>
        <w:tc>
          <w:tcPr>
            <w:tcW w:w="571" w:type="pct"/>
          </w:tcPr>
          <w:p w14:paraId="2A7DD4FC">
            <w:pPr>
              <w:spacing w:line="400" w:lineRule="exact"/>
              <w:rPr>
                <w:rFonts w:ascii="宋体" w:hAnsi="宋体"/>
                <w:color w:val="000000"/>
                <w:sz w:val="24"/>
              </w:rPr>
            </w:pPr>
          </w:p>
        </w:tc>
        <w:tc>
          <w:tcPr>
            <w:tcW w:w="682" w:type="pct"/>
          </w:tcPr>
          <w:p w14:paraId="2956E3AA">
            <w:pPr>
              <w:spacing w:line="400" w:lineRule="exact"/>
              <w:rPr>
                <w:rFonts w:ascii="宋体" w:hAnsi="宋体"/>
                <w:color w:val="000000"/>
                <w:sz w:val="24"/>
              </w:rPr>
            </w:pPr>
          </w:p>
        </w:tc>
        <w:tc>
          <w:tcPr>
            <w:tcW w:w="846" w:type="pct"/>
          </w:tcPr>
          <w:p w14:paraId="5888CEB7">
            <w:pPr>
              <w:spacing w:line="400" w:lineRule="exact"/>
              <w:rPr>
                <w:rFonts w:ascii="宋体" w:hAnsi="宋体"/>
                <w:color w:val="000000"/>
                <w:sz w:val="24"/>
              </w:rPr>
            </w:pPr>
          </w:p>
        </w:tc>
        <w:tc>
          <w:tcPr>
            <w:tcW w:w="494" w:type="pct"/>
          </w:tcPr>
          <w:p w14:paraId="4F7E6D65">
            <w:pPr>
              <w:spacing w:line="400" w:lineRule="exact"/>
              <w:rPr>
                <w:rFonts w:ascii="宋体" w:hAnsi="宋体"/>
                <w:color w:val="000000"/>
                <w:sz w:val="24"/>
              </w:rPr>
            </w:pPr>
          </w:p>
        </w:tc>
        <w:tc>
          <w:tcPr>
            <w:tcW w:w="544" w:type="pct"/>
          </w:tcPr>
          <w:p w14:paraId="686DBCB1">
            <w:pPr>
              <w:spacing w:line="400" w:lineRule="exact"/>
              <w:rPr>
                <w:rFonts w:ascii="宋体" w:hAnsi="宋体"/>
                <w:color w:val="000000"/>
                <w:sz w:val="24"/>
              </w:rPr>
            </w:pPr>
          </w:p>
        </w:tc>
        <w:tc>
          <w:tcPr>
            <w:tcW w:w="619" w:type="pct"/>
          </w:tcPr>
          <w:p w14:paraId="1EBCB950">
            <w:pPr>
              <w:spacing w:line="400" w:lineRule="exact"/>
              <w:rPr>
                <w:rFonts w:ascii="宋体" w:hAnsi="宋体"/>
                <w:color w:val="000000"/>
                <w:sz w:val="24"/>
              </w:rPr>
            </w:pPr>
          </w:p>
        </w:tc>
        <w:tc>
          <w:tcPr>
            <w:tcW w:w="395" w:type="pct"/>
          </w:tcPr>
          <w:p w14:paraId="5B4EF62B">
            <w:pPr>
              <w:spacing w:line="400" w:lineRule="exact"/>
              <w:rPr>
                <w:rFonts w:ascii="宋体" w:hAnsi="宋体"/>
                <w:color w:val="000000"/>
                <w:sz w:val="24"/>
              </w:rPr>
            </w:pPr>
          </w:p>
        </w:tc>
        <w:tc>
          <w:tcPr>
            <w:tcW w:w="593" w:type="pct"/>
          </w:tcPr>
          <w:p w14:paraId="74955B0E">
            <w:pPr>
              <w:spacing w:line="400" w:lineRule="exact"/>
              <w:rPr>
                <w:rFonts w:ascii="宋体" w:hAnsi="宋体"/>
                <w:color w:val="000000"/>
                <w:sz w:val="24"/>
              </w:rPr>
            </w:pPr>
          </w:p>
        </w:tc>
      </w:tr>
      <w:tr w14:paraId="591D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22" w:type="pct"/>
            <w:gridSpan w:val="2"/>
          </w:tcPr>
          <w:p w14:paraId="394B10C1">
            <w:pPr>
              <w:spacing w:line="400" w:lineRule="exact"/>
              <w:rPr>
                <w:rFonts w:ascii="宋体" w:hAnsi="宋体"/>
                <w:color w:val="000000"/>
                <w:sz w:val="24"/>
              </w:rPr>
            </w:pPr>
            <w:r>
              <w:rPr>
                <w:rFonts w:hint="eastAsia" w:ascii="宋体" w:hAnsi="宋体"/>
                <w:color w:val="000000"/>
                <w:sz w:val="24"/>
              </w:rPr>
              <w:t>投标总价</w:t>
            </w:r>
          </w:p>
        </w:tc>
        <w:tc>
          <w:tcPr>
            <w:tcW w:w="4177" w:type="pct"/>
            <w:gridSpan w:val="7"/>
          </w:tcPr>
          <w:p w14:paraId="19D7B633">
            <w:pPr>
              <w:spacing w:line="500" w:lineRule="exact"/>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 xml:space="preserve">小写： </w:t>
            </w:r>
            <w:r>
              <w:rPr>
                <w:rFonts w:hint="eastAsia" w:ascii="宋体" w:hAnsi="宋体"/>
                <w:b/>
                <w:color w:val="000000"/>
                <w:sz w:val="24"/>
                <w:u w:val="single"/>
              </w:rPr>
              <w:t xml:space="preserve">              </w:t>
            </w:r>
            <w:r>
              <w:rPr>
                <w:rFonts w:hint="eastAsia" w:ascii="宋体" w:hAnsi="宋体"/>
                <w:b/>
                <w:color w:val="000000"/>
                <w:sz w:val="24"/>
              </w:rPr>
              <w:t xml:space="preserve">   </w:t>
            </w:r>
          </w:p>
        </w:tc>
      </w:tr>
    </w:tbl>
    <w:p w14:paraId="71AEE1CD">
      <w:pPr>
        <w:spacing w:line="360" w:lineRule="auto"/>
        <w:rPr>
          <w:rFonts w:ascii="宋体" w:hAnsi="宋体" w:cs="宋体"/>
          <w:color w:val="000000"/>
          <w:kern w:val="10"/>
          <w:sz w:val="24"/>
        </w:rPr>
      </w:pPr>
    </w:p>
    <w:p w14:paraId="79D5A683">
      <w:pPr>
        <w:spacing w:line="360" w:lineRule="auto"/>
        <w:rPr>
          <w:rFonts w:ascii="宋体" w:hAnsi="宋体" w:cs="宋体"/>
          <w:color w:val="000000"/>
          <w:kern w:val="10"/>
          <w:sz w:val="24"/>
        </w:rPr>
      </w:pPr>
      <w:r>
        <w:rPr>
          <w:rFonts w:hint="eastAsia" w:ascii="宋体" w:hAnsi="宋体" w:cs="宋体"/>
          <w:color w:val="000000"/>
          <w:kern w:val="10"/>
          <w:sz w:val="24"/>
        </w:rPr>
        <w:t>注：1、投标人所报单价应为包含采购、安装、调试、税金、验收、质保期服务、与货物有关的运输和保险及其他伴随服务的全费用单价；</w:t>
      </w:r>
    </w:p>
    <w:p w14:paraId="079AE00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2、以上表中各项可进一步细分，栏数不够可自加或附表；</w:t>
      </w:r>
    </w:p>
    <w:p w14:paraId="5D360393">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3、投标人应按磋商文件中采购货物技术参数一览表中所列货物填写本表；</w:t>
      </w:r>
    </w:p>
    <w:p w14:paraId="2B5F0AAB">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4、</w:t>
      </w:r>
      <w:r>
        <w:rPr>
          <w:rFonts w:hint="eastAsia" w:ascii="宋体" w:hAnsi="宋体"/>
          <w:color w:val="000000"/>
          <w:sz w:val="24"/>
        </w:rPr>
        <w:t>监狱企业、残疾人福利性企业视同小微企业；</w:t>
      </w:r>
    </w:p>
    <w:p w14:paraId="0AB23E5F">
      <w:pPr>
        <w:spacing w:line="360" w:lineRule="auto"/>
        <w:rPr>
          <w:rFonts w:ascii="宋体" w:hAnsi="宋体" w:cs="宋体"/>
          <w:b/>
          <w:color w:val="000000"/>
          <w:kern w:val="10"/>
          <w:sz w:val="24"/>
        </w:rPr>
      </w:pPr>
    </w:p>
    <w:p w14:paraId="1BACF233">
      <w:pPr>
        <w:spacing w:line="360" w:lineRule="auto"/>
        <w:rPr>
          <w:rFonts w:ascii="宋体" w:hAnsi="宋体"/>
          <w:b/>
          <w:color w:val="000000"/>
          <w:sz w:val="24"/>
        </w:rPr>
      </w:pPr>
    </w:p>
    <w:p w14:paraId="280E99AF">
      <w:pPr>
        <w:spacing w:line="360" w:lineRule="auto"/>
        <w:rPr>
          <w:rFonts w:ascii="宋体" w:hAnsi="宋体"/>
          <w:b/>
          <w:color w:val="000000"/>
          <w:sz w:val="24"/>
        </w:rPr>
      </w:pPr>
    </w:p>
    <w:p w14:paraId="4AFE2349">
      <w:pPr>
        <w:spacing w:line="360" w:lineRule="auto"/>
        <w:rPr>
          <w:rFonts w:ascii="宋体" w:hAnsi="宋体"/>
          <w:b/>
          <w:color w:val="000000"/>
          <w:sz w:val="24"/>
        </w:rPr>
      </w:pPr>
    </w:p>
    <w:p w14:paraId="2D84B04C">
      <w:pPr>
        <w:spacing w:line="360" w:lineRule="auto"/>
        <w:rPr>
          <w:rFonts w:ascii="宋体" w:hAnsi="宋体" w:cs="宋体"/>
          <w:color w:val="000000"/>
          <w:kern w:val="10"/>
          <w:sz w:val="24"/>
        </w:rPr>
      </w:pPr>
      <w:r>
        <w:rPr>
          <w:rFonts w:hint="eastAsia" w:ascii="宋体" w:hAnsi="宋体" w:cs="宋体"/>
          <w:color w:val="000000"/>
          <w:kern w:val="10"/>
          <w:sz w:val="24"/>
        </w:rPr>
        <w:t xml:space="preserve">                                      供应商：</w:t>
      </w:r>
      <w:r>
        <w:rPr>
          <w:rFonts w:hint="eastAsia" w:ascii="宋体" w:hAnsi="宋体" w:cs="宋体"/>
          <w:color w:val="000000"/>
          <w:kern w:val="10"/>
          <w:sz w:val="24"/>
          <w:u w:val="single"/>
        </w:rPr>
        <w:t xml:space="preserve">       （电子签章）   </w:t>
      </w:r>
    </w:p>
    <w:p w14:paraId="21D02229">
      <w:pPr>
        <w:spacing w:line="360" w:lineRule="auto"/>
        <w:rPr>
          <w:rFonts w:ascii="宋体" w:hAnsi="宋体" w:cs="宋体"/>
          <w:color w:val="000000"/>
          <w:kern w:val="10"/>
          <w:sz w:val="24"/>
          <w:u w:val="single"/>
        </w:rPr>
      </w:pPr>
      <w:r>
        <w:rPr>
          <w:rFonts w:hint="eastAsia" w:ascii="宋体" w:hAnsi="宋体" w:cs="宋体"/>
          <w:color w:val="000000"/>
          <w:kern w:val="10"/>
          <w:sz w:val="24"/>
        </w:rPr>
        <w:t xml:space="preserve">                                      法定代表人：</w:t>
      </w:r>
      <w:r>
        <w:rPr>
          <w:rFonts w:hint="eastAsia" w:ascii="宋体" w:hAnsi="宋体" w:cs="宋体"/>
          <w:color w:val="000000"/>
          <w:kern w:val="10"/>
          <w:sz w:val="24"/>
          <w:u w:val="single"/>
        </w:rPr>
        <w:t xml:space="preserve">      （电子签章）</w:t>
      </w:r>
      <w:r>
        <w:rPr>
          <w:rFonts w:hint="eastAsia" w:ascii="宋体" w:hAnsi="宋体" w:cs="宋体"/>
          <w:color w:val="000000"/>
          <w:kern w:val="10"/>
          <w:sz w:val="24"/>
        </w:rPr>
        <w:t xml:space="preserve">                                    </w:t>
      </w:r>
    </w:p>
    <w:p w14:paraId="375204B0">
      <w:pPr>
        <w:spacing w:line="360" w:lineRule="auto"/>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年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月</w:t>
      </w:r>
      <w:r>
        <w:rPr>
          <w:rFonts w:hint="eastAsia" w:ascii="宋体" w:hAnsi="宋体" w:cs="宋体"/>
          <w:color w:val="000000"/>
          <w:kern w:val="10"/>
          <w:sz w:val="24"/>
          <w:u w:val="single"/>
        </w:rPr>
        <w:t xml:space="preserve">      </w:t>
      </w:r>
      <w:r>
        <w:rPr>
          <w:rFonts w:hint="eastAsia" w:ascii="宋体" w:hAnsi="宋体" w:cs="宋体"/>
          <w:color w:val="000000"/>
          <w:kern w:val="10"/>
          <w:sz w:val="24"/>
        </w:rPr>
        <w:t>日</w:t>
      </w:r>
    </w:p>
    <w:bookmarkEnd w:id="133"/>
    <w:bookmarkEnd w:id="134"/>
    <w:bookmarkEnd w:id="135"/>
    <w:bookmarkEnd w:id="136"/>
    <w:bookmarkEnd w:id="137"/>
    <w:bookmarkEnd w:id="138"/>
    <w:bookmarkEnd w:id="139"/>
    <w:bookmarkEnd w:id="140"/>
    <w:bookmarkEnd w:id="141"/>
    <w:p w14:paraId="2BBAAC59">
      <w:pPr>
        <w:rPr>
          <w:rFonts w:ascii="宋体" w:hAnsi="宋体" w:cs="宋体"/>
          <w:b/>
          <w:bCs/>
          <w:color w:val="000000"/>
          <w:kern w:val="10"/>
          <w:sz w:val="28"/>
          <w:szCs w:val="28"/>
        </w:rPr>
      </w:pPr>
      <w:bookmarkStart w:id="143" w:name="_Toc28039"/>
      <w:bookmarkStart w:id="144" w:name="_Toc24161"/>
      <w:bookmarkStart w:id="145" w:name="_Toc234382977"/>
      <w:bookmarkStart w:id="146" w:name="_Toc29890"/>
      <w:bookmarkStart w:id="147" w:name="_Toc26286"/>
      <w:r>
        <w:rPr>
          <w:rFonts w:hint="eastAsia" w:ascii="宋体" w:hAnsi="宋体" w:cs="宋体"/>
          <w:b/>
          <w:bCs/>
          <w:color w:val="000000"/>
          <w:kern w:val="10"/>
          <w:sz w:val="28"/>
          <w:szCs w:val="28"/>
        </w:rPr>
        <w:br w:type="page"/>
      </w:r>
    </w:p>
    <w:p w14:paraId="35B7FD7F">
      <w:pPr>
        <w:keepNext/>
        <w:keepLines/>
        <w:spacing w:before="260" w:after="260" w:line="416"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五、实施方案及技术方案</w:t>
      </w:r>
    </w:p>
    <w:p w14:paraId="728E9976">
      <w:pPr>
        <w:spacing w:line="360" w:lineRule="auto"/>
        <w:ind w:firstLine="480" w:firstLineChars="200"/>
        <w:rPr>
          <w:rFonts w:ascii="宋体" w:hAnsi="宋体" w:cs="宋体"/>
          <w:bCs/>
          <w:color w:val="000000"/>
          <w:kern w:val="10"/>
          <w:sz w:val="24"/>
        </w:rPr>
      </w:pPr>
    </w:p>
    <w:p w14:paraId="1482054A">
      <w:pPr>
        <w:spacing w:line="360" w:lineRule="auto"/>
        <w:ind w:firstLine="480" w:firstLineChars="200"/>
        <w:rPr>
          <w:rFonts w:ascii="宋体" w:hAnsi="宋体" w:cs="宋体"/>
          <w:bCs/>
          <w:color w:val="000000"/>
          <w:kern w:val="10"/>
          <w:sz w:val="24"/>
        </w:rPr>
      </w:pPr>
      <w:r>
        <w:rPr>
          <w:rFonts w:hint="eastAsia" w:ascii="宋体" w:hAnsi="宋体" w:cs="宋体"/>
          <w:bCs/>
          <w:color w:val="000000"/>
          <w:kern w:val="10"/>
          <w:sz w:val="24"/>
        </w:rPr>
        <w:t>供应商根据磋商文件的要求，结合自身实际情况自行编制，并可按磋商文件评分内容编写所需方案，包含实施方案以及技术方案（格式自拟）</w:t>
      </w:r>
    </w:p>
    <w:p w14:paraId="5F2F12A6">
      <w:pPr>
        <w:spacing w:line="360" w:lineRule="auto"/>
        <w:ind w:firstLine="480" w:firstLineChars="200"/>
        <w:rPr>
          <w:rFonts w:ascii="宋体" w:hAnsi="宋体" w:cs="宋体"/>
          <w:bCs/>
          <w:color w:val="000000"/>
          <w:kern w:val="10"/>
          <w:sz w:val="24"/>
        </w:rPr>
      </w:pPr>
    </w:p>
    <w:p w14:paraId="1DE40B5A">
      <w:pPr>
        <w:spacing w:line="360" w:lineRule="auto"/>
        <w:ind w:firstLine="480" w:firstLineChars="200"/>
        <w:rPr>
          <w:rFonts w:ascii="宋体" w:hAnsi="宋体" w:cs="宋体"/>
          <w:bCs/>
          <w:color w:val="000000"/>
          <w:kern w:val="10"/>
          <w:sz w:val="24"/>
        </w:rPr>
      </w:pPr>
    </w:p>
    <w:p w14:paraId="6D24DF54">
      <w:pPr>
        <w:spacing w:line="360" w:lineRule="auto"/>
        <w:ind w:firstLine="480" w:firstLineChars="200"/>
        <w:rPr>
          <w:rFonts w:ascii="宋体" w:hAnsi="宋体" w:cs="宋体"/>
          <w:bCs/>
          <w:color w:val="000000"/>
          <w:kern w:val="10"/>
          <w:sz w:val="24"/>
        </w:rPr>
      </w:pPr>
    </w:p>
    <w:p w14:paraId="5B44D5DF">
      <w:pPr>
        <w:spacing w:line="360" w:lineRule="auto"/>
        <w:ind w:firstLine="480" w:firstLineChars="200"/>
        <w:rPr>
          <w:rFonts w:ascii="宋体" w:hAnsi="宋体" w:cs="宋体"/>
          <w:bCs/>
          <w:color w:val="000000"/>
          <w:kern w:val="10"/>
          <w:sz w:val="24"/>
        </w:rPr>
      </w:pPr>
    </w:p>
    <w:p w14:paraId="5AF86EC3">
      <w:pPr>
        <w:spacing w:line="360" w:lineRule="auto"/>
        <w:ind w:firstLine="480" w:firstLineChars="200"/>
        <w:rPr>
          <w:rFonts w:ascii="宋体" w:hAnsi="宋体" w:cs="宋体"/>
          <w:bCs/>
          <w:color w:val="000000"/>
          <w:kern w:val="10"/>
          <w:sz w:val="24"/>
        </w:rPr>
      </w:pPr>
    </w:p>
    <w:p w14:paraId="564B9D0D">
      <w:pPr>
        <w:spacing w:line="360" w:lineRule="auto"/>
        <w:ind w:firstLine="480" w:firstLineChars="200"/>
        <w:rPr>
          <w:rFonts w:ascii="宋体" w:hAnsi="宋体" w:cs="宋体"/>
          <w:bCs/>
          <w:color w:val="000000"/>
          <w:kern w:val="10"/>
          <w:sz w:val="24"/>
        </w:rPr>
      </w:pPr>
    </w:p>
    <w:p w14:paraId="0B36F9FF">
      <w:pPr>
        <w:spacing w:line="360" w:lineRule="auto"/>
        <w:ind w:firstLine="480" w:firstLineChars="200"/>
        <w:rPr>
          <w:rFonts w:ascii="宋体" w:hAnsi="宋体" w:cs="宋体"/>
          <w:bCs/>
          <w:color w:val="000000"/>
          <w:kern w:val="10"/>
          <w:sz w:val="24"/>
        </w:rPr>
      </w:pPr>
    </w:p>
    <w:p w14:paraId="36D18C0C">
      <w:pPr>
        <w:spacing w:line="360" w:lineRule="auto"/>
        <w:ind w:firstLine="480" w:firstLineChars="200"/>
        <w:rPr>
          <w:rFonts w:ascii="宋体" w:hAnsi="宋体" w:cs="宋体"/>
          <w:bCs/>
          <w:color w:val="000000"/>
          <w:kern w:val="10"/>
          <w:sz w:val="24"/>
        </w:rPr>
      </w:pPr>
    </w:p>
    <w:p w14:paraId="52BA0EB1">
      <w:pPr>
        <w:spacing w:line="360" w:lineRule="auto"/>
        <w:ind w:firstLine="480" w:firstLineChars="200"/>
        <w:rPr>
          <w:rFonts w:ascii="宋体" w:hAnsi="宋体" w:cs="宋体"/>
          <w:bCs/>
          <w:color w:val="000000"/>
          <w:kern w:val="10"/>
          <w:sz w:val="24"/>
        </w:rPr>
      </w:pPr>
    </w:p>
    <w:p w14:paraId="64F2C318">
      <w:pPr>
        <w:spacing w:line="360" w:lineRule="auto"/>
        <w:ind w:firstLine="480" w:firstLineChars="200"/>
        <w:rPr>
          <w:rFonts w:ascii="宋体" w:hAnsi="宋体" w:cs="宋体"/>
          <w:bCs/>
          <w:color w:val="000000"/>
          <w:kern w:val="10"/>
          <w:sz w:val="24"/>
        </w:rPr>
      </w:pPr>
    </w:p>
    <w:p w14:paraId="64A70DA9">
      <w:pPr>
        <w:spacing w:line="360" w:lineRule="auto"/>
        <w:ind w:firstLine="480" w:firstLineChars="200"/>
        <w:rPr>
          <w:rFonts w:ascii="宋体" w:hAnsi="宋体" w:cs="宋体"/>
          <w:bCs/>
          <w:color w:val="000000"/>
          <w:kern w:val="10"/>
          <w:sz w:val="24"/>
        </w:rPr>
      </w:pPr>
    </w:p>
    <w:p w14:paraId="549FC818">
      <w:pPr>
        <w:spacing w:line="360" w:lineRule="auto"/>
        <w:ind w:firstLine="480" w:firstLineChars="200"/>
        <w:rPr>
          <w:rFonts w:ascii="宋体" w:hAnsi="宋体" w:cs="宋体"/>
          <w:bCs/>
          <w:color w:val="000000"/>
          <w:kern w:val="10"/>
          <w:sz w:val="24"/>
        </w:rPr>
      </w:pPr>
    </w:p>
    <w:p w14:paraId="0DF07613">
      <w:pPr>
        <w:spacing w:line="360" w:lineRule="auto"/>
        <w:ind w:firstLine="480" w:firstLineChars="200"/>
        <w:rPr>
          <w:rFonts w:ascii="宋体" w:hAnsi="宋体" w:cs="宋体"/>
          <w:bCs/>
          <w:color w:val="000000"/>
          <w:kern w:val="10"/>
          <w:sz w:val="24"/>
        </w:rPr>
      </w:pPr>
    </w:p>
    <w:p w14:paraId="24801B8A">
      <w:pPr>
        <w:spacing w:line="360" w:lineRule="auto"/>
        <w:ind w:firstLine="480" w:firstLineChars="200"/>
        <w:rPr>
          <w:rFonts w:ascii="宋体" w:hAnsi="宋体" w:cs="宋体"/>
          <w:bCs/>
          <w:color w:val="000000"/>
          <w:kern w:val="10"/>
          <w:sz w:val="24"/>
        </w:rPr>
      </w:pPr>
    </w:p>
    <w:p w14:paraId="27903DA9">
      <w:pPr>
        <w:spacing w:line="360" w:lineRule="auto"/>
        <w:ind w:firstLine="480" w:firstLineChars="200"/>
        <w:rPr>
          <w:rFonts w:ascii="宋体" w:hAnsi="宋体" w:cs="宋体"/>
          <w:bCs/>
          <w:color w:val="000000"/>
          <w:kern w:val="10"/>
          <w:sz w:val="24"/>
        </w:rPr>
      </w:pPr>
    </w:p>
    <w:p w14:paraId="00187B68">
      <w:pPr>
        <w:rPr>
          <w:rFonts w:ascii="宋体" w:hAnsi="宋体" w:cs="宋体"/>
          <w:b/>
          <w:bCs/>
          <w:color w:val="000000"/>
          <w:kern w:val="10"/>
          <w:sz w:val="28"/>
          <w:szCs w:val="28"/>
        </w:rPr>
      </w:pPr>
      <w:bookmarkStart w:id="148" w:name="_Toc2316"/>
      <w:bookmarkStart w:id="149" w:name="_Toc99007060"/>
      <w:bookmarkStart w:id="150" w:name="_Toc8306"/>
      <w:bookmarkStart w:id="151" w:name="_Toc23302"/>
      <w:bookmarkStart w:id="152" w:name="_Toc11250"/>
      <w:r>
        <w:rPr>
          <w:rFonts w:hint="eastAsia" w:ascii="宋体" w:hAnsi="宋体" w:cs="宋体"/>
          <w:b/>
          <w:bCs/>
          <w:color w:val="000000"/>
          <w:kern w:val="10"/>
          <w:sz w:val="28"/>
          <w:szCs w:val="28"/>
        </w:rPr>
        <w:br w:type="page"/>
      </w:r>
    </w:p>
    <w:p w14:paraId="46853778">
      <w:pPr>
        <w:keepNext/>
        <w:keepLines/>
        <w:spacing w:before="260" w:after="260" w:line="416"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六、</w:t>
      </w:r>
      <w:bookmarkEnd w:id="142"/>
      <w:bookmarkEnd w:id="148"/>
      <w:bookmarkEnd w:id="149"/>
      <w:bookmarkEnd w:id="150"/>
      <w:bookmarkEnd w:id="151"/>
      <w:r>
        <w:rPr>
          <w:rFonts w:hint="eastAsia" w:ascii="宋体" w:hAnsi="宋体" w:cs="宋体"/>
          <w:b/>
          <w:bCs/>
          <w:color w:val="000000"/>
          <w:kern w:val="10"/>
          <w:sz w:val="28"/>
          <w:szCs w:val="28"/>
        </w:rPr>
        <w:t>质保及售后服务承诺</w:t>
      </w:r>
      <w:bookmarkEnd w:id="152"/>
    </w:p>
    <w:p w14:paraId="097F582B">
      <w:pPr>
        <w:spacing w:line="360" w:lineRule="auto"/>
        <w:ind w:firstLine="480" w:firstLineChars="200"/>
        <w:rPr>
          <w:rFonts w:ascii="宋体" w:hAnsi="宋体" w:cs="宋体"/>
          <w:color w:val="000000"/>
          <w:kern w:val="10"/>
          <w:sz w:val="24"/>
        </w:rPr>
      </w:pPr>
      <w:r>
        <w:rPr>
          <w:rFonts w:hint="eastAsia" w:ascii="宋体" w:hAnsi="宋体" w:cs="宋体"/>
          <w:bCs/>
          <w:color w:val="000000"/>
          <w:kern w:val="10"/>
          <w:sz w:val="24"/>
        </w:rPr>
        <w:t>供应商根据磋商文件的要求，结合自身实际情况自行编制，并可按磋商文件评分内容编写所需方案（格式自拟）</w:t>
      </w:r>
    </w:p>
    <w:p w14:paraId="3BA16F24">
      <w:pPr>
        <w:rPr>
          <w:rFonts w:ascii="宋体" w:hAnsi="宋体" w:cs="宋体"/>
          <w:color w:val="000000"/>
          <w:kern w:val="10"/>
          <w:sz w:val="24"/>
        </w:rPr>
      </w:pPr>
    </w:p>
    <w:p w14:paraId="607D1532">
      <w:pPr>
        <w:rPr>
          <w:rFonts w:ascii="宋体" w:hAnsi="宋体" w:cs="宋体"/>
          <w:b/>
          <w:bCs/>
          <w:color w:val="000000"/>
          <w:kern w:val="10"/>
          <w:sz w:val="28"/>
          <w:szCs w:val="28"/>
        </w:rPr>
      </w:pPr>
    </w:p>
    <w:p w14:paraId="097E673A">
      <w:pPr>
        <w:rPr>
          <w:rFonts w:ascii="宋体" w:hAnsi="宋体" w:cs="宋体"/>
          <w:b/>
          <w:bCs/>
          <w:color w:val="000000"/>
          <w:kern w:val="10"/>
          <w:sz w:val="28"/>
          <w:szCs w:val="28"/>
        </w:rPr>
      </w:pPr>
    </w:p>
    <w:p w14:paraId="662BEA75">
      <w:pPr>
        <w:rPr>
          <w:rFonts w:ascii="宋体" w:hAnsi="宋体" w:cs="宋体"/>
          <w:b/>
          <w:bCs/>
          <w:color w:val="000000"/>
          <w:kern w:val="10"/>
          <w:sz w:val="28"/>
          <w:szCs w:val="28"/>
        </w:rPr>
      </w:pPr>
    </w:p>
    <w:p w14:paraId="13494039">
      <w:pPr>
        <w:rPr>
          <w:rFonts w:ascii="宋体" w:hAnsi="宋体" w:cs="宋体"/>
          <w:b/>
          <w:bCs/>
          <w:color w:val="000000"/>
          <w:kern w:val="10"/>
          <w:sz w:val="28"/>
          <w:szCs w:val="28"/>
        </w:rPr>
      </w:pPr>
    </w:p>
    <w:p w14:paraId="06D4B7F0">
      <w:pPr>
        <w:rPr>
          <w:rFonts w:ascii="宋体" w:hAnsi="宋体" w:cs="宋体"/>
          <w:bCs/>
          <w:color w:val="000000"/>
          <w:kern w:val="10"/>
          <w:sz w:val="24"/>
        </w:rPr>
      </w:pPr>
    </w:p>
    <w:p w14:paraId="16079C0B">
      <w:pPr>
        <w:rPr>
          <w:rFonts w:ascii="宋体" w:hAnsi="宋体" w:cs="宋体"/>
          <w:bCs/>
          <w:color w:val="000000"/>
          <w:kern w:val="10"/>
          <w:sz w:val="24"/>
        </w:rPr>
      </w:pPr>
    </w:p>
    <w:p w14:paraId="507E72C3">
      <w:pPr>
        <w:rPr>
          <w:rFonts w:ascii="宋体" w:hAnsi="宋体" w:cs="宋体"/>
          <w:bCs/>
          <w:color w:val="000000"/>
          <w:kern w:val="10"/>
          <w:sz w:val="24"/>
        </w:rPr>
      </w:pPr>
    </w:p>
    <w:p w14:paraId="7A1A3E1A">
      <w:pPr>
        <w:rPr>
          <w:rFonts w:ascii="宋体" w:hAnsi="宋体" w:cs="宋体"/>
          <w:bCs/>
          <w:color w:val="000000"/>
          <w:kern w:val="10"/>
          <w:sz w:val="24"/>
        </w:rPr>
      </w:pPr>
    </w:p>
    <w:p w14:paraId="78676581">
      <w:pPr>
        <w:rPr>
          <w:rFonts w:ascii="宋体" w:hAnsi="宋体" w:cs="宋体"/>
          <w:bCs/>
          <w:color w:val="000000"/>
          <w:kern w:val="10"/>
          <w:sz w:val="24"/>
        </w:rPr>
      </w:pPr>
    </w:p>
    <w:p w14:paraId="5E6CC87C">
      <w:pPr>
        <w:rPr>
          <w:rFonts w:ascii="宋体" w:hAnsi="宋体" w:cs="宋体"/>
          <w:bCs/>
          <w:color w:val="000000"/>
          <w:kern w:val="10"/>
          <w:sz w:val="24"/>
        </w:rPr>
      </w:pPr>
    </w:p>
    <w:p w14:paraId="509DF35F">
      <w:pPr>
        <w:rPr>
          <w:rFonts w:ascii="宋体" w:hAnsi="宋体" w:cs="宋体"/>
          <w:bCs/>
          <w:color w:val="000000"/>
          <w:kern w:val="10"/>
          <w:sz w:val="24"/>
        </w:rPr>
      </w:pPr>
    </w:p>
    <w:p w14:paraId="4C1EC7B0">
      <w:pPr>
        <w:rPr>
          <w:rFonts w:ascii="宋体" w:hAnsi="宋体" w:cs="宋体"/>
          <w:bCs/>
          <w:color w:val="000000"/>
          <w:kern w:val="10"/>
          <w:sz w:val="24"/>
        </w:rPr>
      </w:pPr>
    </w:p>
    <w:p w14:paraId="067B15E7">
      <w:pPr>
        <w:rPr>
          <w:rFonts w:ascii="宋体" w:hAnsi="宋体" w:cs="宋体"/>
          <w:bCs/>
          <w:color w:val="000000"/>
          <w:kern w:val="10"/>
          <w:sz w:val="24"/>
        </w:rPr>
      </w:pPr>
    </w:p>
    <w:p w14:paraId="6A5827A9">
      <w:pPr>
        <w:rPr>
          <w:rFonts w:ascii="宋体" w:hAnsi="宋体" w:cs="宋体"/>
          <w:b/>
          <w:bCs/>
          <w:color w:val="000000"/>
          <w:kern w:val="10"/>
          <w:sz w:val="28"/>
          <w:szCs w:val="28"/>
        </w:rPr>
      </w:pPr>
      <w:bookmarkStart w:id="153" w:name="_Toc500665790"/>
      <w:bookmarkStart w:id="154" w:name="_Toc13600"/>
      <w:bookmarkStart w:id="155" w:name="_Toc498866182"/>
      <w:bookmarkStart w:id="156" w:name="_Toc516499669"/>
      <w:bookmarkStart w:id="157" w:name="_Toc12847"/>
      <w:bookmarkStart w:id="158" w:name="_Toc18271"/>
      <w:bookmarkStart w:id="159" w:name="_Toc509306638"/>
      <w:bookmarkStart w:id="160" w:name="_Toc29859"/>
      <w:bookmarkStart w:id="161" w:name="_Toc57277897"/>
      <w:bookmarkStart w:id="162" w:name="_Toc99007061"/>
      <w:bookmarkStart w:id="163" w:name="_Toc20592"/>
      <w:r>
        <w:rPr>
          <w:rFonts w:hint="eastAsia" w:ascii="宋体" w:hAnsi="宋体" w:cs="宋体"/>
          <w:b/>
          <w:bCs/>
          <w:color w:val="000000"/>
          <w:kern w:val="10"/>
          <w:sz w:val="28"/>
          <w:szCs w:val="28"/>
        </w:rPr>
        <w:br w:type="page"/>
      </w:r>
    </w:p>
    <w:bookmarkEnd w:id="143"/>
    <w:bookmarkEnd w:id="144"/>
    <w:bookmarkEnd w:id="145"/>
    <w:bookmarkEnd w:id="146"/>
    <w:bookmarkEnd w:id="147"/>
    <w:bookmarkEnd w:id="153"/>
    <w:bookmarkEnd w:id="154"/>
    <w:bookmarkEnd w:id="155"/>
    <w:bookmarkEnd w:id="156"/>
    <w:bookmarkEnd w:id="157"/>
    <w:bookmarkEnd w:id="158"/>
    <w:bookmarkEnd w:id="159"/>
    <w:bookmarkEnd w:id="160"/>
    <w:bookmarkEnd w:id="161"/>
    <w:bookmarkEnd w:id="162"/>
    <w:bookmarkEnd w:id="163"/>
    <w:p w14:paraId="31FDC168">
      <w:pPr>
        <w:spacing w:line="360" w:lineRule="auto"/>
        <w:jc w:val="center"/>
        <w:outlineLvl w:val="1"/>
        <w:rPr>
          <w:rFonts w:ascii="宋体" w:hAnsi="宋体" w:cs="宋体"/>
          <w:b/>
          <w:bCs/>
          <w:color w:val="000000"/>
          <w:kern w:val="10"/>
          <w:sz w:val="28"/>
          <w:szCs w:val="28"/>
        </w:rPr>
      </w:pPr>
      <w:bookmarkStart w:id="164" w:name="_Toc9253"/>
      <w:bookmarkStart w:id="165" w:name="_Toc6101"/>
      <w:bookmarkStart w:id="166" w:name="_Toc99007063"/>
      <w:bookmarkStart w:id="167" w:name="_Toc17613"/>
      <w:bookmarkStart w:id="168" w:name="_Toc15835"/>
      <w:bookmarkStart w:id="169" w:name="_Toc16559"/>
      <w:bookmarkStart w:id="170" w:name="_Toc25199"/>
      <w:bookmarkStart w:id="171" w:name="_Toc57277901"/>
      <w:bookmarkStart w:id="172" w:name="_Toc14999"/>
      <w:bookmarkStart w:id="173" w:name="_Toc516499676"/>
      <w:bookmarkStart w:id="174" w:name="_Toc6832"/>
      <w:bookmarkStart w:id="175" w:name="_Toc31398"/>
      <w:bookmarkStart w:id="176" w:name="_Toc27997"/>
      <w:r>
        <w:rPr>
          <w:rFonts w:hint="eastAsia" w:ascii="宋体" w:hAnsi="宋体" w:cs="宋体"/>
          <w:b/>
          <w:bCs/>
          <w:color w:val="000000"/>
          <w:kern w:val="10"/>
          <w:sz w:val="28"/>
          <w:szCs w:val="28"/>
        </w:rPr>
        <w:t>七、资格审查资料</w:t>
      </w:r>
      <w:bookmarkEnd w:id="164"/>
      <w:bookmarkEnd w:id="165"/>
      <w:bookmarkEnd w:id="166"/>
      <w:bookmarkEnd w:id="167"/>
      <w:bookmarkEnd w:id="168"/>
      <w:bookmarkEnd w:id="169"/>
      <w:bookmarkEnd w:id="170"/>
      <w:bookmarkEnd w:id="171"/>
      <w:bookmarkEnd w:id="172"/>
      <w:bookmarkEnd w:id="173"/>
      <w:bookmarkEnd w:id="174"/>
    </w:p>
    <w:p w14:paraId="51D473AC">
      <w:pPr>
        <w:spacing w:line="440" w:lineRule="exact"/>
        <w:jc w:val="left"/>
        <w:rPr>
          <w:rFonts w:ascii="宋体" w:hAnsi="宋体" w:cs="宋体"/>
          <w:color w:val="000000"/>
          <w:kern w:val="10"/>
          <w:sz w:val="24"/>
        </w:rPr>
      </w:pPr>
      <w:r>
        <w:rPr>
          <w:rFonts w:hint="eastAsia" w:ascii="宋体" w:hAnsi="宋体" w:cs="宋体"/>
          <w:b/>
          <w:color w:val="000000"/>
          <w:kern w:val="10"/>
          <w:sz w:val="24"/>
        </w:rPr>
        <w:t>资格审查资料</w:t>
      </w:r>
      <w:r>
        <w:rPr>
          <w:rFonts w:hint="eastAsia" w:ascii="宋体" w:hAnsi="宋体" w:cs="宋体"/>
          <w:color w:val="000000"/>
          <w:kern w:val="10"/>
          <w:sz w:val="24"/>
        </w:rPr>
        <w:t>：</w:t>
      </w:r>
    </w:p>
    <w:p w14:paraId="6EBF6C30">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6A2526E">
      <w:pPr>
        <w:spacing w:line="360" w:lineRule="auto"/>
        <w:ind w:firstLine="480" w:firstLineChars="200"/>
        <w:rPr>
          <w:rFonts w:ascii="宋体" w:hAnsi="宋体" w:cs="宋体"/>
          <w:sz w:val="24"/>
        </w:rPr>
      </w:pPr>
      <w:r>
        <w:rPr>
          <w:rFonts w:hint="eastAsia" w:ascii="宋体" w:hAnsi="宋体" w:cs="宋体"/>
          <w:sz w:val="24"/>
        </w:rPr>
        <w:t>2、落实政府采购政策满足的资格要求：本项目非专门面向中小微企业采购项目，执行优先采购节能环保、环境标志性产品，促进中小企业（监狱企业、残疾人福利性企业）发展等政府采购政策。</w:t>
      </w:r>
    </w:p>
    <w:p w14:paraId="352FFF3B">
      <w:pPr>
        <w:spacing w:line="360" w:lineRule="auto"/>
        <w:ind w:firstLine="480" w:firstLineChars="200"/>
        <w:rPr>
          <w:rFonts w:ascii="宋体" w:hAnsi="宋体" w:cs="宋体"/>
          <w:sz w:val="24"/>
        </w:rPr>
      </w:pPr>
      <w:r>
        <w:rPr>
          <w:rFonts w:hint="eastAsia" w:ascii="宋体" w:hAnsi="宋体" w:cs="宋体"/>
          <w:sz w:val="24"/>
        </w:rPr>
        <w:t>3、本项目的特定资格要求</w:t>
      </w:r>
    </w:p>
    <w:p w14:paraId="4A73B3F2">
      <w:pPr>
        <w:spacing w:line="360" w:lineRule="auto"/>
        <w:ind w:firstLine="480" w:firstLineChars="200"/>
        <w:rPr>
          <w:rFonts w:ascii="宋体" w:hAnsi="宋体" w:cs="宋体"/>
          <w:sz w:val="24"/>
        </w:rPr>
      </w:pPr>
      <w:r>
        <w:rPr>
          <w:rFonts w:hint="eastAsia" w:ascii="宋体" w:hAnsi="宋体" w:cs="宋体"/>
          <w:sz w:val="24"/>
        </w:rPr>
        <w:t>3.1供应商须具有有效的营业执照；</w:t>
      </w:r>
    </w:p>
    <w:p w14:paraId="2753E42C">
      <w:pPr>
        <w:spacing w:line="360" w:lineRule="auto"/>
        <w:ind w:firstLine="480" w:firstLineChars="200"/>
        <w:rPr>
          <w:rFonts w:ascii="宋体" w:hAnsi="宋体" w:cs="宋体"/>
          <w:sz w:val="24"/>
        </w:rPr>
      </w:pPr>
      <w:r>
        <w:rPr>
          <w:rFonts w:hint="eastAsia" w:ascii="宋体" w:hAnsi="宋体" w:cs="宋体"/>
          <w:sz w:val="24"/>
        </w:rPr>
        <w:t>3.2具有良好的商业信誉和健全的财务会计制度（自行作出承诺，格式自拟）；</w:t>
      </w:r>
    </w:p>
    <w:p w14:paraId="0F2724AC">
      <w:pPr>
        <w:spacing w:line="360" w:lineRule="auto"/>
        <w:ind w:firstLine="480" w:firstLineChars="200"/>
        <w:rPr>
          <w:rFonts w:ascii="宋体" w:hAnsi="宋体" w:cs="宋体"/>
          <w:sz w:val="24"/>
        </w:rPr>
      </w:pPr>
      <w:r>
        <w:rPr>
          <w:rFonts w:hint="eastAsia" w:ascii="宋体" w:hAnsi="宋体" w:cs="宋体"/>
          <w:sz w:val="24"/>
        </w:rPr>
        <w:t xml:space="preserve">3.3具有履行合同所必需的设备和专业技术能力（自行作出承诺，格式自拟）； </w:t>
      </w:r>
    </w:p>
    <w:p w14:paraId="6FE6FCAA">
      <w:pPr>
        <w:spacing w:line="360" w:lineRule="auto"/>
        <w:ind w:firstLine="480" w:firstLineChars="200"/>
        <w:rPr>
          <w:rFonts w:ascii="宋体" w:hAnsi="宋体" w:cs="宋体"/>
          <w:sz w:val="24"/>
        </w:rPr>
      </w:pPr>
      <w:r>
        <w:rPr>
          <w:rFonts w:hint="eastAsia" w:ascii="宋体" w:hAnsi="宋体" w:cs="宋体"/>
          <w:sz w:val="24"/>
        </w:rPr>
        <w:t>3.4具有依法缴纳税收和社会保障资金的良好记录（自行作出承诺，格式自拟）；</w:t>
      </w:r>
    </w:p>
    <w:p w14:paraId="333600D0">
      <w:pPr>
        <w:spacing w:line="360" w:lineRule="auto"/>
        <w:ind w:firstLine="480" w:firstLineChars="200"/>
        <w:rPr>
          <w:rFonts w:ascii="宋体" w:hAnsi="宋体" w:cs="宋体"/>
          <w:sz w:val="24"/>
        </w:rPr>
      </w:pPr>
      <w:r>
        <w:rPr>
          <w:rFonts w:hint="eastAsia" w:ascii="宋体" w:hAnsi="宋体" w:cs="宋体"/>
          <w:sz w:val="24"/>
        </w:rPr>
        <w:t>3.5出具本单位无商业贿赂及无不正当竞争行为的承诺书（自行作出承诺，格式自拟）</w:t>
      </w:r>
    </w:p>
    <w:p w14:paraId="5316A527">
      <w:pPr>
        <w:spacing w:line="360" w:lineRule="auto"/>
        <w:ind w:firstLine="480" w:firstLineChars="200"/>
        <w:rPr>
          <w:rFonts w:ascii="宋体" w:hAnsi="宋体" w:cs="宋体"/>
          <w:sz w:val="24"/>
        </w:rPr>
      </w:pPr>
      <w:r>
        <w:rPr>
          <w:rFonts w:hint="eastAsia" w:ascii="宋体" w:hAnsi="宋体" w:cs="宋体"/>
          <w:sz w:val="24"/>
        </w:rPr>
        <w:t>3.6参加政府采购活动前3年内在经营活动中没有重大违法记录（提供供应商书面声明；供应商自行承诺并承担后果，声明函不实的，按《政府采购法》有关提供虚假材料的有关规定给予处罚）；</w:t>
      </w:r>
    </w:p>
    <w:p w14:paraId="3339DF5D">
      <w:pPr>
        <w:spacing w:line="360" w:lineRule="auto"/>
        <w:ind w:firstLine="480" w:firstLineChars="200"/>
        <w:rPr>
          <w:rFonts w:ascii="宋体" w:hAnsi="宋体" w:cs="宋体"/>
          <w:sz w:val="24"/>
        </w:rPr>
      </w:pPr>
      <w:r>
        <w:rPr>
          <w:rFonts w:hint="eastAsia" w:ascii="宋体" w:hAnsi="宋体" w:cs="宋体"/>
          <w:sz w:val="24"/>
        </w:rPr>
        <w:t>3.7根据《关于在政府采购活动中查询及使用信用记录有关问题的通知》(财库[2016]125号)和豫财购【2016】15号的规定，企业没有被列入“中国执行信息公开网”网站的“失信被执行人”、“信用中国”网站的“重大税收违法失信主体”“失信被执行人”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63FC9237">
      <w:pPr>
        <w:spacing w:line="360" w:lineRule="auto"/>
        <w:ind w:firstLine="480" w:firstLineChars="200"/>
        <w:rPr>
          <w:rFonts w:ascii="宋体" w:hAnsi="宋体" w:cs="宋体"/>
          <w:sz w:val="24"/>
        </w:rPr>
      </w:pPr>
      <w:r>
        <w:rPr>
          <w:rFonts w:hint="eastAsia" w:ascii="宋体" w:hAnsi="宋体" w:cs="宋体"/>
          <w:sz w:val="24"/>
        </w:rPr>
        <w:t>3.8单位负责人为同一人或者存在控股、管理关系的不同单位，不得参加同一标段投标或者未划分标段的同一招标项目投标,提供投标企业在“国家企业信用信息公示系统”中公示的公司信息、股东或投资人信息”。</w:t>
      </w:r>
    </w:p>
    <w:p w14:paraId="14F479C4">
      <w:pPr>
        <w:spacing w:line="360" w:lineRule="auto"/>
        <w:ind w:firstLine="480" w:firstLineChars="200"/>
        <w:rPr>
          <w:rFonts w:ascii="宋体" w:hAnsi="宋体" w:cs="宋体"/>
          <w:sz w:val="24"/>
        </w:rPr>
      </w:pPr>
      <w:r>
        <w:rPr>
          <w:rFonts w:hint="eastAsia" w:ascii="宋体" w:hAnsi="宋体" w:cs="宋体"/>
          <w:sz w:val="24"/>
        </w:rPr>
        <w:t>4、本项目不接受联合体投标。</w:t>
      </w:r>
    </w:p>
    <w:p w14:paraId="69157F9D">
      <w:pPr>
        <w:spacing w:line="360" w:lineRule="auto"/>
        <w:ind w:firstLine="480" w:firstLineChars="200"/>
      </w:pPr>
      <w:r>
        <w:rPr>
          <w:rFonts w:hint="eastAsia" w:ascii="宋体" w:hAnsi="宋体" w:cs="宋体"/>
          <w:sz w:val="24"/>
        </w:rPr>
        <w:t>5、本次磋商实行资格后审，资格审查的具体要求见磋商文件。</w:t>
      </w:r>
    </w:p>
    <w:p w14:paraId="3A40CA81">
      <w:pPr>
        <w:rPr>
          <w:rFonts w:ascii="宋体" w:hAnsi="宋体" w:cs="宋体"/>
          <w:b/>
          <w:bCs/>
          <w:color w:val="000000"/>
          <w:kern w:val="10"/>
          <w:sz w:val="28"/>
          <w:szCs w:val="28"/>
        </w:rPr>
      </w:pPr>
      <w:bookmarkStart w:id="177" w:name="_Toc13642"/>
      <w:bookmarkStart w:id="178" w:name="_Toc99007064"/>
      <w:bookmarkStart w:id="179" w:name="_Toc19049"/>
      <w:bookmarkStart w:id="180" w:name="_Toc6065"/>
      <w:bookmarkStart w:id="181" w:name="_Toc30251"/>
      <w:bookmarkStart w:id="182" w:name="_Toc4481"/>
      <w:bookmarkStart w:id="183" w:name="_Toc516499677"/>
      <w:bookmarkStart w:id="184" w:name="_Toc21410"/>
      <w:bookmarkStart w:id="185" w:name="_Toc57277902"/>
      <w:r>
        <w:rPr>
          <w:rFonts w:hint="eastAsia" w:ascii="宋体" w:hAnsi="宋体" w:cs="宋体"/>
          <w:b/>
          <w:bCs/>
          <w:color w:val="000000"/>
          <w:kern w:val="10"/>
          <w:sz w:val="28"/>
          <w:szCs w:val="28"/>
        </w:rPr>
        <w:br w:type="page"/>
      </w:r>
    </w:p>
    <w:p w14:paraId="16D5D26D">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八、其他材料</w:t>
      </w:r>
      <w:bookmarkEnd w:id="175"/>
      <w:bookmarkEnd w:id="176"/>
      <w:bookmarkEnd w:id="177"/>
      <w:bookmarkEnd w:id="178"/>
      <w:bookmarkEnd w:id="179"/>
      <w:bookmarkEnd w:id="180"/>
      <w:bookmarkEnd w:id="181"/>
      <w:bookmarkEnd w:id="182"/>
      <w:bookmarkEnd w:id="183"/>
      <w:bookmarkEnd w:id="184"/>
      <w:bookmarkEnd w:id="185"/>
    </w:p>
    <w:p w14:paraId="7140F81A">
      <w:pPr>
        <w:spacing w:line="360" w:lineRule="auto"/>
        <w:jc w:val="center"/>
        <w:rPr>
          <w:rFonts w:ascii="宋体" w:hAnsi="宋体" w:cs="Arial"/>
          <w:b/>
          <w:bCs/>
          <w:sz w:val="24"/>
        </w:rPr>
      </w:pPr>
      <w:r>
        <w:rPr>
          <w:rFonts w:hint="eastAsia" w:ascii="宋体" w:hAnsi="宋体" w:cs="Arial"/>
          <w:b/>
          <w:bCs/>
          <w:sz w:val="24"/>
        </w:rPr>
        <w:t>（一）技术偏离表</w:t>
      </w:r>
    </w:p>
    <w:p w14:paraId="03E7C1BE">
      <w:pPr>
        <w:spacing w:line="360" w:lineRule="auto"/>
        <w:jc w:val="center"/>
        <w:rPr>
          <w:rFonts w:ascii="宋体" w:hAnsi="宋体" w:cs="宋体"/>
          <w:b/>
          <w:bCs/>
          <w:color w:val="000000"/>
          <w:kern w:val="10"/>
          <w:sz w:val="28"/>
          <w:szCs w:val="28"/>
        </w:rPr>
      </w:pPr>
    </w:p>
    <w:tbl>
      <w:tblPr>
        <w:tblStyle w:val="19"/>
        <w:tblW w:w="95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1771"/>
        <w:gridCol w:w="2880"/>
        <w:gridCol w:w="2160"/>
        <w:gridCol w:w="2160"/>
      </w:tblGrid>
      <w:tr w14:paraId="601D9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95" w:type="dxa"/>
          </w:tcPr>
          <w:p w14:paraId="75E79E9C">
            <w:pPr>
              <w:spacing w:line="340" w:lineRule="exact"/>
              <w:jc w:val="center"/>
              <w:rPr>
                <w:rFonts w:ascii="宋体" w:hAnsi="宋体"/>
                <w:color w:val="000000"/>
                <w:sz w:val="24"/>
              </w:rPr>
            </w:pPr>
            <w:r>
              <w:rPr>
                <w:rFonts w:hint="eastAsia" w:ascii="宋体" w:hAnsi="宋体"/>
                <w:color w:val="000000"/>
                <w:sz w:val="24"/>
              </w:rPr>
              <w:t>序</w:t>
            </w:r>
          </w:p>
          <w:p w14:paraId="64BBF0E1">
            <w:pPr>
              <w:spacing w:line="340" w:lineRule="exact"/>
              <w:jc w:val="center"/>
              <w:rPr>
                <w:rFonts w:ascii="宋体" w:hAnsi="宋体"/>
                <w:color w:val="000000"/>
                <w:sz w:val="24"/>
              </w:rPr>
            </w:pPr>
            <w:r>
              <w:rPr>
                <w:rFonts w:hint="eastAsia" w:ascii="宋体" w:hAnsi="宋体"/>
                <w:color w:val="000000"/>
                <w:sz w:val="24"/>
              </w:rPr>
              <w:t>号</w:t>
            </w:r>
          </w:p>
        </w:tc>
        <w:tc>
          <w:tcPr>
            <w:tcW w:w="1771" w:type="dxa"/>
            <w:vAlign w:val="center"/>
          </w:tcPr>
          <w:p w14:paraId="7B998727">
            <w:pPr>
              <w:spacing w:line="340" w:lineRule="exact"/>
              <w:jc w:val="center"/>
              <w:rPr>
                <w:rFonts w:ascii="宋体" w:hAnsi="宋体"/>
                <w:color w:val="000000"/>
                <w:sz w:val="24"/>
              </w:rPr>
            </w:pPr>
            <w:r>
              <w:rPr>
                <w:rFonts w:hint="eastAsia" w:ascii="宋体" w:hAnsi="宋体"/>
                <w:color w:val="000000"/>
                <w:sz w:val="24"/>
              </w:rPr>
              <w:t>产品名称</w:t>
            </w:r>
          </w:p>
        </w:tc>
        <w:tc>
          <w:tcPr>
            <w:tcW w:w="2880" w:type="dxa"/>
            <w:vAlign w:val="center"/>
          </w:tcPr>
          <w:p w14:paraId="3723A73B">
            <w:pPr>
              <w:spacing w:line="340" w:lineRule="exact"/>
              <w:jc w:val="center"/>
              <w:rPr>
                <w:rFonts w:ascii="宋体" w:hAnsi="宋体"/>
                <w:color w:val="000000"/>
                <w:sz w:val="24"/>
              </w:rPr>
            </w:pPr>
            <w:r>
              <w:rPr>
                <w:rFonts w:hint="eastAsia" w:ascii="宋体" w:hAnsi="宋体"/>
                <w:color w:val="000000"/>
                <w:sz w:val="24"/>
              </w:rPr>
              <w:t>磋商文件技术</w:t>
            </w:r>
          </w:p>
          <w:p w14:paraId="4B3145B6">
            <w:pPr>
              <w:spacing w:line="340" w:lineRule="exact"/>
              <w:jc w:val="center"/>
              <w:rPr>
                <w:rFonts w:ascii="宋体" w:hAnsi="宋体"/>
                <w:color w:val="000000"/>
                <w:sz w:val="24"/>
              </w:rPr>
            </w:pPr>
            <w:r>
              <w:rPr>
                <w:rFonts w:hint="eastAsia" w:ascii="宋体" w:hAnsi="宋体"/>
                <w:color w:val="000000"/>
                <w:sz w:val="24"/>
              </w:rPr>
              <w:t>要求（设备参数）</w:t>
            </w:r>
          </w:p>
        </w:tc>
        <w:tc>
          <w:tcPr>
            <w:tcW w:w="2160" w:type="dxa"/>
            <w:vAlign w:val="center"/>
          </w:tcPr>
          <w:p w14:paraId="6781975F">
            <w:pPr>
              <w:spacing w:before="120" w:line="340" w:lineRule="exact"/>
              <w:jc w:val="center"/>
              <w:rPr>
                <w:rFonts w:ascii="宋体" w:hAnsi="宋体"/>
                <w:color w:val="000000"/>
                <w:sz w:val="24"/>
              </w:rPr>
            </w:pPr>
            <w:r>
              <w:rPr>
                <w:rFonts w:hint="eastAsia" w:ascii="宋体" w:hAnsi="宋体"/>
                <w:color w:val="000000"/>
                <w:sz w:val="24"/>
              </w:rPr>
              <w:t>投标文件技术响应情况（列明所投产品的设备参数）</w:t>
            </w:r>
          </w:p>
        </w:tc>
        <w:tc>
          <w:tcPr>
            <w:tcW w:w="2160" w:type="dxa"/>
            <w:tcBorders>
              <w:right w:val="single" w:color="auto" w:sz="4" w:space="0"/>
            </w:tcBorders>
            <w:vAlign w:val="center"/>
          </w:tcPr>
          <w:p w14:paraId="36250B43">
            <w:pPr>
              <w:spacing w:before="120" w:line="240" w:lineRule="exact"/>
              <w:jc w:val="center"/>
              <w:rPr>
                <w:rFonts w:ascii="宋体" w:hAnsi="宋体"/>
                <w:color w:val="000000"/>
                <w:sz w:val="24"/>
              </w:rPr>
            </w:pPr>
            <w:r>
              <w:rPr>
                <w:rFonts w:hint="eastAsia" w:ascii="宋体" w:hAnsi="宋体"/>
                <w:color w:val="000000"/>
                <w:sz w:val="24"/>
              </w:rPr>
              <w:t>偏离描述（描述技术是否具有正、负偏差）</w:t>
            </w:r>
          </w:p>
        </w:tc>
      </w:tr>
      <w:tr w14:paraId="3AD38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595" w:type="dxa"/>
            <w:tcBorders>
              <w:bottom w:val="single" w:color="auto" w:sz="4" w:space="0"/>
            </w:tcBorders>
          </w:tcPr>
          <w:p w14:paraId="0FDCD53B">
            <w:pPr>
              <w:rPr>
                <w:rFonts w:ascii="宋体" w:hAnsi="宋体"/>
                <w:color w:val="000000"/>
                <w:sz w:val="24"/>
              </w:rPr>
            </w:pPr>
          </w:p>
        </w:tc>
        <w:tc>
          <w:tcPr>
            <w:tcW w:w="1771" w:type="dxa"/>
            <w:tcBorders>
              <w:bottom w:val="single" w:color="auto" w:sz="4" w:space="0"/>
            </w:tcBorders>
          </w:tcPr>
          <w:p w14:paraId="59D07807">
            <w:pPr>
              <w:rPr>
                <w:rFonts w:ascii="宋体" w:hAnsi="宋体"/>
                <w:color w:val="000000"/>
                <w:sz w:val="24"/>
              </w:rPr>
            </w:pPr>
          </w:p>
        </w:tc>
        <w:tc>
          <w:tcPr>
            <w:tcW w:w="2880" w:type="dxa"/>
            <w:tcBorders>
              <w:bottom w:val="single" w:color="auto" w:sz="4" w:space="0"/>
            </w:tcBorders>
          </w:tcPr>
          <w:p w14:paraId="1DEB93F3">
            <w:pPr>
              <w:rPr>
                <w:rFonts w:ascii="宋体" w:hAnsi="宋体"/>
                <w:color w:val="000000"/>
                <w:sz w:val="24"/>
              </w:rPr>
            </w:pPr>
          </w:p>
        </w:tc>
        <w:tc>
          <w:tcPr>
            <w:tcW w:w="2160" w:type="dxa"/>
            <w:tcBorders>
              <w:bottom w:val="single" w:color="auto" w:sz="4" w:space="0"/>
            </w:tcBorders>
          </w:tcPr>
          <w:p w14:paraId="47D15EC8">
            <w:pPr>
              <w:rPr>
                <w:rFonts w:ascii="宋体" w:hAnsi="宋体"/>
                <w:color w:val="000000"/>
                <w:sz w:val="24"/>
              </w:rPr>
            </w:pPr>
          </w:p>
        </w:tc>
        <w:tc>
          <w:tcPr>
            <w:tcW w:w="2160" w:type="dxa"/>
            <w:tcBorders>
              <w:bottom w:val="single" w:color="auto" w:sz="4" w:space="0"/>
              <w:right w:val="single" w:color="auto" w:sz="4" w:space="0"/>
            </w:tcBorders>
          </w:tcPr>
          <w:p w14:paraId="40310164">
            <w:pPr>
              <w:rPr>
                <w:rFonts w:ascii="宋体" w:hAnsi="宋体"/>
                <w:color w:val="000000"/>
                <w:sz w:val="24"/>
              </w:rPr>
            </w:pPr>
          </w:p>
        </w:tc>
      </w:tr>
      <w:tr w14:paraId="76014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595" w:type="dxa"/>
            <w:tcBorders>
              <w:top w:val="single" w:color="auto" w:sz="4" w:space="0"/>
              <w:bottom w:val="single" w:color="auto" w:sz="4" w:space="0"/>
            </w:tcBorders>
          </w:tcPr>
          <w:p w14:paraId="6263C7CE">
            <w:pPr>
              <w:rPr>
                <w:rFonts w:ascii="宋体" w:hAnsi="宋体"/>
                <w:color w:val="000000"/>
                <w:sz w:val="24"/>
              </w:rPr>
            </w:pPr>
          </w:p>
        </w:tc>
        <w:tc>
          <w:tcPr>
            <w:tcW w:w="1771" w:type="dxa"/>
            <w:tcBorders>
              <w:top w:val="single" w:color="auto" w:sz="4" w:space="0"/>
              <w:bottom w:val="single" w:color="auto" w:sz="4" w:space="0"/>
            </w:tcBorders>
          </w:tcPr>
          <w:p w14:paraId="6DEE9BDE">
            <w:pPr>
              <w:rPr>
                <w:rFonts w:ascii="宋体" w:hAnsi="宋体"/>
                <w:color w:val="000000"/>
                <w:sz w:val="24"/>
              </w:rPr>
            </w:pPr>
          </w:p>
        </w:tc>
        <w:tc>
          <w:tcPr>
            <w:tcW w:w="2880" w:type="dxa"/>
            <w:tcBorders>
              <w:top w:val="single" w:color="auto" w:sz="4" w:space="0"/>
              <w:bottom w:val="single" w:color="auto" w:sz="4" w:space="0"/>
            </w:tcBorders>
          </w:tcPr>
          <w:p w14:paraId="61686639">
            <w:pPr>
              <w:rPr>
                <w:rFonts w:ascii="宋体" w:hAnsi="宋体"/>
                <w:color w:val="000000"/>
                <w:sz w:val="24"/>
              </w:rPr>
            </w:pPr>
          </w:p>
        </w:tc>
        <w:tc>
          <w:tcPr>
            <w:tcW w:w="2160" w:type="dxa"/>
            <w:tcBorders>
              <w:top w:val="single" w:color="auto" w:sz="4" w:space="0"/>
              <w:bottom w:val="single" w:color="auto" w:sz="4" w:space="0"/>
            </w:tcBorders>
          </w:tcPr>
          <w:p w14:paraId="7523F6B2">
            <w:pPr>
              <w:rPr>
                <w:rFonts w:ascii="宋体" w:hAnsi="宋体"/>
                <w:color w:val="000000"/>
                <w:sz w:val="24"/>
              </w:rPr>
            </w:pPr>
          </w:p>
        </w:tc>
        <w:tc>
          <w:tcPr>
            <w:tcW w:w="2160" w:type="dxa"/>
            <w:tcBorders>
              <w:top w:val="single" w:color="auto" w:sz="4" w:space="0"/>
              <w:bottom w:val="single" w:color="auto" w:sz="4" w:space="0"/>
              <w:right w:val="single" w:color="auto" w:sz="4" w:space="0"/>
            </w:tcBorders>
          </w:tcPr>
          <w:p w14:paraId="148E3165">
            <w:pPr>
              <w:rPr>
                <w:rFonts w:ascii="宋体" w:hAnsi="宋体"/>
                <w:color w:val="000000"/>
                <w:sz w:val="24"/>
              </w:rPr>
            </w:pPr>
          </w:p>
        </w:tc>
      </w:tr>
      <w:tr w14:paraId="106FE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595" w:type="dxa"/>
            <w:tcBorders>
              <w:top w:val="single" w:color="auto" w:sz="4" w:space="0"/>
              <w:bottom w:val="single" w:color="auto" w:sz="4" w:space="0"/>
            </w:tcBorders>
          </w:tcPr>
          <w:p w14:paraId="7DA6CB1D">
            <w:pPr>
              <w:rPr>
                <w:rFonts w:ascii="宋体" w:hAnsi="宋体"/>
                <w:color w:val="000000"/>
                <w:sz w:val="24"/>
              </w:rPr>
            </w:pPr>
          </w:p>
        </w:tc>
        <w:tc>
          <w:tcPr>
            <w:tcW w:w="1771" w:type="dxa"/>
            <w:tcBorders>
              <w:top w:val="single" w:color="auto" w:sz="4" w:space="0"/>
              <w:bottom w:val="single" w:color="auto" w:sz="4" w:space="0"/>
            </w:tcBorders>
          </w:tcPr>
          <w:p w14:paraId="54B05DAA">
            <w:pPr>
              <w:rPr>
                <w:rFonts w:ascii="宋体" w:hAnsi="宋体"/>
                <w:color w:val="000000"/>
                <w:sz w:val="24"/>
              </w:rPr>
            </w:pPr>
          </w:p>
        </w:tc>
        <w:tc>
          <w:tcPr>
            <w:tcW w:w="2880" w:type="dxa"/>
            <w:tcBorders>
              <w:top w:val="single" w:color="auto" w:sz="4" w:space="0"/>
              <w:bottom w:val="single" w:color="auto" w:sz="4" w:space="0"/>
            </w:tcBorders>
          </w:tcPr>
          <w:p w14:paraId="3F73FF40">
            <w:pPr>
              <w:rPr>
                <w:rFonts w:ascii="宋体" w:hAnsi="宋体"/>
                <w:color w:val="000000"/>
                <w:sz w:val="24"/>
              </w:rPr>
            </w:pPr>
          </w:p>
        </w:tc>
        <w:tc>
          <w:tcPr>
            <w:tcW w:w="2160" w:type="dxa"/>
            <w:tcBorders>
              <w:top w:val="single" w:color="auto" w:sz="4" w:space="0"/>
              <w:bottom w:val="single" w:color="auto" w:sz="4" w:space="0"/>
            </w:tcBorders>
          </w:tcPr>
          <w:p w14:paraId="16B665AC">
            <w:pPr>
              <w:rPr>
                <w:rFonts w:ascii="宋体" w:hAnsi="宋体"/>
                <w:color w:val="000000"/>
                <w:sz w:val="24"/>
              </w:rPr>
            </w:pPr>
          </w:p>
        </w:tc>
        <w:tc>
          <w:tcPr>
            <w:tcW w:w="2160" w:type="dxa"/>
            <w:tcBorders>
              <w:top w:val="single" w:color="auto" w:sz="4" w:space="0"/>
              <w:bottom w:val="single" w:color="auto" w:sz="4" w:space="0"/>
              <w:right w:val="single" w:color="auto" w:sz="4" w:space="0"/>
            </w:tcBorders>
          </w:tcPr>
          <w:p w14:paraId="7CB0C695">
            <w:pPr>
              <w:rPr>
                <w:rFonts w:ascii="宋体" w:hAnsi="宋体"/>
                <w:color w:val="000000"/>
                <w:sz w:val="24"/>
              </w:rPr>
            </w:pPr>
          </w:p>
        </w:tc>
      </w:tr>
      <w:tr w14:paraId="6EB03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595" w:type="dxa"/>
            <w:tcBorders>
              <w:top w:val="single" w:color="auto" w:sz="4" w:space="0"/>
              <w:bottom w:val="single" w:color="auto" w:sz="4" w:space="0"/>
            </w:tcBorders>
          </w:tcPr>
          <w:p w14:paraId="5533A62B">
            <w:pPr>
              <w:rPr>
                <w:rFonts w:ascii="宋体" w:hAnsi="宋体"/>
                <w:color w:val="000000"/>
                <w:sz w:val="24"/>
              </w:rPr>
            </w:pPr>
          </w:p>
        </w:tc>
        <w:tc>
          <w:tcPr>
            <w:tcW w:w="1771" w:type="dxa"/>
            <w:tcBorders>
              <w:top w:val="single" w:color="auto" w:sz="4" w:space="0"/>
              <w:bottom w:val="single" w:color="auto" w:sz="4" w:space="0"/>
            </w:tcBorders>
          </w:tcPr>
          <w:p w14:paraId="63BC985F">
            <w:pPr>
              <w:rPr>
                <w:rFonts w:ascii="宋体" w:hAnsi="宋体"/>
                <w:color w:val="000000"/>
                <w:sz w:val="24"/>
              </w:rPr>
            </w:pPr>
          </w:p>
        </w:tc>
        <w:tc>
          <w:tcPr>
            <w:tcW w:w="2880" w:type="dxa"/>
            <w:tcBorders>
              <w:top w:val="single" w:color="auto" w:sz="4" w:space="0"/>
              <w:bottom w:val="single" w:color="auto" w:sz="4" w:space="0"/>
            </w:tcBorders>
          </w:tcPr>
          <w:p w14:paraId="16205064">
            <w:pPr>
              <w:rPr>
                <w:rFonts w:ascii="宋体" w:hAnsi="宋体"/>
                <w:color w:val="000000"/>
                <w:sz w:val="24"/>
              </w:rPr>
            </w:pPr>
          </w:p>
        </w:tc>
        <w:tc>
          <w:tcPr>
            <w:tcW w:w="2160" w:type="dxa"/>
            <w:tcBorders>
              <w:top w:val="single" w:color="auto" w:sz="4" w:space="0"/>
              <w:bottom w:val="single" w:color="auto" w:sz="4" w:space="0"/>
            </w:tcBorders>
          </w:tcPr>
          <w:p w14:paraId="52F4D80F">
            <w:pPr>
              <w:rPr>
                <w:rFonts w:ascii="宋体" w:hAnsi="宋体"/>
                <w:color w:val="000000"/>
                <w:sz w:val="24"/>
              </w:rPr>
            </w:pPr>
          </w:p>
        </w:tc>
        <w:tc>
          <w:tcPr>
            <w:tcW w:w="2160" w:type="dxa"/>
            <w:tcBorders>
              <w:top w:val="single" w:color="auto" w:sz="4" w:space="0"/>
              <w:bottom w:val="single" w:color="auto" w:sz="4" w:space="0"/>
              <w:right w:val="single" w:color="auto" w:sz="4" w:space="0"/>
            </w:tcBorders>
          </w:tcPr>
          <w:p w14:paraId="5AAC4BB4">
            <w:pPr>
              <w:rPr>
                <w:rFonts w:ascii="宋体" w:hAnsi="宋体"/>
                <w:color w:val="000000"/>
                <w:sz w:val="24"/>
              </w:rPr>
            </w:pPr>
          </w:p>
        </w:tc>
      </w:tr>
    </w:tbl>
    <w:p w14:paraId="2352C766">
      <w:pPr>
        <w:autoSpaceDE w:val="0"/>
        <w:autoSpaceDN w:val="0"/>
        <w:spacing w:line="360" w:lineRule="exact"/>
        <w:ind w:right="26"/>
        <w:rPr>
          <w:rFonts w:ascii="宋体" w:hAnsi="宋体"/>
          <w:color w:val="000000"/>
          <w:szCs w:val="21"/>
        </w:rPr>
      </w:pPr>
    </w:p>
    <w:p w14:paraId="17A5573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注：1、供应商必须按要求规范填写所有投报产品的技术偏离；</w:t>
      </w:r>
    </w:p>
    <w:p w14:paraId="0CF9453B">
      <w:pPr>
        <w:spacing w:line="360" w:lineRule="auto"/>
        <w:ind w:firstLine="480" w:firstLineChars="200"/>
        <w:rPr>
          <w:rFonts w:ascii="宋体" w:hAnsi="宋体" w:cs="宋体"/>
          <w:b/>
          <w:color w:val="000000"/>
          <w:kern w:val="10"/>
          <w:sz w:val="24"/>
        </w:rPr>
      </w:pPr>
      <w:r>
        <w:rPr>
          <w:rFonts w:hint="eastAsia" w:ascii="宋体" w:hAnsi="宋体" w:cs="宋体"/>
          <w:color w:val="000000"/>
          <w:kern w:val="10"/>
          <w:sz w:val="24"/>
        </w:rPr>
        <w:t>2、</w:t>
      </w:r>
      <w:r>
        <w:rPr>
          <w:rFonts w:hint="eastAsia" w:ascii="宋体" w:hAnsi="宋体" w:cs="宋体"/>
          <w:b/>
          <w:bCs/>
          <w:color w:val="000000"/>
          <w:kern w:val="10"/>
          <w:sz w:val="24"/>
        </w:rPr>
        <w:t>供应商</w:t>
      </w:r>
      <w:r>
        <w:rPr>
          <w:rFonts w:hint="eastAsia" w:ascii="宋体" w:hAnsi="宋体" w:cs="宋体"/>
          <w:b/>
          <w:color w:val="000000"/>
          <w:kern w:val="10"/>
          <w:sz w:val="24"/>
        </w:rPr>
        <w:t>必须根据所投产品的实际情况如实填写，不得复制粘贴采购技术参数一览表中技术参数描述，评委会如发现有虚假描述的，技术标部分将视为0分。</w:t>
      </w:r>
    </w:p>
    <w:p w14:paraId="3EDD6B16">
      <w:pPr>
        <w:spacing w:line="360" w:lineRule="auto"/>
        <w:ind w:firstLine="480" w:firstLineChars="200"/>
        <w:rPr>
          <w:rFonts w:ascii="宋体" w:hAnsi="宋体" w:cs="宋体"/>
          <w:color w:val="000000"/>
          <w:kern w:val="10"/>
          <w:sz w:val="24"/>
        </w:rPr>
      </w:pPr>
      <w:r>
        <w:rPr>
          <w:rFonts w:hint="eastAsia" w:ascii="宋体" w:hAnsi="宋体" w:cs="宋体"/>
          <w:b/>
          <w:color w:val="000000"/>
          <w:kern w:val="10"/>
          <w:sz w:val="24"/>
        </w:rPr>
        <w:t>3、供应商应根据采购货物技术参数一览表在本表后附相关</w:t>
      </w:r>
      <w:r>
        <w:rPr>
          <w:rFonts w:hint="eastAsia" w:ascii="宋体" w:hAnsi="宋体" w:cs="宋体"/>
          <w:b/>
          <w:color w:val="000000"/>
          <w:sz w:val="24"/>
        </w:rPr>
        <w:t>检测报告、生产厂家提供的技术证明文件、彩页等文件，并完善主体信息库。</w:t>
      </w:r>
    </w:p>
    <w:p w14:paraId="641A2B69">
      <w:pPr>
        <w:spacing w:line="360" w:lineRule="auto"/>
        <w:rPr>
          <w:rFonts w:ascii="宋体" w:hAnsi="宋体" w:cs="宋体"/>
          <w:color w:val="000000"/>
          <w:kern w:val="10"/>
          <w:sz w:val="24"/>
        </w:rPr>
      </w:pPr>
    </w:p>
    <w:p w14:paraId="13463D7C">
      <w:pPr>
        <w:spacing w:line="360" w:lineRule="auto"/>
        <w:rPr>
          <w:rFonts w:ascii="宋体" w:hAnsi="宋体" w:cs="宋体"/>
          <w:color w:val="000000"/>
          <w:kern w:val="10"/>
          <w:sz w:val="24"/>
        </w:rPr>
      </w:pPr>
    </w:p>
    <w:p w14:paraId="35B27372">
      <w:pPr>
        <w:spacing w:line="360" w:lineRule="auto"/>
        <w:rPr>
          <w:rFonts w:ascii="宋体" w:hAnsi="宋体" w:cs="宋体"/>
          <w:color w:val="000000"/>
          <w:kern w:val="10"/>
          <w:sz w:val="24"/>
        </w:rPr>
      </w:pPr>
    </w:p>
    <w:p w14:paraId="6BC912F4">
      <w:pPr>
        <w:spacing w:line="360" w:lineRule="auto"/>
        <w:rPr>
          <w:rFonts w:ascii="宋体" w:hAnsi="宋体" w:cs="宋体"/>
          <w:color w:val="000000"/>
          <w:kern w:val="10"/>
          <w:sz w:val="24"/>
        </w:rPr>
      </w:pPr>
    </w:p>
    <w:p w14:paraId="657A0961">
      <w:pPr>
        <w:spacing w:line="360" w:lineRule="auto"/>
        <w:rPr>
          <w:rFonts w:ascii="宋体" w:hAnsi="宋体" w:cs="宋体"/>
          <w:color w:val="000000"/>
          <w:kern w:val="10"/>
          <w:sz w:val="24"/>
        </w:rPr>
      </w:pPr>
    </w:p>
    <w:p w14:paraId="281E6D9B">
      <w:pPr>
        <w:spacing w:line="360" w:lineRule="auto"/>
        <w:jc w:val="center"/>
        <w:rPr>
          <w:rFonts w:ascii="宋体" w:hAnsi="宋体" w:cs="宋体"/>
          <w:b/>
          <w:bCs/>
          <w:color w:val="000000"/>
          <w:kern w:val="10"/>
          <w:sz w:val="28"/>
          <w:szCs w:val="28"/>
        </w:rPr>
      </w:pPr>
    </w:p>
    <w:p w14:paraId="2AAF9768">
      <w:pPr>
        <w:spacing w:line="360" w:lineRule="auto"/>
        <w:jc w:val="center"/>
        <w:rPr>
          <w:rFonts w:ascii="宋体" w:hAnsi="宋体" w:cs="宋体"/>
          <w:color w:val="000000"/>
          <w:kern w:val="10"/>
          <w:sz w:val="24"/>
        </w:rPr>
      </w:pPr>
      <w:r>
        <w:rPr>
          <w:rFonts w:hint="eastAsia" w:ascii="宋体" w:hAnsi="宋体" w:cs="宋体"/>
          <w:color w:val="000000"/>
          <w:kern w:val="10"/>
          <w:sz w:val="24"/>
        </w:rPr>
        <w:t xml:space="preserve">                            供应商：</w:t>
      </w:r>
      <w:r>
        <w:rPr>
          <w:rFonts w:hint="eastAsia" w:ascii="宋体" w:hAnsi="宋体" w:cs="宋体"/>
          <w:color w:val="000000"/>
          <w:kern w:val="10"/>
          <w:sz w:val="24"/>
          <w:u w:val="single"/>
        </w:rPr>
        <w:t xml:space="preserve">       （电子签章） </w:t>
      </w:r>
    </w:p>
    <w:p w14:paraId="6A24546A">
      <w:pPr>
        <w:spacing w:line="360" w:lineRule="auto"/>
        <w:rPr>
          <w:rFonts w:ascii="宋体" w:hAnsi="宋体" w:cs="宋体"/>
          <w:color w:val="000000"/>
          <w:kern w:val="10"/>
          <w:sz w:val="24"/>
          <w:u w:val="single"/>
        </w:rPr>
      </w:pPr>
      <w:r>
        <w:rPr>
          <w:rFonts w:hint="eastAsia" w:ascii="宋体" w:hAnsi="宋体" w:cs="宋体"/>
          <w:color w:val="000000"/>
          <w:kern w:val="10"/>
          <w:sz w:val="24"/>
        </w:rPr>
        <w:t xml:space="preserve">                                      法定代表人：</w:t>
      </w:r>
      <w:r>
        <w:rPr>
          <w:rFonts w:hint="eastAsia" w:ascii="宋体" w:hAnsi="宋体" w:cs="宋体"/>
          <w:color w:val="000000"/>
          <w:kern w:val="10"/>
          <w:sz w:val="24"/>
          <w:u w:val="single"/>
        </w:rPr>
        <w:t xml:space="preserve">    （电子签章） </w:t>
      </w:r>
      <w:r>
        <w:rPr>
          <w:rFonts w:hint="eastAsia" w:ascii="宋体" w:hAnsi="宋体" w:cs="宋体"/>
          <w:color w:val="000000"/>
          <w:kern w:val="10"/>
          <w:sz w:val="24"/>
        </w:rPr>
        <w:t xml:space="preserve"> </w:t>
      </w:r>
    </w:p>
    <w:p w14:paraId="6180B9D9">
      <w:pPr>
        <w:spacing w:line="360" w:lineRule="auto"/>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年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月</w:t>
      </w:r>
      <w:r>
        <w:rPr>
          <w:rFonts w:hint="eastAsia" w:ascii="宋体" w:hAnsi="宋体" w:cs="宋体"/>
          <w:color w:val="000000"/>
          <w:kern w:val="10"/>
          <w:sz w:val="24"/>
          <w:u w:val="single"/>
        </w:rPr>
        <w:t xml:space="preserve">     </w:t>
      </w:r>
      <w:r>
        <w:rPr>
          <w:rFonts w:hint="eastAsia" w:ascii="宋体" w:hAnsi="宋体" w:cs="宋体"/>
          <w:color w:val="000000"/>
          <w:kern w:val="10"/>
          <w:sz w:val="24"/>
        </w:rPr>
        <w:t>日</w:t>
      </w:r>
    </w:p>
    <w:p w14:paraId="05A8B7F8">
      <w:pPr>
        <w:spacing w:line="440" w:lineRule="exact"/>
        <w:rPr>
          <w:rFonts w:ascii="宋体" w:hAnsi="宋体" w:cs="宋体"/>
        </w:rPr>
      </w:pPr>
    </w:p>
    <w:p w14:paraId="27562C63">
      <w:pPr>
        <w:rPr>
          <w:rFonts w:ascii="宋体" w:hAnsi="宋体" w:cs="Arial"/>
          <w:b/>
          <w:bCs/>
          <w:sz w:val="24"/>
        </w:rPr>
      </w:pPr>
      <w:r>
        <w:rPr>
          <w:rFonts w:hint="eastAsia" w:ascii="宋体" w:hAnsi="宋体" w:cs="Arial"/>
          <w:b/>
          <w:bCs/>
          <w:sz w:val="24"/>
        </w:rPr>
        <w:br w:type="page"/>
      </w:r>
    </w:p>
    <w:p w14:paraId="64670A24">
      <w:pPr>
        <w:jc w:val="center"/>
        <w:rPr>
          <w:rFonts w:ascii="宋体" w:hAnsi="宋体" w:cs="宋体"/>
        </w:rPr>
      </w:pPr>
      <w:r>
        <w:rPr>
          <w:rFonts w:hint="eastAsia" w:ascii="宋体" w:hAnsi="宋体" w:cs="Arial"/>
          <w:b/>
          <w:bCs/>
          <w:sz w:val="24"/>
        </w:rPr>
        <w:t>（二）承诺函</w:t>
      </w:r>
    </w:p>
    <w:p w14:paraId="5843D6C8">
      <w:pPr>
        <w:spacing w:line="360" w:lineRule="auto"/>
        <w:rPr>
          <w:rFonts w:ascii="宋体" w:hAnsi="宋体" w:cs="宋体"/>
          <w:color w:val="000000"/>
          <w:kern w:val="10"/>
          <w:sz w:val="24"/>
        </w:rPr>
      </w:pPr>
      <w:r>
        <w:rPr>
          <w:rFonts w:hint="eastAsia" w:ascii="宋体" w:hAnsi="宋体" w:cs="宋体"/>
          <w:color w:val="000000"/>
          <w:kern w:val="10"/>
          <w:sz w:val="24"/>
        </w:rPr>
        <w:t>致：____________________（采购人及采购代理机构）</w:t>
      </w:r>
    </w:p>
    <w:p w14:paraId="20FEAE82">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我公司作为本次招标项目的投标人，根据磋商文件要求，现郑重承诺如下：</w:t>
      </w:r>
    </w:p>
    <w:p w14:paraId="1AB90A4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一、具备《中华人民共和国政府采购法》第二十二条第一款和本项目规定的条件：</w:t>
      </w:r>
    </w:p>
    <w:p w14:paraId="4B1C8F5F">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（一）具有独立承担民事责任的能力；</w:t>
      </w:r>
    </w:p>
    <w:p w14:paraId="33D889EF">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（二）具有良好的商业信誉和健全的财务会计制度；</w:t>
      </w:r>
    </w:p>
    <w:p w14:paraId="4A6FF842">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（三）具有履行合同所必需的设备和专业技术能力；</w:t>
      </w:r>
    </w:p>
    <w:p w14:paraId="1F0CFF50">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（四）有依法缴纳税收和社会保障资金的良好记录；</w:t>
      </w:r>
    </w:p>
    <w:p w14:paraId="534AAEDC">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（五）参加政府采购活动前三年内，在经营活动中没有重大违法记录；</w:t>
      </w:r>
    </w:p>
    <w:p w14:paraId="58B47904">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（六）法律、行政法规规定的其他条件；</w:t>
      </w:r>
    </w:p>
    <w:p w14:paraId="5F68259C">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（七）根据招标项目提出的特殊条件。</w:t>
      </w:r>
    </w:p>
    <w:p w14:paraId="742CEAF0">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1CC9D4E1">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三、参加本次招标采购活动，不存在与单位负责人为同一人或者存在直接控股、管理关系的其他投标人参与同一合同项下的政府采购活动的行为。</w:t>
      </w:r>
    </w:p>
    <w:p w14:paraId="75DB3ADE">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四、参加本次招标采购活动，不存在为招标项目提供整体设计、规范编制或者项目管理、监理、检测等服务的行为。</w:t>
      </w:r>
    </w:p>
    <w:p w14:paraId="5F3AEF93">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五、参加本次招标采购活动，不存在和其他投标人在同一合同项下的采购项目中，同时委托同一个自然人、同一家庭的人员、同一单位的人员作为代理人的行为。</w:t>
      </w:r>
    </w:p>
    <w:p w14:paraId="07899FF7">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六、投标人参加本次政府采购活动要求在近三年内投标人和其法定代表人没有行贿犯罪行为。</w:t>
      </w:r>
    </w:p>
    <w:p w14:paraId="7AFEA7CB">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七、参加本次招标采购活动，不存在联合体投标。</w:t>
      </w:r>
    </w:p>
    <w:p w14:paraId="29CECD7C">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八、投标文件中提供的能够给予我公司带来优惠、好处的任何材料资料和技术、服务、商务等响应承诺情况都是真实的、有效的、合法的。</w:t>
      </w:r>
    </w:p>
    <w:p w14:paraId="4824BAA8">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九、存在以下行为之一的愿意接受相关部门的处理：</w:t>
      </w:r>
    </w:p>
    <w:p w14:paraId="4E8F9BC5">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（一）投标有效期内撤销投标文件的；</w:t>
      </w:r>
    </w:p>
    <w:p w14:paraId="0B67DFA0">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（二）在招标人确定中标人以前放弃中标候选资格的；</w:t>
      </w:r>
    </w:p>
    <w:p w14:paraId="36C5DD97">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（三）由于中标人的原因未能按照磋商文件的规定与招标人签订合同；</w:t>
      </w:r>
    </w:p>
    <w:p w14:paraId="7D2175A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（四）由于中标人的原因未能按照磋商文件的规定交纳履约保证金；</w:t>
      </w:r>
    </w:p>
    <w:p w14:paraId="64D477EB">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（五）在投标文件中提供虚假材料谋取中标；</w:t>
      </w:r>
    </w:p>
    <w:p w14:paraId="1F3563F7">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（六）与招标人、其他投标人或者招标代理机构恶意串通的；</w:t>
      </w:r>
    </w:p>
    <w:p w14:paraId="1A4838B2">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（七）投标有效期内，投标人在政府采购活动中有违法、违规、违纪行为。</w:t>
      </w:r>
    </w:p>
    <w:p w14:paraId="464A795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由此产生的一切法律后果和责任由我公司承担。我公司声明放弃对此提出任何异议和追索的权利。</w:t>
      </w:r>
    </w:p>
    <w:p w14:paraId="7BC76C6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本公司对上述承诺的内容事项真实性负责。如经查实上述承诺的内容事项存在虚假，我公司愿意接受以提供虚假材料谋取中标追究法律责任。</w:t>
      </w:r>
    </w:p>
    <w:p w14:paraId="523EBAE7">
      <w:pPr>
        <w:spacing w:line="360" w:lineRule="auto"/>
        <w:ind w:firstLine="480" w:firstLineChars="200"/>
        <w:rPr>
          <w:rFonts w:ascii="宋体" w:hAnsi="宋体" w:cs="宋体"/>
          <w:color w:val="000000"/>
          <w:kern w:val="10"/>
          <w:sz w:val="24"/>
        </w:rPr>
      </w:pPr>
    </w:p>
    <w:p w14:paraId="3CBFACAD">
      <w:pPr>
        <w:spacing w:line="360" w:lineRule="auto"/>
        <w:ind w:firstLine="480" w:firstLineChars="200"/>
        <w:rPr>
          <w:rFonts w:ascii="宋体" w:hAnsi="宋体" w:cs="宋体"/>
          <w:color w:val="000000"/>
          <w:kern w:val="10"/>
          <w:sz w:val="24"/>
        </w:rPr>
      </w:pPr>
    </w:p>
    <w:p w14:paraId="5C9B56F0">
      <w:pPr>
        <w:spacing w:line="360" w:lineRule="auto"/>
        <w:ind w:firstLine="480" w:firstLineChars="200"/>
        <w:rPr>
          <w:rFonts w:ascii="宋体" w:hAnsi="宋体" w:cs="宋体"/>
          <w:color w:val="000000"/>
          <w:kern w:val="10"/>
          <w:sz w:val="24"/>
        </w:rPr>
      </w:pPr>
    </w:p>
    <w:p w14:paraId="1AD60308">
      <w:pPr>
        <w:spacing w:line="360" w:lineRule="auto"/>
        <w:ind w:firstLine="480" w:firstLineChars="200"/>
        <w:rPr>
          <w:rFonts w:ascii="宋体" w:hAnsi="宋体" w:cs="宋体"/>
          <w:color w:val="000000"/>
          <w:kern w:val="10"/>
          <w:sz w:val="24"/>
        </w:rPr>
      </w:pPr>
    </w:p>
    <w:p w14:paraId="7982EFF3">
      <w:pPr>
        <w:spacing w:line="360" w:lineRule="auto"/>
        <w:jc w:val="right"/>
        <w:rPr>
          <w:rFonts w:ascii="宋体" w:hAnsi="宋体" w:cs="宋体"/>
          <w:color w:val="000000"/>
          <w:kern w:val="10"/>
          <w:sz w:val="24"/>
        </w:rPr>
      </w:pPr>
      <w:r>
        <w:rPr>
          <w:rFonts w:hint="eastAsia" w:ascii="宋体" w:hAnsi="宋体" w:cs="宋体"/>
          <w:color w:val="000000"/>
          <w:kern w:val="10"/>
          <w:sz w:val="24"/>
        </w:rPr>
        <w:t>供应商：</w:t>
      </w:r>
      <w:r>
        <w:rPr>
          <w:rFonts w:hint="eastAsia" w:ascii="宋体" w:hAnsi="宋体" w:cs="宋体"/>
          <w:color w:val="000000"/>
          <w:kern w:val="10"/>
          <w:sz w:val="24"/>
          <w:u w:val="single"/>
        </w:rPr>
        <w:t xml:space="preserve">                     （电子签章）</w:t>
      </w:r>
    </w:p>
    <w:p w14:paraId="702015BB">
      <w:pPr>
        <w:spacing w:line="360" w:lineRule="auto"/>
        <w:jc w:val="right"/>
        <w:rPr>
          <w:rFonts w:ascii="宋体" w:hAnsi="宋体" w:cs="宋体"/>
          <w:color w:val="000000"/>
          <w:kern w:val="10"/>
          <w:sz w:val="24"/>
          <w:u w:val="single"/>
        </w:rPr>
      </w:pPr>
      <w:r>
        <w:rPr>
          <w:rFonts w:hint="eastAsia" w:ascii="宋体" w:hAnsi="宋体" w:cs="宋体"/>
          <w:color w:val="000000"/>
          <w:kern w:val="10"/>
          <w:sz w:val="24"/>
        </w:rPr>
        <w:t>法定代表人：</w:t>
      </w:r>
      <w:r>
        <w:rPr>
          <w:rFonts w:hint="eastAsia" w:ascii="宋体" w:hAnsi="宋体" w:cs="宋体"/>
          <w:color w:val="000000"/>
          <w:kern w:val="10"/>
          <w:sz w:val="24"/>
          <w:u w:val="single"/>
        </w:rPr>
        <w:t xml:space="preserve">                 （电子签章）</w:t>
      </w:r>
    </w:p>
    <w:p w14:paraId="4DAB5FD0">
      <w:pPr>
        <w:spacing w:line="360" w:lineRule="auto"/>
        <w:jc w:val="right"/>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年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月</w:t>
      </w:r>
      <w:r>
        <w:rPr>
          <w:rFonts w:hint="eastAsia" w:ascii="宋体" w:hAnsi="宋体" w:cs="宋体"/>
          <w:color w:val="000000"/>
          <w:kern w:val="10"/>
          <w:sz w:val="24"/>
          <w:u w:val="single"/>
        </w:rPr>
        <w:t xml:space="preserve">      </w:t>
      </w:r>
      <w:r>
        <w:rPr>
          <w:rFonts w:hint="eastAsia" w:ascii="宋体" w:hAnsi="宋体" w:cs="宋体"/>
          <w:color w:val="000000"/>
          <w:kern w:val="10"/>
          <w:sz w:val="24"/>
        </w:rPr>
        <w:t>日</w:t>
      </w:r>
    </w:p>
    <w:p w14:paraId="0EA9F3F4"/>
    <w:p w14:paraId="709F11BF"/>
    <w:p w14:paraId="43EE99B4">
      <w:pPr>
        <w:pStyle w:val="6"/>
      </w:pPr>
    </w:p>
    <w:p w14:paraId="771EE1E4">
      <w:pPr>
        <w:pStyle w:val="6"/>
      </w:pPr>
    </w:p>
    <w:p w14:paraId="04CFD696">
      <w:pPr>
        <w:pStyle w:val="6"/>
      </w:pPr>
    </w:p>
    <w:p w14:paraId="01503FDF">
      <w:pPr>
        <w:pStyle w:val="6"/>
      </w:pPr>
    </w:p>
    <w:p w14:paraId="71833CC8">
      <w:pPr>
        <w:pStyle w:val="6"/>
      </w:pPr>
    </w:p>
    <w:p w14:paraId="331441D1">
      <w:pPr>
        <w:pStyle w:val="6"/>
      </w:pPr>
    </w:p>
    <w:p w14:paraId="3592A1EF">
      <w:pPr>
        <w:pStyle w:val="6"/>
      </w:pPr>
    </w:p>
    <w:p w14:paraId="79C7365E">
      <w:pPr>
        <w:pStyle w:val="6"/>
      </w:pPr>
    </w:p>
    <w:p w14:paraId="73359DA3">
      <w:pPr>
        <w:rPr>
          <w:rFonts w:ascii="宋体" w:hAnsi="宋体"/>
          <w:b/>
          <w:bCs/>
          <w:sz w:val="24"/>
        </w:rPr>
      </w:pPr>
      <w:r>
        <w:rPr>
          <w:rFonts w:hint="eastAsia" w:ascii="宋体" w:hAnsi="宋体"/>
          <w:b/>
          <w:bCs/>
          <w:sz w:val="24"/>
        </w:rPr>
        <w:br w:type="page"/>
      </w:r>
    </w:p>
    <w:p w14:paraId="6D5EC89D">
      <w:pPr>
        <w:numPr>
          <w:ilvl w:val="0"/>
          <w:numId w:val="12"/>
        </w:numPr>
        <w:spacing w:line="360" w:lineRule="auto"/>
        <w:jc w:val="center"/>
        <w:rPr>
          <w:rFonts w:ascii="宋体" w:hAnsi="宋体"/>
          <w:b/>
          <w:bCs/>
          <w:color w:val="000000"/>
          <w:sz w:val="24"/>
        </w:rPr>
      </w:pPr>
      <w:r>
        <w:rPr>
          <w:rFonts w:hint="eastAsia" w:ascii="宋体" w:hAnsi="宋体"/>
          <w:b/>
          <w:bCs/>
          <w:sz w:val="24"/>
        </w:rPr>
        <w:t>近年完成的类似项目情况表</w:t>
      </w:r>
      <w:r>
        <w:rPr>
          <w:rFonts w:hint="eastAsia" w:ascii="宋体" w:hAnsi="宋体" w:cs="宋体"/>
          <w:b/>
          <w:bCs/>
          <w:color w:val="000000"/>
          <w:sz w:val="24"/>
          <w:szCs w:val="22"/>
        </w:rPr>
        <w:t>（如有）</w:t>
      </w:r>
      <w:r>
        <w:rPr>
          <w:rFonts w:hint="eastAsia" w:ascii="宋体" w:hAnsi="宋体"/>
          <w:b/>
          <w:bCs/>
          <w:color w:val="000000"/>
          <w:sz w:val="24"/>
        </w:rPr>
        <w:t>；</w:t>
      </w:r>
    </w:p>
    <w:tbl>
      <w:tblPr>
        <w:tblStyle w:val="1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840"/>
      </w:tblGrid>
      <w:tr w14:paraId="33A4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4D59FF1E">
            <w:pPr>
              <w:adjustRightInd w:val="0"/>
              <w:snapToGrid w:val="0"/>
              <w:spacing w:line="360" w:lineRule="auto"/>
              <w:jc w:val="center"/>
              <w:rPr>
                <w:rFonts w:ascii="宋体" w:hAnsi="宋体" w:cs="宋体"/>
                <w:sz w:val="24"/>
                <w:szCs w:val="22"/>
              </w:rPr>
            </w:pPr>
            <w:r>
              <w:rPr>
                <w:rFonts w:hint="eastAsia" w:ascii="宋体" w:hAnsi="宋体" w:cs="宋体"/>
                <w:sz w:val="24"/>
                <w:szCs w:val="22"/>
              </w:rPr>
              <w:t>序号</w:t>
            </w:r>
          </w:p>
        </w:tc>
        <w:tc>
          <w:tcPr>
            <w:tcW w:w="6840" w:type="dxa"/>
            <w:tcBorders>
              <w:top w:val="single" w:color="auto" w:sz="4" w:space="0"/>
              <w:left w:val="single" w:color="auto" w:sz="4" w:space="0"/>
              <w:bottom w:val="single" w:color="auto" w:sz="4" w:space="0"/>
              <w:right w:val="single" w:color="auto" w:sz="4" w:space="0"/>
            </w:tcBorders>
            <w:vAlign w:val="center"/>
          </w:tcPr>
          <w:p w14:paraId="3136F9AF">
            <w:pPr>
              <w:adjustRightInd w:val="0"/>
              <w:snapToGrid w:val="0"/>
              <w:spacing w:line="360" w:lineRule="auto"/>
              <w:jc w:val="center"/>
              <w:rPr>
                <w:rFonts w:ascii="宋体" w:hAnsi="宋体" w:cs="宋体"/>
                <w:sz w:val="24"/>
              </w:rPr>
            </w:pPr>
          </w:p>
        </w:tc>
      </w:tr>
      <w:tr w14:paraId="3A40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47830419">
            <w:pPr>
              <w:adjustRightInd w:val="0"/>
              <w:snapToGrid w:val="0"/>
              <w:spacing w:line="360" w:lineRule="auto"/>
              <w:jc w:val="center"/>
              <w:rPr>
                <w:rFonts w:ascii="宋体" w:hAnsi="宋体" w:cs="宋体"/>
                <w:sz w:val="24"/>
                <w:szCs w:val="22"/>
              </w:rPr>
            </w:pPr>
            <w:r>
              <w:rPr>
                <w:rFonts w:hint="eastAsia" w:ascii="宋体" w:hAnsi="宋体" w:cs="宋体"/>
                <w:sz w:val="24"/>
                <w:szCs w:val="22"/>
              </w:rPr>
              <w:t>委托人名称</w:t>
            </w:r>
          </w:p>
        </w:tc>
        <w:tc>
          <w:tcPr>
            <w:tcW w:w="6840" w:type="dxa"/>
            <w:tcBorders>
              <w:top w:val="single" w:color="auto" w:sz="4" w:space="0"/>
              <w:left w:val="single" w:color="auto" w:sz="4" w:space="0"/>
              <w:bottom w:val="single" w:color="auto" w:sz="4" w:space="0"/>
              <w:right w:val="single" w:color="auto" w:sz="4" w:space="0"/>
            </w:tcBorders>
            <w:vAlign w:val="center"/>
          </w:tcPr>
          <w:p w14:paraId="099E03CA">
            <w:pPr>
              <w:adjustRightInd w:val="0"/>
              <w:snapToGrid w:val="0"/>
              <w:spacing w:line="360" w:lineRule="auto"/>
              <w:jc w:val="center"/>
              <w:rPr>
                <w:rFonts w:ascii="宋体" w:hAnsi="宋体" w:cs="宋体"/>
                <w:sz w:val="24"/>
              </w:rPr>
            </w:pPr>
          </w:p>
        </w:tc>
      </w:tr>
      <w:tr w14:paraId="7872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0AE69DAF">
            <w:pPr>
              <w:adjustRightInd w:val="0"/>
              <w:snapToGrid w:val="0"/>
              <w:spacing w:line="360" w:lineRule="auto"/>
              <w:jc w:val="center"/>
              <w:rPr>
                <w:rFonts w:ascii="宋体" w:hAnsi="宋体" w:cs="宋体"/>
                <w:sz w:val="24"/>
                <w:szCs w:val="22"/>
              </w:rPr>
            </w:pPr>
            <w:r>
              <w:rPr>
                <w:rFonts w:hint="eastAsia" w:ascii="宋体" w:hAnsi="宋体" w:cs="宋体"/>
                <w:sz w:val="24"/>
                <w:szCs w:val="22"/>
              </w:rPr>
              <w:t>项目名称</w:t>
            </w:r>
          </w:p>
        </w:tc>
        <w:tc>
          <w:tcPr>
            <w:tcW w:w="6840" w:type="dxa"/>
            <w:tcBorders>
              <w:top w:val="single" w:color="auto" w:sz="4" w:space="0"/>
              <w:left w:val="single" w:color="auto" w:sz="4" w:space="0"/>
              <w:bottom w:val="single" w:color="auto" w:sz="4" w:space="0"/>
              <w:right w:val="single" w:color="auto" w:sz="4" w:space="0"/>
            </w:tcBorders>
            <w:vAlign w:val="center"/>
          </w:tcPr>
          <w:p w14:paraId="6609562C">
            <w:pPr>
              <w:adjustRightInd w:val="0"/>
              <w:snapToGrid w:val="0"/>
              <w:spacing w:line="360" w:lineRule="auto"/>
              <w:jc w:val="center"/>
              <w:rPr>
                <w:rFonts w:ascii="宋体" w:hAnsi="宋体" w:cs="宋体"/>
                <w:sz w:val="24"/>
              </w:rPr>
            </w:pPr>
          </w:p>
        </w:tc>
      </w:tr>
      <w:tr w14:paraId="2B82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39F135BC">
            <w:pPr>
              <w:adjustRightInd w:val="0"/>
              <w:snapToGrid w:val="0"/>
              <w:spacing w:line="360" w:lineRule="auto"/>
              <w:jc w:val="center"/>
              <w:rPr>
                <w:rFonts w:ascii="宋体" w:hAnsi="宋体" w:cs="宋体"/>
                <w:sz w:val="24"/>
                <w:szCs w:val="22"/>
              </w:rPr>
            </w:pPr>
            <w:r>
              <w:rPr>
                <w:rFonts w:hint="eastAsia" w:ascii="宋体" w:hAnsi="宋体" w:cs="宋体"/>
                <w:sz w:val="24"/>
                <w:szCs w:val="22"/>
              </w:rPr>
              <w:t>合同金额（元）</w:t>
            </w:r>
          </w:p>
        </w:tc>
        <w:tc>
          <w:tcPr>
            <w:tcW w:w="6840" w:type="dxa"/>
            <w:tcBorders>
              <w:top w:val="single" w:color="auto" w:sz="4" w:space="0"/>
              <w:left w:val="single" w:color="auto" w:sz="4" w:space="0"/>
              <w:bottom w:val="single" w:color="auto" w:sz="4" w:space="0"/>
              <w:right w:val="single" w:color="auto" w:sz="4" w:space="0"/>
            </w:tcBorders>
            <w:vAlign w:val="center"/>
          </w:tcPr>
          <w:p w14:paraId="7566C2E3">
            <w:pPr>
              <w:adjustRightInd w:val="0"/>
              <w:snapToGrid w:val="0"/>
              <w:spacing w:line="360" w:lineRule="auto"/>
              <w:jc w:val="center"/>
              <w:rPr>
                <w:rFonts w:ascii="宋体" w:hAnsi="宋体" w:cs="宋体"/>
                <w:sz w:val="24"/>
              </w:rPr>
            </w:pPr>
          </w:p>
        </w:tc>
      </w:tr>
      <w:tr w14:paraId="6A3A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7D6F276F">
            <w:pPr>
              <w:adjustRightInd w:val="0"/>
              <w:snapToGrid w:val="0"/>
              <w:spacing w:line="360" w:lineRule="auto"/>
              <w:jc w:val="center"/>
              <w:rPr>
                <w:rFonts w:ascii="宋体" w:hAnsi="宋体" w:cs="宋体"/>
                <w:sz w:val="24"/>
                <w:szCs w:val="22"/>
              </w:rPr>
            </w:pPr>
            <w:r>
              <w:rPr>
                <w:rFonts w:hint="eastAsia" w:ascii="宋体" w:hAnsi="宋体" w:cs="宋体"/>
                <w:sz w:val="24"/>
                <w:szCs w:val="22"/>
              </w:rPr>
              <w:t>合同签订日期</w:t>
            </w:r>
          </w:p>
        </w:tc>
        <w:tc>
          <w:tcPr>
            <w:tcW w:w="6840" w:type="dxa"/>
            <w:tcBorders>
              <w:top w:val="single" w:color="auto" w:sz="4" w:space="0"/>
              <w:left w:val="single" w:color="auto" w:sz="4" w:space="0"/>
              <w:bottom w:val="single" w:color="auto" w:sz="4" w:space="0"/>
              <w:right w:val="single" w:color="auto" w:sz="4" w:space="0"/>
            </w:tcBorders>
            <w:vAlign w:val="center"/>
          </w:tcPr>
          <w:p w14:paraId="565D5AED">
            <w:pPr>
              <w:adjustRightInd w:val="0"/>
              <w:snapToGrid w:val="0"/>
              <w:spacing w:line="360" w:lineRule="auto"/>
              <w:jc w:val="center"/>
              <w:rPr>
                <w:rFonts w:ascii="宋体" w:hAnsi="宋体" w:cs="宋体"/>
                <w:sz w:val="24"/>
              </w:rPr>
            </w:pPr>
          </w:p>
        </w:tc>
      </w:tr>
      <w:tr w14:paraId="4207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0E6DD226">
            <w:pPr>
              <w:adjustRightInd w:val="0"/>
              <w:snapToGrid w:val="0"/>
              <w:spacing w:line="360" w:lineRule="auto"/>
              <w:jc w:val="center"/>
              <w:rPr>
                <w:rFonts w:ascii="宋体" w:hAnsi="宋体" w:cs="宋体"/>
                <w:sz w:val="24"/>
                <w:szCs w:val="22"/>
              </w:rPr>
            </w:pPr>
            <w:r>
              <w:rPr>
                <w:rFonts w:hint="eastAsia" w:ascii="宋体" w:hAnsi="宋体" w:cs="宋体"/>
                <w:sz w:val="24"/>
                <w:szCs w:val="22"/>
              </w:rPr>
              <w:t>委托人联系方式</w:t>
            </w:r>
          </w:p>
        </w:tc>
        <w:tc>
          <w:tcPr>
            <w:tcW w:w="6840" w:type="dxa"/>
            <w:tcBorders>
              <w:top w:val="single" w:color="auto" w:sz="4" w:space="0"/>
              <w:left w:val="single" w:color="auto" w:sz="4" w:space="0"/>
              <w:bottom w:val="single" w:color="auto" w:sz="4" w:space="0"/>
              <w:right w:val="single" w:color="auto" w:sz="4" w:space="0"/>
            </w:tcBorders>
            <w:vAlign w:val="center"/>
          </w:tcPr>
          <w:p w14:paraId="5FB90F4A">
            <w:pPr>
              <w:adjustRightInd w:val="0"/>
              <w:snapToGrid w:val="0"/>
              <w:spacing w:line="360" w:lineRule="auto"/>
              <w:jc w:val="center"/>
              <w:rPr>
                <w:rFonts w:ascii="宋体" w:hAnsi="宋体" w:cs="宋体"/>
                <w:sz w:val="24"/>
              </w:rPr>
            </w:pPr>
          </w:p>
        </w:tc>
      </w:tr>
      <w:tr w14:paraId="4F86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1CFBEB20">
            <w:pPr>
              <w:adjustRightInd w:val="0"/>
              <w:snapToGrid w:val="0"/>
              <w:spacing w:line="360" w:lineRule="auto"/>
              <w:jc w:val="center"/>
              <w:rPr>
                <w:rFonts w:ascii="宋体" w:hAnsi="宋体" w:cs="宋体"/>
                <w:sz w:val="24"/>
                <w:szCs w:val="22"/>
              </w:rPr>
            </w:pPr>
            <w:r>
              <w:rPr>
                <w:rFonts w:hint="eastAsia" w:ascii="宋体" w:hAnsi="宋体" w:cs="宋体"/>
                <w:sz w:val="24"/>
                <w:szCs w:val="22"/>
              </w:rPr>
              <w:t>完成日期</w:t>
            </w:r>
          </w:p>
          <w:p w14:paraId="45CBFFCC">
            <w:pPr>
              <w:adjustRightInd w:val="0"/>
              <w:snapToGrid w:val="0"/>
              <w:spacing w:line="360" w:lineRule="auto"/>
              <w:jc w:val="center"/>
              <w:rPr>
                <w:rFonts w:ascii="宋体" w:hAnsi="宋体" w:cs="宋体"/>
                <w:sz w:val="24"/>
                <w:szCs w:val="22"/>
              </w:rPr>
            </w:pPr>
            <w:r>
              <w:rPr>
                <w:rFonts w:hint="eastAsia" w:ascii="宋体" w:hAnsi="宋体" w:cs="宋体"/>
                <w:sz w:val="24"/>
                <w:szCs w:val="22"/>
              </w:rPr>
              <w:t>（年/月/日）</w:t>
            </w:r>
          </w:p>
        </w:tc>
        <w:tc>
          <w:tcPr>
            <w:tcW w:w="6840" w:type="dxa"/>
            <w:tcBorders>
              <w:top w:val="single" w:color="auto" w:sz="4" w:space="0"/>
              <w:left w:val="single" w:color="auto" w:sz="4" w:space="0"/>
              <w:bottom w:val="single" w:color="auto" w:sz="4" w:space="0"/>
              <w:right w:val="single" w:color="auto" w:sz="4" w:space="0"/>
            </w:tcBorders>
            <w:vAlign w:val="center"/>
          </w:tcPr>
          <w:p w14:paraId="7A23E278">
            <w:pPr>
              <w:adjustRightInd w:val="0"/>
              <w:snapToGrid w:val="0"/>
              <w:spacing w:line="360" w:lineRule="auto"/>
              <w:jc w:val="center"/>
              <w:rPr>
                <w:rFonts w:ascii="宋体" w:hAnsi="宋体" w:cs="宋体"/>
                <w:sz w:val="24"/>
              </w:rPr>
            </w:pPr>
          </w:p>
        </w:tc>
      </w:tr>
      <w:tr w14:paraId="440C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6670153F">
            <w:pPr>
              <w:adjustRightInd w:val="0"/>
              <w:snapToGrid w:val="0"/>
              <w:spacing w:line="360" w:lineRule="auto"/>
              <w:jc w:val="center"/>
              <w:rPr>
                <w:rFonts w:ascii="宋体" w:hAnsi="宋体" w:cs="宋体"/>
                <w:sz w:val="24"/>
                <w:szCs w:val="22"/>
              </w:rPr>
            </w:pPr>
            <w:r>
              <w:rPr>
                <w:rFonts w:hint="eastAsia" w:ascii="宋体" w:hAnsi="宋体" w:cs="宋体"/>
                <w:sz w:val="24"/>
                <w:szCs w:val="22"/>
              </w:rPr>
              <w:t>项目负责人</w:t>
            </w:r>
          </w:p>
        </w:tc>
        <w:tc>
          <w:tcPr>
            <w:tcW w:w="6840" w:type="dxa"/>
            <w:tcBorders>
              <w:top w:val="single" w:color="auto" w:sz="4" w:space="0"/>
              <w:left w:val="single" w:color="auto" w:sz="4" w:space="0"/>
              <w:bottom w:val="single" w:color="auto" w:sz="4" w:space="0"/>
              <w:right w:val="single" w:color="auto" w:sz="4" w:space="0"/>
            </w:tcBorders>
            <w:vAlign w:val="center"/>
          </w:tcPr>
          <w:p w14:paraId="33C2D310">
            <w:pPr>
              <w:adjustRightInd w:val="0"/>
              <w:snapToGrid w:val="0"/>
              <w:spacing w:line="360" w:lineRule="auto"/>
              <w:jc w:val="center"/>
              <w:rPr>
                <w:rFonts w:ascii="宋体" w:hAnsi="宋体" w:cs="宋体"/>
                <w:sz w:val="24"/>
              </w:rPr>
            </w:pPr>
          </w:p>
        </w:tc>
      </w:tr>
      <w:tr w14:paraId="474F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3F75029F">
            <w:pPr>
              <w:adjustRightInd w:val="0"/>
              <w:snapToGrid w:val="0"/>
              <w:spacing w:line="360" w:lineRule="auto"/>
              <w:jc w:val="center"/>
              <w:rPr>
                <w:rFonts w:ascii="宋体" w:hAnsi="宋体" w:cs="宋体"/>
                <w:sz w:val="24"/>
                <w:szCs w:val="22"/>
              </w:rPr>
            </w:pPr>
            <w:r>
              <w:rPr>
                <w:rFonts w:hint="eastAsia" w:ascii="宋体" w:hAnsi="宋体" w:cs="宋体"/>
                <w:sz w:val="24"/>
                <w:szCs w:val="22"/>
              </w:rPr>
              <w:t>备注</w:t>
            </w:r>
          </w:p>
        </w:tc>
        <w:tc>
          <w:tcPr>
            <w:tcW w:w="6840" w:type="dxa"/>
            <w:tcBorders>
              <w:top w:val="single" w:color="auto" w:sz="4" w:space="0"/>
              <w:left w:val="single" w:color="auto" w:sz="4" w:space="0"/>
              <w:bottom w:val="single" w:color="auto" w:sz="4" w:space="0"/>
              <w:right w:val="single" w:color="auto" w:sz="4" w:space="0"/>
            </w:tcBorders>
            <w:vAlign w:val="center"/>
          </w:tcPr>
          <w:p w14:paraId="2E21AF6A">
            <w:pPr>
              <w:adjustRightInd w:val="0"/>
              <w:snapToGrid w:val="0"/>
              <w:spacing w:line="360" w:lineRule="auto"/>
              <w:jc w:val="center"/>
              <w:rPr>
                <w:rFonts w:ascii="宋体" w:hAnsi="宋体" w:cs="宋体"/>
                <w:sz w:val="24"/>
              </w:rPr>
            </w:pPr>
          </w:p>
        </w:tc>
      </w:tr>
    </w:tbl>
    <w:p w14:paraId="675458DC">
      <w:pPr>
        <w:adjustRightInd w:val="0"/>
        <w:snapToGrid w:val="0"/>
        <w:spacing w:line="360" w:lineRule="auto"/>
        <w:jc w:val="left"/>
        <w:rPr>
          <w:rFonts w:ascii="宋体" w:hAnsi="宋体" w:cs="宋体"/>
          <w:b/>
          <w:bCs/>
          <w:sz w:val="24"/>
          <w:szCs w:val="22"/>
        </w:rPr>
      </w:pPr>
      <w:r>
        <w:rPr>
          <w:rFonts w:hint="eastAsia" w:ascii="宋体" w:hAnsi="宋体" w:cs="宋体"/>
          <w:b/>
          <w:bCs/>
          <w:sz w:val="24"/>
          <w:szCs w:val="22"/>
        </w:rPr>
        <w:t>注：1、投标人应随此表附上相关的业绩证明。</w:t>
      </w:r>
    </w:p>
    <w:p w14:paraId="6BB81DBB">
      <w:pPr>
        <w:adjustRightInd w:val="0"/>
        <w:snapToGrid w:val="0"/>
        <w:spacing w:line="360" w:lineRule="auto"/>
        <w:jc w:val="left"/>
        <w:rPr>
          <w:rFonts w:ascii="宋体" w:hAnsi="宋体" w:cs="宋体"/>
          <w:b/>
          <w:bCs/>
          <w:sz w:val="24"/>
          <w:szCs w:val="22"/>
        </w:rPr>
      </w:pPr>
      <w:r>
        <w:rPr>
          <w:rFonts w:hint="eastAsia" w:ascii="宋体" w:hAnsi="宋体" w:cs="宋体"/>
          <w:b/>
          <w:bCs/>
          <w:sz w:val="24"/>
          <w:szCs w:val="22"/>
        </w:rPr>
        <w:t xml:space="preserve">    2、如有多个项目，每个项目填一张此表，附后。</w:t>
      </w:r>
    </w:p>
    <w:p w14:paraId="60B99E09">
      <w:pPr>
        <w:spacing w:line="480" w:lineRule="auto"/>
        <w:rPr>
          <w:rFonts w:ascii="仿宋_GB2312" w:hAnsi="仿宋_GB2312" w:eastAsia="仿宋_GB2312" w:cs="Calibri Light"/>
          <w:sz w:val="24"/>
        </w:rPr>
      </w:pPr>
    </w:p>
    <w:p w14:paraId="05A1D012">
      <w:pPr>
        <w:rPr>
          <w:rFonts w:ascii="宋体" w:hAnsi="宋体" w:cs="Calibri"/>
          <w:b/>
          <w:bCs/>
          <w:sz w:val="24"/>
        </w:rPr>
      </w:pPr>
      <w:r>
        <w:rPr>
          <w:rFonts w:hint="eastAsia" w:ascii="宋体" w:hAnsi="宋体" w:cs="Calibri"/>
          <w:b/>
          <w:bCs/>
          <w:sz w:val="24"/>
        </w:rPr>
        <w:br w:type="page"/>
      </w:r>
    </w:p>
    <w:p w14:paraId="0C51F4B0">
      <w:pPr>
        <w:spacing w:line="360" w:lineRule="auto"/>
        <w:jc w:val="center"/>
        <w:rPr>
          <w:rFonts w:ascii="宋体" w:hAnsi="宋体" w:cs="宋体"/>
          <w:b/>
          <w:bCs/>
          <w:color w:val="000000"/>
          <w:kern w:val="0"/>
          <w:sz w:val="24"/>
        </w:rPr>
      </w:pPr>
      <w:r>
        <w:rPr>
          <w:rFonts w:hint="eastAsia" w:ascii="宋体" w:hAnsi="宋体" w:cs="Arial"/>
          <w:b/>
          <w:bCs/>
          <w:sz w:val="24"/>
        </w:rPr>
        <w:t>（四）服务团队人员配备情况；</w:t>
      </w:r>
    </w:p>
    <w:p w14:paraId="7F8BA8DB">
      <w:pPr>
        <w:jc w:val="center"/>
        <w:rPr>
          <w:b/>
          <w:sz w:val="24"/>
          <w:lang w:val="zh-CN" w:bidi="zh-CN"/>
        </w:rPr>
      </w:pPr>
    </w:p>
    <w:p w14:paraId="249184EF">
      <w:pPr>
        <w:spacing w:line="360" w:lineRule="auto"/>
        <w:jc w:val="center"/>
        <w:rPr>
          <w:rFonts w:ascii="宋体" w:hAnsi="宋体" w:cs="宋体"/>
          <w:color w:val="000000"/>
          <w:kern w:val="10"/>
          <w:sz w:val="24"/>
          <w:lang w:val="zh-CN"/>
        </w:rPr>
      </w:pPr>
      <w:bookmarkStart w:id="186" w:name="_Toc4240"/>
      <w:bookmarkStart w:id="187" w:name="_Toc30545"/>
      <w:bookmarkStart w:id="188" w:name="_Toc3658"/>
      <w:r>
        <w:rPr>
          <w:rFonts w:hint="eastAsia" w:ascii="宋体" w:hAnsi="宋体" w:cs="宋体"/>
          <w:color w:val="000000"/>
          <w:kern w:val="10"/>
          <w:sz w:val="24"/>
          <w:lang w:val="zh-CN"/>
        </w:rPr>
        <w:t>拟派主要人员汇总表</w:t>
      </w:r>
      <w:bookmarkEnd w:id="186"/>
      <w:bookmarkEnd w:id="187"/>
      <w:bookmarkEnd w:id="188"/>
    </w:p>
    <w:p w14:paraId="2665E60B">
      <w:pPr>
        <w:rPr>
          <w:b/>
          <w:sz w:val="10"/>
          <w:szCs w:val="21"/>
          <w:lang w:val="zh-CN" w:bidi="zh-CN"/>
        </w:rPr>
      </w:pPr>
    </w:p>
    <w:tbl>
      <w:tblPr>
        <w:tblStyle w:val="19"/>
        <w:tblW w:w="466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9"/>
        <w:gridCol w:w="1518"/>
        <w:gridCol w:w="1641"/>
        <w:gridCol w:w="3145"/>
        <w:gridCol w:w="1183"/>
      </w:tblGrid>
      <w:tr w14:paraId="0258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578" w:type="pct"/>
            <w:vAlign w:val="center"/>
          </w:tcPr>
          <w:p w14:paraId="124B3629">
            <w:pPr>
              <w:spacing w:line="360" w:lineRule="auto"/>
              <w:jc w:val="center"/>
              <w:rPr>
                <w:sz w:val="24"/>
                <w:lang w:val="zh-CN" w:bidi="zh-CN"/>
              </w:rPr>
            </w:pPr>
            <w:r>
              <w:rPr>
                <w:sz w:val="24"/>
                <w:lang w:val="zh-CN" w:bidi="zh-CN"/>
              </w:rPr>
              <w:t>序号</w:t>
            </w:r>
          </w:p>
        </w:tc>
        <w:tc>
          <w:tcPr>
            <w:tcW w:w="896" w:type="pct"/>
            <w:vAlign w:val="center"/>
          </w:tcPr>
          <w:p w14:paraId="71DB4906">
            <w:pPr>
              <w:spacing w:line="360" w:lineRule="auto"/>
              <w:jc w:val="center"/>
              <w:rPr>
                <w:sz w:val="24"/>
                <w:lang w:val="zh-CN" w:bidi="zh-CN"/>
              </w:rPr>
            </w:pPr>
            <w:r>
              <w:rPr>
                <w:rFonts w:hint="eastAsia"/>
                <w:sz w:val="24"/>
                <w:lang w:bidi="zh-CN"/>
              </w:rPr>
              <w:t>职务</w:t>
            </w:r>
          </w:p>
        </w:tc>
        <w:tc>
          <w:tcPr>
            <w:tcW w:w="969" w:type="pct"/>
            <w:vAlign w:val="center"/>
          </w:tcPr>
          <w:p w14:paraId="7F8EB2AF">
            <w:pPr>
              <w:spacing w:line="360" w:lineRule="auto"/>
              <w:jc w:val="center"/>
              <w:rPr>
                <w:sz w:val="24"/>
                <w:lang w:val="zh-CN" w:bidi="zh-CN"/>
              </w:rPr>
            </w:pPr>
            <w:r>
              <w:rPr>
                <w:sz w:val="24"/>
                <w:lang w:val="zh-CN" w:bidi="zh-CN"/>
              </w:rPr>
              <w:t>姓名</w:t>
            </w:r>
          </w:p>
        </w:tc>
        <w:tc>
          <w:tcPr>
            <w:tcW w:w="1857" w:type="pct"/>
            <w:vAlign w:val="center"/>
          </w:tcPr>
          <w:p w14:paraId="2F87FE58">
            <w:pPr>
              <w:spacing w:line="360" w:lineRule="auto"/>
              <w:jc w:val="center"/>
              <w:rPr>
                <w:sz w:val="24"/>
                <w:lang w:bidi="zh-CN"/>
              </w:rPr>
            </w:pPr>
            <w:r>
              <w:rPr>
                <w:rFonts w:hint="eastAsia"/>
                <w:sz w:val="24"/>
                <w:lang w:bidi="zh-CN"/>
              </w:rPr>
              <w:t>身份证号</w:t>
            </w:r>
          </w:p>
        </w:tc>
        <w:tc>
          <w:tcPr>
            <w:tcW w:w="698" w:type="pct"/>
            <w:vAlign w:val="center"/>
          </w:tcPr>
          <w:p w14:paraId="2C10429D">
            <w:pPr>
              <w:spacing w:line="360" w:lineRule="auto"/>
              <w:jc w:val="center"/>
              <w:rPr>
                <w:sz w:val="24"/>
                <w:lang w:val="zh-CN" w:bidi="zh-CN"/>
              </w:rPr>
            </w:pPr>
            <w:r>
              <w:rPr>
                <w:sz w:val="24"/>
                <w:lang w:val="zh-CN" w:bidi="zh-CN"/>
              </w:rPr>
              <w:t>备注</w:t>
            </w:r>
          </w:p>
        </w:tc>
      </w:tr>
      <w:tr w14:paraId="5C488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0DCC8932">
            <w:pPr>
              <w:spacing w:line="360" w:lineRule="auto"/>
              <w:jc w:val="center"/>
              <w:rPr>
                <w:sz w:val="24"/>
                <w:lang w:val="zh-CN" w:bidi="zh-CN"/>
              </w:rPr>
            </w:pPr>
          </w:p>
        </w:tc>
        <w:tc>
          <w:tcPr>
            <w:tcW w:w="896" w:type="pct"/>
            <w:vAlign w:val="center"/>
          </w:tcPr>
          <w:p w14:paraId="6987A20B">
            <w:pPr>
              <w:spacing w:line="360" w:lineRule="auto"/>
              <w:jc w:val="center"/>
              <w:rPr>
                <w:sz w:val="24"/>
                <w:lang w:val="zh-CN" w:bidi="zh-CN"/>
              </w:rPr>
            </w:pPr>
          </w:p>
        </w:tc>
        <w:tc>
          <w:tcPr>
            <w:tcW w:w="969" w:type="pct"/>
            <w:vAlign w:val="center"/>
          </w:tcPr>
          <w:p w14:paraId="2712807F">
            <w:pPr>
              <w:spacing w:line="360" w:lineRule="auto"/>
              <w:jc w:val="center"/>
              <w:rPr>
                <w:sz w:val="24"/>
                <w:lang w:val="zh-CN" w:bidi="zh-CN"/>
              </w:rPr>
            </w:pPr>
          </w:p>
        </w:tc>
        <w:tc>
          <w:tcPr>
            <w:tcW w:w="1857" w:type="pct"/>
            <w:vAlign w:val="center"/>
          </w:tcPr>
          <w:p w14:paraId="2183C827">
            <w:pPr>
              <w:spacing w:line="360" w:lineRule="auto"/>
              <w:jc w:val="center"/>
              <w:rPr>
                <w:sz w:val="24"/>
                <w:lang w:val="zh-CN" w:bidi="zh-CN"/>
              </w:rPr>
            </w:pPr>
          </w:p>
        </w:tc>
        <w:tc>
          <w:tcPr>
            <w:tcW w:w="698" w:type="pct"/>
            <w:vAlign w:val="center"/>
          </w:tcPr>
          <w:p w14:paraId="6C379265">
            <w:pPr>
              <w:spacing w:line="360" w:lineRule="auto"/>
              <w:jc w:val="center"/>
              <w:rPr>
                <w:sz w:val="24"/>
                <w:lang w:val="zh-CN" w:bidi="zh-CN"/>
              </w:rPr>
            </w:pPr>
          </w:p>
        </w:tc>
      </w:tr>
      <w:tr w14:paraId="7E394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506B038">
            <w:pPr>
              <w:spacing w:line="360" w:lineRule="auto"/>
              <w:jc w:val="center"/>
              <w:rPr>
                <w:sz w:val="24"/>
                <w:lang w:val="zh-CN" w:bidi="zh-CN"/>
              </w:rPr>
            </w:pPr>
          </w:p>
        </w:tc>
        <w:tc>
          <w:tcPr>
            <w:tcW w:w="896" w:type="pct"/>
            <w:vAlign w:val="center"/>
          </w:tcPr>
          <w:p w14:paraId="080B1F16">
            <w:pPr>
              <w:spacing w:line="360" w:lineRule="auto"/>
              <w:jc w:val="center"/>
              <w:rPr>
                <w:sz w:val="24"/>
                <w:lang w:val="zh-CN" w:bidi="zh-CN"/>
              </w:rPr>
            </w:pPr>
          </w:p>
        </w:tc>
        <w:tc>
          <w:tcPr>
            <w:tcW w:w="969" w:type="pct"/>
            <w:vAlign w:val="center"/>
          </w:tcPr>
          <w:p w14:paraId="6C956E25">
            <w:pPr>
              <w:spacing w:line="360" w:lineRule="auto"/>
              <w:jc w:val="center"/>
              <w:rPr>
                <w:sz w:val="24"/>
                <w:lang w:val="zh-CN" w:bidi="zh-CN"/>
              </w:rPr>
            </w:pPr>
          </w:p>
        </w:tc>
        <w:tc>
          <w:tcPr>
            <w:tcW w:w="1857" w:type="pct"/>
            <w:vAlign w:val="center"/>
          </w:tcPr>
          <w:p w14:paraId="78BB41C7">
            <w:pPr>
              <w:spacing w:line="360" w:lineRule="auto"/>
              <w:jc w:val="center"/>
              <w:rPr>
                <w:sz w:val="24"/>
                <w:lang w:val="zh-CN" w:bidi="zh-CN"/>
              </w:rPr>
            </w:pPr>
          </w:p>
        </w:tc>
        <w:tc>
          <w:tcPr>
            <w:tcW w:w="698" w:type="pct"/>
            <w:vAlign w:val="center"/>
          </w:tcPr>
          <w:p w14:paraId="21713548">
            <w:pPr>
              <w:spacing w:line="360" w:lineRule="auto"/>
              <w:jc w:val="center"/>
              <w:rPr>
                <w:sz w:val="24"/>
                <w:lang w:val="zh-CN" w:bidi="zh-CN"/>
              </w:rPr>
            </w:pPr>
          </w:p>
        </w:tc>
      </w:tr>
      <w:tr w14:paraId="1929B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1E0AC99B">
            <w:pPr>
              <w:spacing w:line="360" w:lineRule="auto"/>
              <w:jc w:val="center"/>
              <w:rPr>
                <w:sz w:val="24"/>
                <w:lang w:val="zh-CN" w:bidi="zh-CN"/>
              </w:rPr>
            </w:pPr>
          </w:p>
        </w:tc>
        <w:tc>
          <w:tcPr>
            <w:tcW w:w="896" w:type="pct"/>
            <w:vAlign w:val="center"/>
          </w:tcPr>
          <w:p w14:paraId="29314A60">
            <w:pPr>
              <w:spacing w:line="360" w:lineRule="auto"/>
              <w:jc w:val="center"/>
              <w:rPr>
                <w:sz w:val="24"/>
                <w:lang w:val="zh-CN" w:bidi="zh-CN"/>
              </w:rPr>
            </w:pPr>
          </w:p>
        </w:tc>
        <w:tc>
          <w:tcPr>
            <w:tcW w:w="969" w:type="pct"/>
            <w:vAlign w:val="center"/>
          </w:tcPr>
          <w:p w14:paraId="71071322">
            <w:pPr>
              <w:spacing w:line="360" w:lineRule="auto"/>
              <w:jc w:val="center"/>
              <w:rPr>
                <w:sz w:val="24"/>
                <w:lang w:val="zh-CN" w:bidi="zh-CN"/>
              </w:rPr>
            </w:pPr>
          </w:p>
        </w:tc>
        <w:tc>
          <w:tcPr>
            <w:tcW w:w="1857" w:type="pct"/>
            <w:vAlign w:val="center"/>
          </w:tcPr>
          <w:p w14:paraId="74F90554">
            <w:pPr>
              <w:spacing w:line="360" w:lineRule="auto"/>
              <w:jc w:val="center"/>
              <w:rPr>
                <w:sz w:val="24"/>
                <w:lang w:val="zh-CN" w:bidi="zh-CN"/>
              </w:rPr>
            </w:pPr>
          </w:p>
        </w:tc>
        <w:tc>
          <w:tcPr>
            <w:tcW w:w="698" w:type="pct"/>
            <w:vAlign w:val="center"/>
          </w:tcPr>
          <w:p w14:paraId="2B0419D2">
            <w:pPr>
              <w:spacing w:line="360" w:lineRule="auto"/>
              <w:jc w:val="center"/>
              <w:rPr>
                <w:sz w:val="24"/>
                <w:lang w:val="zh-CN" w:bidi="zh-CN"/>
              </w:rPr>
            </w:pPr>
          </w:p>
        </w:tc>
      </w:tr>
      <w:tr w14:paraId="2305F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752E5DC1">
            <w:pPr>
              <w:spacing w:line="360" w:lineRule="auto"/>
              <w:jc w:val="center"/>
              <w:rPr>
                <w:sz w:val="24"/>
                <w:lang w:val="zh-CN" w:bidi="zh-CN"/>
              </w:rPr>
            </w:pPr>
          </w:p>
        </w:tc>
        <w:tc>
          <w:tcPr>
            <w:tcW w:w="896" w:type="pct"/>
            <w:vAlign w:val="center"/>
          </w:tcPr>
          <w:p w14:paraId="7B9C75A7">
            <w:pPr>
              <w:spacing w:line="360" w:lineRule="auto"/>
              <w:jc w:val="center"/>
              <w:rPr>
                <w:sz w:val="24"/>
                <w:lang w:val="zh-CN" w:bidi="zh-CN"/>
              </w:rPr>
            </w:pPr>
          </w:p>
        </w:tc>
        <w:tc>
          <w:tcPr>
            <w:tcW w:w="969" w:type="pct"/>
            <w:vAlign w:val="center"/>
          </w:tcPr>
          <w:p w14:paraId="53C307D9">
            <w:pPr>
              <w:spacing w:line="360" w:lineRule="auto"/>
              <w:jc w:val="center"/>
              <w:rPr>
                <w:sz w:val="24"/>
                <w:lang w:val="zh-CN" w:bidi="zh-CN"/>
              </w:rPr>
            </w:pPr>
          </w:p>
        </w:tc>
        <w:tc>
          <w:tcPr>
            <w:tcW w:w="1857" w:type="pct"/>
            <w:vAlign w:val="center"/>
          </w:tcPr>
          <w:p w14:paraId="034FB3D2">
            <w:pPr>
              <w:spacing w:line="360" w:lineRule="auto"/>
              <w:jc w:val="center"/>
              <w:rPr>
                <w:sz w:val="24"/>
                <w:lang w:val="zh-CN" w:bidi="zh-CN"/>
              </w:rPr>
            </w:pPr>
          </w:p>
        </w:tc>
        <w:tc>
          <w:tcPr>
            <w:tcW w:w="698" w:type="pct"/>
            <w:vAlign w:val="center"/>
          </w:tcPr>
          <w:p w14:paraId="5C14208D">
            <w:pPr>
              <w:spacing w:line="360" w:lineRule="auto"/>
              <w:jc w:val="center"/>
              <w:rPr>
                <w:sz w:val="24"/>
                <w:lang w:val="zh-CN" w:bidi="zh-CN"/>
              </w:rPr>
            </w:pPr>
          </w:p>
        </w:tc>
      </w:tr>
      <w:tr w14:paraId="4C812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C9B2CAF">
            <w:pPr>
              <w:spacing w:line="360" w:lineRule="auto"/>
              <w:jc w:val="center"/>
              <w:rPr>
                <w:sz w:val="24"/>
                <w:lang w:val="zh-CN" w:bidi="zh-CN"/>
              </w:rPr>
            </w:pPr>
          </w:p>
        </w:tc>
        <w:tc>
          <w:tcPr>
            <w:tcW w:w="896" w:type="pct"/>
            <w:vAlign w:val="center"/>
          </w:tcPr>
          <w:p w14:paraId="596495DF">
            <w:pPr>
              <w:spacing w:line="360" w:lineRule="auto"/>
              <w:jc w:val="center"/>
              <w:rPr>
                <w:sz w:val="24"/>
                <w:lang w:val="zh-CN" w:bidi="zh-CN"/>
              </w:rPr>
            </w:pPr>
          </w:p>
        </w:tc>
        <w:tc>
          <w:tcPr>
            <w:tcW w:w="969" w:type="pct"/>
            <w:vAlign w:val="center"/>
          </w:tcPr>
          <w:p w14:paraId="731FF390">
            <w:pPr>
              <w:spacing w:line="360" w:lineRule="auto"/>
              <w:jc w:val="center"/>
              <w:rPr>
                <w:sz w:val="24"/>
                <w:lang w:val="zh-CN" w:bidi="zh-CN"/>
              </w:rPr>
            </w:pPr>
          </w:p>
        </w:tc>
        <w:tc>
          <w:tcPr>
            <w:tcW w:w="1857" w:type="pct"/>
            <w:vAlign w:val="center"/>
          </w:tcPr>
          <w:p w14:paraId="0669DA03">
            <w:pPr>
              <w:spacing w:line="360" w:lineRule="auto"/>
              <w:jc w:val="center"/>
              <w:rPr>
                <w:sz w:val="24"/>
                <w:lang w:val="zh-CN" w:bidi="zh-CN"/>
              </w:rPr>
            </w:pPr>
          </w:p>
        </w:tc>
        <w:tc>
          <w:tcPr>
            <w:tcW w:w="698" w:type="pct"/>
            <w:vAlign w:val="center"/>
          </w:tcPr>
          <w:p w14:paraId="1881661C">
            <w:pPr>
              <w:spacing w:line="360" w:lineRule="auto"/>
              <w:jc w:val="center"/>
              <w:rPr>
                <w:sz w:val="24"/>
                <w:lang w:val="zh-CN" w:bidi="zh-CN"/>
              </w:rPr>
            </w:pPr>
          </w:p>
        </w:tc>
      </w:tr>
      <w:tr w14:paraId="6B29A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670BEBDD">
            <w:pPr>
              <w:spacing w:line="360" w:lineRule="auto"/>
              <w:jc w:val="center"/>
              <w:rPr>
                <w:sz w:val="24"/>
                <w:lang w:val="zh-CN" w:bidi="zh-CN"/>
              </w:rPr>
            </w:pPr>
          </w:p>
        </w:tc>
        <w:tc>
          <w:tcPr>
            <w:tcW w:w="896" w:type="pct"/>
            <w:vAlign w:val="center"/>
          </w:tcPr>
          <w:p w14:paraId="2D8F31B0">
            <w:pPr>
              <w:spacing w:line="360" w:lineRule="auto"/>
              <w:jc w:val="center"/>
              <w:rPr>
                <w:sz w:val="24"/>
                <w:lang w:val="zh-CN" w:bidi="zh-CN"/>
              </w:rPr>
            </w:pPr>
          </w:p>
        </w:tc>
        <w:tc>
          <w:tcPr>
            <w:tcW w:w="969" w:type="pct"/>
            <w:vAlign w:val="center"/>
          </w:tcPr>
          <w:p w14:paraId="5B3D6267">
            <w:pPr>
              <w:spacing w:line="360" w:lineRule="auto"/>
              <w:jc w:val="center"/>
              <w:rPr>
                <w:sz w:val="24"/>
                <w:lang w:val="zh-CN" w:bidi="zh-CN"/>
              </w:rPr>
            </w:pPr>
          </w:p>
        </w:tc>
        <w:tc>
          <w:tcPr>
            <w:tcW w:w="1857" w:type="pct"/>
            <w:vAlign w:val="center"/>
          </w:tcPr>
          <w:p w14:paraId="14BCD55D">
            <w:pPr>
              <w:spacing w:line="360" w:lineRule="auto"/>
              <w:jc w:val="center"/>
              <w:rPr>
                <w:sz w:val="24"/>
                <w:lang w:val="zh-CN" w:bidi="zh-CN"/>
              </w:rPr>
            </w:pPr>
          </w:p>
        </w:tc>
        <w:tc>
          <w:tcPr>
            <w:tcW w:w="698" w:type="pct"/>
            <w:vAlign w:val="center"/>
          </w:tcPr>
          <w:p w14:paraId="2B06DF20">
            <w:pPr>
              <w:spacing w:line="360" w:lineRule="auto"/>
              <w:jc w:val="center"/>
              <w:rPr>
                <w:sz w:val="24"/>
                <w:lang w:val="zh-CN" w:bidi="zh-CN"/>
              </w:rPr>
            </w:pPr>
          </w:p>
        </w:tc>
      </w:tr>
      <w:tr w14:paraId="50E3E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7C2F4EF">
            <w:pPr>
              <w:spacing w:line="360" w:lineRule="auto"/>
              <w:jc w:val="center"/>
              <w:rPr>
                <w:sz w:val="24"/>
                <w:lang w:val="zh-CN" w:bidi="zh-CN"/>
              </w:rPr>
            </w:pPr>
          </w:p>
        </w:tc>
        <w:tc>
          <w:tcPr>
            <w:tcW w:w="896" w:type="pct"/>
            <w:vAlign w:val="center"/>
          </w:tcPr>
          <w:p w14:paraId="2C1CF4DD">
            <w:pPr>
              <w:spacing w:line="360" w:lineRule="auto"/>
              <w:jc w:val="center"/>
              <w:rPr>
                <w:sz w:val="24"/>
                <w:lang w:val="zh-CN" w:bidi="zh-CN"/>
              </w:rPr>
            </w:pPr>
          </w:p>
        </w:tc>
        <w:tc>
          <w:tcPr>
            <w:tcW w:w="969" w:type="pct"/>
            <w:vAlign w:val="center"/>
          </w:tcPr>
          <w:p w14:paraId="3B3C01D6">
            <w:pPr>
              <w:spacing w:line="360" w:lineRule="auto"/>
              <w:jc w:val="center"/>
              <w:rPr>
                <w:sz w:val="24"/>
                <w:lang w:val="zh-CN" w:bidi="zh-CN"/>
              </w:rPr>
            </w:pPr>
          </w:p>
        </w:tc>
        <w:tc>
          <w:tcPr>
            <w:tcW w:w="1857" w:type="pct"/>
            <w:vAlign w:val="center"/>
          </w:tcPr>
          <w:p w14:paraId="3251B059">
            <w:pPr>
              <w:spacing w:line="360" w:lineRule="auto"/>
              <w:jc w:val="center"/>
              <w:rPr>
                <w:sz w:val="24"/>
                <w:lang w:val="zh-CN" w:bidi="zh-CN"/>
              </w:rPr>
            </w:pPr>
          </w:p>
        </w:tc>
        <w:tc>
          <w:tcPr>
            <w:tcW w:w="698" w:type="pct"/>
            <w:vAlign w:val="center"/>
          </w:tcPr>
          <w:p w14:paraId="53BD67F5">
            <w:pPr>
              <w:spacing w:line="360" w:lineRule="auto"/>
              <w:jc w:val="center"/>
              <w:rPr>
                <w:sz w:val="24"/>
                <w:lang w:val="zh-CN" w:bidi="zh-CN"/>
              </w:rPr>
            </w:pPr>
          </w:p>
        </w:tc>
      </w:tr>
      <w:tr w14:paraId="28C76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3A348C0A">
            <w:pPr>
              <w:spacing w:line="360" w:lineRule="auto"/>
              <w:jc w:val="center"/>
              <w:rPr>
                <w:sz w:val="24"/>
                <w:lang w:val="zh-CN" w:bidi="zh-CN"/>
              </w:rPr>
            </w:pPr>
          </w:p>
        </w:tc>
        <w:tc>
          <w:tcPr>
            <w:tcW w:w="896" w:type="pct"/>
            <w:vAlign w:val="center"/>
          </w:tcPr>
          <w:p w14:paraId="6D30AA10">
            <w:pPr>
              <w:spacing w:line="360" w:lineRule="auto"/>
              <w:jc w:val="center"/>
              <w:rPr>
                <w:sz w:val="24"/>
                <w:lang w:val="zh-CN" w:bidi="zh-CN"/>
              </w:rPr>
            </w:pPr>
          </w:p>
        </w:tc>
        <w:tc>
          <w:tcPr>
            <w:tcW w:w="969" w:type="pct"/>
            <w:vAlign w:val="center"/>
          </w:tcPr>
          <w:p w14:paraId="6FB7947E">
            <w:pPr>
              <w:spacing w:line="360" w:lineRule="auto"/>
              <w:jc w:val="center"/>
              <w:rPr>
                <w:sz w:val="24"/>
                <w:lang w:val="zh-CN" w:bidi="zh-CN"/>
              </w:rPr>
            </w:pPr>
          </w:p>
        </w:tc>
        <w:tc>
          <w:tcPr>
            <w:tcW w:w="1857" w:type="pct"/>
            <w:vAlign w:val="center"/>
          </w:tcPr>
          <w:p w14:paraId="12A6C6D9">
            <w:pPr>
              <w:spacing w:line="360" w:lineRule="auto"/>
              <w:jc w:val="center"/>
              <w:rPr>
                <w:sz w:val="24"/>
                <w:lang w:val="zh-CN" w:bidi="zh-CN"/>
              </w:rPr>
            </w:pPr>
          </w:p>
        </w:tc>
        <w:tc>
          <w:tcPr>
            <w:tcW w:w="698" w:type="pct"/>
            <w:vAlign w:val="center"/>
          </w:tcPr>
          <w:p w14:paraId="682F26F9">
            <w:pPr>
              <w:spacing w:line="360" w:lineRule="auto"/>
              <w:jc w:val="center"/>
              <w:rPr>
                <w:sz w:val="24"/>
                <w:lang w:val="zh-CN" w:bidi="zh-CN"/>
              </w:rPr>
            </w:pPr>
          </w:p>
        </w:tc>
      </w:tr>
      <w:tr w14:paraId="4EE52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7937B9FD">
            <w:pPr>
              <w:spacing w:line="360" w:lineRule="auto"/>
              <w:jc w:val="center"/>
              <w:rPr>
                <w:sz w:val="24"/>
                <w:lang w:val="zh-CN" w:bidi="zh-CN"/>
              </w:rPr>
            </w:pPr>
          </w:p>
        </w:tc>
        <w:tc>
          <w:tcPr>
            <w:tcW w:w="896" w:type="pct"/>
            <w:vAlign w:val="center"/>
          </w:tcPr>
          <w:p w14:paraId="6DDBB0B5">
            <w:pPr>
              <w:spacing w:line="360" w:lineRule="auto"/>
              <w:jc w:val="center"/>
              <w:rPr>
                <w:sz w:val="24"/>
                <w:lang w:val="zh-CN" w:bidi="zh-CN"/>
              </w:rPr>
            </w:pPr>
          </w:p>
        </w:tc>
        <w:tc>
          <w:tcPr>
            <w:tcW w:w="969" w:type="pct"/>
            <w:vAlign w:val="center"/>
          </w:tcPr>
          <w:p w14:paraId="6DAF9DB3">
            <w:pPr>
              <w:spacing w:line="360" w:lineRule="auto"/>
              <w:jc w:val="center"/>
              <w:rPr>
                <w:sz w:val="24"/>
                <w:lang w:val="zh-CN" w:bidi="zh-CN"/>
              </w:rPr>
            </w:pPr>
          </w:p>
        </w:tc>
        <w:tc>
          <w:tcPr>
            <w:tcW w:w="1857" w:type="pct"/>
            <w:vAlign w:val="center"/>
          </w:tcPr>
          <w:p w14:paraId="59EE4B40">
            <w:pPr>
              <w:spacing w:line="360" w:lineRule="auto"/>
              <w:jc w:val="center"/>
              <w:rPr>
                <w:sz w:val="24"/>
                <w:lang w:val="zh-CN" w:bidi="zh-CN"/>
              </w:rPr>
            </w:pPr>
          </w:p>
        </w:tc>
        <w:tc>
          <w:tcPr>
            <w:tcW w:w="698" w:type="pct"/>
            <w:vAlign w:val="center"/>
          </w:tcPr>
          <w:p w14:paraId="5CF30369">
            <w:pPr>
              <w:spacing w:line="360" w:lineRule="auto"/>
              <w:jc w:val="center"/>
              <w:rPr>
                <w:sz w:val="24"/>
                <w:lang w:val="zh-CN" w:bidi="zh-CN"/>
              </w:rPr>
            </w:pPr>
          </w:p>
        </w:tc>
      </w:tr>
      <w:tr w14:paraId="70337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0BD8B09D">
            <w:pPr>
              <w:spacing w:line="360" w:lineRule="auto"/>
              <w:jc w:val="center"/>
              <w:rPr>
                <w:sz w:val="24"/>
                <w:lang w:val="zh-CN" w:bidi="zh-CN"/>
              </w:rPr>
            </w:pPr>
          </w:p>
        </w:tc>
        <w:tc>
          <w:tcPr>
            <w:tcW w:w="896" w:type="pct"/>
            <w:vAlign w:val="center"/>
          </w:tcPr>
          <w:p w14:paraId="7190C7A6">
            <w:pPr>
              <w:spacing w:line="360" w:lineRule="auto"/>
              <w:jc w:val="center"/>
              <w:rPr>
                <w:sz w:val="24"/>
                <w:lang w:val="zh-CN" w:bidi="zh-CN"/>
              </w:rPr>
            </w:pPr>
          </w:p>
        </w:tc>
        <w:tc>
          <w:tcPr>
            <w:tcW w:w="969" w:type="pct"/>
            <w:vAlign w:val="center"/>
          </w:tcPr>
          <w:p w14:paraId="0FCE779F">
            <w:pPr>
              <w:spacing w:line="360" w:lineRule="auto"/>
              <w:jc w:val="center"/>
              <w:rPr>
                <w:sz w:val="24"/>
                <w:lang w:val="zh-CN" w:bidi="zh-CN"/>
              </w:rPr>
            </w:pPr>
          </w:p>
        </w:tc>
        <w:tc>
          <w:tcPr>
            <w:tcW w:w="1857" w:type="pct"/>
            <w:vAlign w:val="center"/>
          </w:tcPr>
          <w:p w14:paraId="5A3F5CAC">
            <w:pPr>
              <w:spacing w:line="360" w:lineRule="auto"/>
              <w:jc w:val="center"/>
              <w:rPr>
                <w:sz w:val="24"/>
                <w:lang w:val="zh-CN" w:bidi="zh-CN"/>
              </w:rPr>
            </w:pPr>
          </w:p>
        </w:tc>
        <w:tc>
          <w:tcPr>
            <w:tcW w:w="698" w:type="pct"/>
            <w:vAlign w:val="center"/>
          </w:tcPr>
          <w:p w14:paraId="3A361F3C">
            <w:pPr>
              <w:spacing w:line="360" w:lineRule="auto"/>
              <w:jc w:val="center"/>
              <w:rPr>
                <w:sz w:val="24"/>
                <w:lang w:val="zh-CN" w:bidi="zh-CN"/>
              </w:rPr>
            </w:pPr>
          </w:p>
        </w:tc>
      </w:tr>
      <w:tr w14:paraId="25399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38A2FC14">
            <w:pPr>
              <w:spacing w:line="360" w:lineRule="auto"/>
              <w:jc w:val="center"/>
              <w:rPr>
                <w:sz w:val="24"/>
                <w:lang w:val="zh-CN" w:bidi="zh-CN"/>
              </w:rPr>
            </w:pPr>
          </w:p>
        </w:tc>
        <w:tc>
          <w:tcPr>
            <w:tcW w:w="896" w:type="pct"/>
            <w:vAlign w:val="center"/>
          </w:tcPr>
          <w:p w14:paraId="3040306B">
            <w:pPr>
              <w:spacing w:line="360" w:lineRule="auto"/>
              <w:jc w:val="center"/>
              <w:rPr>
                <w:sz w:val="24"/>
                <w:lang w:val="zh-CN" w:bidi="zh-CN"/>
              </w:rPr>
            </w:pPr>
          </w:p>
        </w:tc>
        <w:tc>
          <w:tcPr>
            <w:tcW w:w="969" w:type="pct"/>
            <w:vAlign w:val="center"/>
          </w:tcPr>
          <w:p w14:paraId="6B3969B4">
            <w:pPr>
              <w:spacing w:line="360" w:lineRule="auto"/>
              <w:jc w:val="center"/>
              <w:rPr>
                <w:sz w:val="24"/>
                <w:lang w:val="zh-CN" w:bidi="zh-CN"/>
              </w:rPr>
            </w:pPr>
          </w:p>
        </w:tc>
        <w:tc>
          <w:tcPr>
            <w:tcW w:w="1857" w:type="pct"/>
            <w:vAlign w:val="center"/>
          </w:tcPr>
          <w:p w14:paraId="15B6A022">
            <w:pPr>
              <w:spacing w:line="360" w:lineRule="auto"/>
              <w:jc w:val="center"/>
              <w:rPr>
                <w:sz w:val="24"/>
                <w:lang w:val="zh-CN" w:bidi="zh-CN"/>
              </w:rPr>
            </w:pPr>
          </w:p>
        </w:tc>
        <w:tc>
          <w:tcPr>
            <w:tcW w:w="698" w:type="pct"/>
            <w:vAlign w:val="center"/>
          </w:tcPr>
          <w:p w14:paraId="624994B7">
            <w:pPr>
              <w:spacing w:line="360" w:lineRule="auto"/>
              <w:jc w:val="center"/>
              <w:rPr>
                <w:sz w:val="24"/>
                <w:lang w:val="zh-CN" w:bidi="zh-CN"/>
              </w:rPr>
            </w:pPr>
          </w:p>
        </w:tc>
      </w:tr>
      <w:tr w14:paraId="1113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314CE68B">
            <w:pPr>
              <w:spacing w:line="360" w:lineRule="auto"/>
              <w:jc w:val="center"/>
              <w:rPr>
                <w:sz w:val="24"/>
                <w:lang w:val="zh-CN" w:bidi="zh-CN"/>
              </w:rPr>
            </w:pPr>
          </w:p>
        </w:tc>
        <w:tc>
          <w:tcPr>
            <w:tcW w:w="896" w:type="pct"/>
            <w:vAlign w:val="center"/>
          </w:tcPr>
          <w:p w14:paraId="5FE530E9">
            <w:pPr>
              <w:spacing w:line="360" w:lineRule="auto"/>
              <w:jc w:val="center"/>
              <w:rPr>
                <w:sz w:val="24"/>
                <w:lang w:val="zh-CN" w:bidi="zh-CN"/>
              </w:rPr>
            </w:pPr>
          </w:p>
        </w:tc>
        <w:tc>
          <w:tcPr>
            <w:tcW w:w="969" w:type="pct"/>
            <w:vAlign w:val="center"/>
          </w:tcPr>
          <w:p w14:paraId="4B74A3FB">
            <w:pPr>
              <w:spacing w:line="360" w:lineRule="auto"/>
              <w:jc w:val="center"/>
              <w:rPr>
                <w:sz w:val="24"/>
                <w:lang w:val="zh-CN" w:bidi="zh-CN"/>
              </w:rPr>
            </w:pPr>
          </w:p>
        </w:tc>
        <w:tc>
          <w:tcPr>
            <w:tcW w:w="1857" w:type="pct"/>
            <w:vAlign w:val="center"/>
          </w:tcPr>
          <w:p w14:paraId="3FE9637D">
            <w:pPr>
              <w:spacing w:line="360" w:lineRule="auto"/>
              <w:jc w:val="center"/>
              <w:rPr>
                <w:sz w:val="24"/>
                <w:lang w:val="zh-CN" w:bidi="zh-CN"/>
              </w:rPr>
            </w:pPr>
          </w:p>
        </w:tc>
        <w:tc>
          <w:tcPr>
            <w:tcW w:w="698" w:type="pct"/>
            <w:vAlign w:val="center"/>
          </w:tcPr>
          <w:p w14:paraId="1CB4B989">
            <w:pPr>
              <w:spacing w:line="360" w:lineRule="auto"/>
              <w:jc w:val="center"/>
              <w:rPr>
                <w:sz w:val="24"/>
                <w:lang w:val="zh-CN" w:bidi="zh-CN"/>
              </w:rPr>
            </w:pPr>
          </w:p>
        </w:tc>
      </w:tr>
      <w:tr w14:paraId="36FD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1F9F0B5">
            <w:pPr>
              <w:spacing w:line="360" w:lineRule="auto"/>
              <w:jc w:val="center"/>
              <w:rPr>
                <w:sz w:val="24"/>
                <w:lang w:val="zh-CN" w:bidi="zh-CN"/>
              </w:rPr>
            </w:pPr>
          </w:p>
        </w:tc>
        <w:tc>
          <w:tcPr>
            <w:tcW w:w="896" w:type="pct"/>
            <w:vAlign w:val="center"/>
          </w:tcPr>
          <w:p w14:paraId="63793958">
            <w:pPr>
              <w:spacing w:line="360" w:lineRule="auto"/>
              <w:jc w:val="center"/>
              <w:rPr>
                <w:sz w:val="24"/>
                <w:lang w:val="zh-CN" w:bidi="zh-CN"/>
              </w:rPr>
            </w:pPr>
          </w:p>
        </w:tc>
        <w:tc>
          <w:tcPr>
            <w:tcW w:w="969" w:type="pct"/>
            <w:vAlign w:val="center"/>
          </w:tcPr>
          <w:p w14:paraId="4ED47BE0">
            <w:pPr>
              <w:spacing w:line="360" w:lineRule="auto"/>
              <w:jc w:val="center"/>
              <w:rPr>
                <w:sz w:val="24"/>
                <w:lang w:val="zh-CN" w:bidi="zh-CN"/>
              </w:rPr>
            </w:pPr>
          </w:p>
        </w:tc>
        <w:tc>
          <w:tcPr>
            <w:tcW w:w="1857" w:type="pct"/>
            <w:vAlign w:val="center"/>
          </w:tcPr>
          <w:p w14:paraId="556EFD98">
            <w:pPr>
              <w:spacing w:line="360" w:lineRule="auto"/>
              <w:jc w:val="center"/>
              <w:rPr>
                <w:sz w:val="24"/>
                <w:lang w:val="zh-CN" w:bidi="zh-CN"/>
              </w:rPr>
            </w:pPr>
          </w:p>
        </w:tc>
        <w:tc>
          <w:tcPr>
            <w:tcW w:w="698" w:type="pct"/>
            <w:vAlign w:val="center"/>
          </w:tcPr>
          <w:p w14:paraId="5B5F73B0">
            <w:pPr>
              <w:spacing w:line="360" w:lineRule="auto"/>
              <w:jc w:val="center"/>
              <w:rPr>
                <w:sz w:val="24"/>
                <w:lang w:val="zh-CN" w:bidi="zh-CN"/>
              </w:rPr>
            </w:pPr>
          </w:p>
        </w:tc>
      </w:tr>
      <w:tr w14:paraId="6018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6BD6C5AE">
            <w:pPr>
              <w:spacing w:line="360" w:lineRule="auto"/>
              <w:jc w:val="center"/>
              <w:rPr>
                <w:sz w:val="24"/>
                <w:lang w:val="zh-CN" w:bidi="zh-CN"/>
              </w:rPr>
            </w:pPr>
          </w:p>
        </w:tc>
        <w:tc>
          <w:tcPr>
            <w:tcW w:w="896" w:type="pct"/>
            <w:vAlign w:val="center"/>
          </w:tcPr>
          <w:p w14:paraId="4A4CAB0F">
            <w:pPr>
              <w:spacing w:line="360" w:lineRule="auto"/>
              <w:jc w:val="center"/>
              <w:rPr>
                <w:sz w:val="24"/>
                <w:lang w:val="zh-CN" w:bidi="zh-CN"/>
              </w:rPr>
            </w:pPr>
          </w:p>
        </w:tc>
        <w:tc>
          <w:tcPr>
            <w:tcW w:w="969" w:type="pct"/>
            <w:vAlign w:val="center"/>
          </w:tcPr>
          <w:p w14:paraId="3F60C5BF">
            <w:pPr>
              <w:spacing w:line="360" w:lineRule="auto"/>
              <w:jc w:val="center"/>
              <w:rPr>
                <w:sz w:val="24"/>
                <w:lang w:val="zh-CN" w:bidi="zh-CN"/>
              </w:rPr>
            </w:pPr>
          </w:p>
        </w:tc>
        <w:tc>
          <w:tcPr>
            <w:tcW w:w="1857" w:type="pct"/>
            <w:vAlign w:val="center"/>
          </w:tcPr>
          <w:p w14:paraId="666C6084">
            <w:pPr>
              <w:spacing w:line="360" w:lineRule="auto"/>
              <w:jc w:val="center"/>
              <w:rPr>
                <w:sz w:val="24"/>
                <w:lang w:val="zh-CN" w:bidi="zh-CN"/>
              </w:rPr>
            </w:pPr>
          </w:p>
        </w:tc>
        <w:tc>
          <w:tcPr>
            <w:tcW w:w="698" w:type="pct"/>
            <w:vAlign w:val="center"/>
          </w:tcPr>
          <w:p w14:paraId="002FF9C7">
            <w:pPr>
              <w:spacing w:line="360" w:lineRule="auto"/>
              <w:jc w:val="center"/>
              <w:rPr>
                <w:sz w:val="24"/>
                <w:lang w:val="zh-CN" w:bidi="zh-CN"/>
              </w:rPr>
            </w:pPr>
          </w:p>
        </w:tc>
      </w:tr>
      <w:tr w14:paraId="28417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578" w:type="pct"/>
            <w:vAlign w:val="center"/>
          </w:tcPr>
          <w:p w14:paraId="2C6C0E13">
            <w:pPr>
              <w:spacing w:line="360" w:lineRule="auto"/>
              <w:jc w:val="center"/>
              <w:rPr>
                <w:sz w:val="24"/>
                <w:lang w:val="zh-CN" w:bidi="zh-CN"/>
              </w:rPr>
            </w:pPr>
          </w:p>
        </w:tc>
        <w:tc>
          <w:tcPr>
            <w:tcW w:w="896" w:type="pct"/>
            <w:vAlign w:val="center"/>
          </w:tcPr>
          <w:p w14:paraId="55BDDD0B">
            <w:pPr>
              <w:spacing w:line="360" w:lineRule="auto"/>
              <w:jc w:val="center"/>
              <w:rPr>
                <w:sz w:val="24"/>
                <w:lang w:val="zh-CN" w:bidi="zh-CN"/>
              </w:rPr>
            </w:pPr>
          </w:p>
        </w:tc>
        <w:tc>
          <w:tcPr>
            <w:tcW w:w="969" w:type="pct"/>
            <w:vAlign w:val="center"/>
          </w:tcPr>
          <w:p w14:paraId="183C4217">
            <w:pPr>
              <w:spacing w:line="360" w:lineRule="auto"/>
              <w:jc w:val="center"/>
              <w:rPr>
                <w:sz w:val="24"/>
                <w:lang w:val="zh-CN" w:bidi="zh-CN"/>
              </w:rPr>
            </w:pPr>
          </w:p>
        </w:tc>
        <w:tc>
          <w:tcPr>
            <w:tcW w:w="1857" w:type="pct"/>
            <w:vAlign w:val="center"/>
          </w:tcPr>
          <w:p w14:paraId="7A3A474F">
            <w:pPr>
              <w:spacing w:line="360" w:lineRule="auto"/>
              <w:jc w:val="center"/>
              <w:rPr>
                <w:sz w:val="24"/>
                <w:lang w:val="zh-CN" w:bidi="zh-CN"/>
              </w:rPr>
            </w:pPr>
          </w:p>
        </w:tc>
        <w:tc>
          <w:tcPr>
            <w:tcW w:w="698" w:type="pct"/>
            <w:vAlign w:val="center"/>
          </w:tcPr>
          <w:p w14:paraId="2B91F8E2">
            <w:pPr>
              <w:spacing w:line="360" w:lineRule="auto"/>
              <w:jc w:val="center"/>
              <w:rPr>
                <w:sz w:val="24"/>
                <w:lang w:val="zh-CN" w:bidi="zh-CN"/>
              </w:rPr>
            </w:pPr>
          </w:p>
        </w:tc>
      </w:tr>
    </w:tbl>
    <w:p w14:paraId="64AA7EF6">
      <w:pPr>
        <w:rPr>
          <w:b/>
          <w:bCs/>
          <w:szCs w:val="21"/>
          <w:lang w:bidi="zh-CN"/>
        </w:rPr>
      </w:pPr>
      <w:bookmarkStart w:id="189" w:name="(三)人员安排及管理制度"/>
      <w:bookmarkEnd w:id="189"/>
      <w:r>
        <w:rPr>
          <w:rFonts w:hint="eastAsia"/>
          <w:b/>
          <w:bCs/>
          <w:szCs w:val="21"/>
          <w:lang w:bidi="zh-CN"/>
        </w:rPr>
        <w:t>后附：相关人员证书扫描件并加盖公章</w:t>
      </w:r>
    </w:p>
    <w:p w14:paraId="0FEEB95E">
      <w:pPr>
        <w:rPr>
          <w:b/>
          <w:bCs/>
          <w:szCs w:val="21"/>
          <w:lang w:val="zh-CN" w:bidi="zh-CN"/>
        </w:rPr>
      </w:pPr>
    </w:p>
    <w:p w14:paraId="3B9BEF7A">
      <w:pPr>
        <w:rPr>
          <w:b/>
          <w:bCs/>
          <w:szCs w:val="21"/>
          <w:lang w:val="zh-CN" w:bidi="zh-CN"/>
        </w:rPr>
      </w:pPr>
      <w:r>
        <w:rPr>
          <w:b/>
          <w:bCs/>
          <w:szCs w:val="21"/>
          <w:lang w:val="zh-CN" w:bidi="zh-CN"/>
        </w:rPr>
        <w:br w:type="page"/>
      </w:r>
    </w:p>
    <w:p w14:paraId="72EBEDF0">
      <w:pPr>
        <w:rPr>
          <w:b/>
          <w:bCs/>
          <w:szCs w:val="21"/>
          <w:lang w:val="zh-CN" w:bidi="zh-CN"/>
        </w:rPr>
      </w:pPr>
    </w:p>
    <w:p w14:paraId="7EB40EF7">
      <w:pPr>
        <w:pStyle w:val="18"/>
        <w:ind w:firstLine="0"/>
        <w:jc w:val="center"/>
        <w:rPr>
          <w:rFonts w:ascii="宋体" w:hAnsi="宋体" w:eastAsia="宋体" w:cs="宋体"/>
          <w:b/>
          <w:bCs/>
          <w:color w:val="000000"/>
          <w:kern w:val="10"/>
          <w:sz w:val="24"/>
        </w:rPr>
      </w:pPr>
      <w:r>
        <w:rPr>
          <w:rFonts w:hint="eastAsia" w:ascii="宋体" w:hAnsi="宋体" w:eastAsia="宋体" w:cs="宋体"/>
          <w:b/>
          <w:bCs/>
          <w:color w:val="000000"/>
          <w:kern w:val="10"/>
          <w:sz w:val="24"/>
        </w:rPr>
        <w:t>（五）供应商认为需要提供的其他资料</w:t>
      </w:r>
    </w:p>
    <w:p w14:paraId="25762FCD">
      <w:pPr>
        <w:pStyle w:val="18"/>
        <w:ind w:firstLine="0"/>
        <w:jc w:val="center"/>
        <w:rPr>
          <w:rFonts w:ascii="宋体" w:hAnsi="宋体" w:eastAsia="宋体" w:cs="宋体"/>
          <w:color w:val="000000"/>
          <w:kern w:val="10"/>
          <w:sz w:val="24"/>
        </w:rPr>
      </w:pPr>
      <w:r>
        <w:rPr>
          <w:rFonts w:hint="eastAsia" w:ascii="宋体" w:hAnsi="宋体" w:eastAsia="宋体"/>
          <w:color w:val="000000"/>
          <w:sz w:val="24"/>
        </w:rPr>
        <w:t>（</w:t>
      </w:r>
      <w:bookmarkStart w:id="190" w:name="_Toc3211"/>
      <w:bookmarkStart w:id="191" w:name="_Toc31769"/>
      <w:bookmarkStart w:id="192" w:name="_Toc26496"/>
      <w:r>
        <w:rPr>
          <w:rFonts w:hint="eastAsia" w:ascii="宋体" w:hAnsi="宋体" w:eastAsia="宋体"/>
          <w:color w:val="000000"/>
          <w:sz w:val="24"/>
        </w:rPr>
        <w:t>投标人认为需要的其他资料</w:t>
      </w:r>
      <w:bookmarkEnd w:id="190"/>
      <w:bookmarkEnd w:id="191"/>
      <w:bookmarkEnd w:id="192"/>
      <w:r>
        <w:rPr>
          <w:rFonts w:hint="eastAsia" w:ascii="宋体" w:hAnsi="宋体" w:eastAsia="宋体"/>
          <w:color w:val="000000"/>
          <w:sz w:val="24"/>
        </w:rPr>
        <w:t>）</w:t>
      </w:r>
    </w:p>
    <w:p w14:paraId="3A283F12">
      <w:pPr>
        <w:spacing w:line="360" w:lineRule="auto"/>
        <w:rPr>
          <w:rFonts w:ascii="宋体" w:hAnsi="宋体" w:cs="宋体"/>
          <w:bCs/>
          <w:color w:val="000000"/>
          <w:kern w:val="10"/>
          <w:sz w:val="24"/>
        </w:rPr>
      </w:pPr>
    </w:p>
    <w:p w14:paraId="4661F9AB">
      <w:pPr>
        <w:rPr>
          <w:color w:val="000000"/>
        </w:rPr>
      </w:pPr>
    </w:p>
    <w:p w14:paraId="3A6B95DD">
      <w:pPr>
        <w:rPr>
          <w:color w:val="000000"/>
        </w:rPr>
      </w:pPr>
    </w:p>
    <w:p w14:paraId="2EB38528"/>
    <w:p w14:paraId="73BD49D5">
      <w:r>
        <w:br w:type="page"/>
      </w:r>
    </w:p>
    <w:p w14:paraId="6A6FF202">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九、中小微企业声明函</w:t>
      </w:r>
    </w:p>
    <w:p w14:paraId="495C5FC8">
      <w:pPr>
        <w:spacing w:line="400" w:lineRule="exact"/>
        <w:rPr>
          <w:rFonts w:ascii="宋体" w:hAnsi="宋体" w:cs="宋体"/>
          <w:color w:val="000000"/>
          <w:sz w:val="24"/>
        </w:rPr>
      </w:pPr>
    </w:p>
    <w:p w14:paraId="65CDB088">
      <w:pPr>
        <w:jc w:val="center"/>
        <w:rPr>
          <w:rFonts w:ascii="宋体" w:hAnsi="宋体" w:cs="宋体"/>
          <w:b/>
          <w:bCs/>
          <w:iCs/>
          <w:sz w:val="24"/>
        </w:rPr>
      </w:pPr>
      <w:r>
        <w:rPr>
          <w:rFonts w:hint="eastAsia" w:ascii="宋体" w:hAnsi="宋体" w:cs="宋体"/>
          <w:b/>
          <w:bCs/>
          <w:iCs/>
          <w:sz w:val="24"/>
        </w:rPr>
        <w:t>（属于中小微企业的填写，不属于的无需填写此项内容）</w:t>
      </w:r>
    </w:p>
    <w:p w14:paraId="1623BC26">
      <w:pPr>
        <w:spacing w:line="360" w:lineRule="auto"/>
        <w:ind w:firstLine="480" w:firstLineChars="200"/>
        <w:rPr>
          <w:rFonts w:ascii="宋体" w:hAnsi="宋体"/>
          <w:sz w:val="24"/>
        </w:rPr>
      </w:pPr>
    </w:p>
    <w:p w14:paraId="1B550D91">
      <w:pPr>
        <w:spacing w:line="360" w:lineRule="auto"/>
        <w:ind w:firstLine="480" w:firstLineChars="200"/>
        <w:rPr>
          <w:rFonts w:ascii="宋体" w:hAnsi="宋体"/>
          <w:sz w:val="24"/>
        </w:rPr>
      </w:pPr>
      <w:r>
        <w:rPr>
          <w:rFonts w:ascii="宋体" w:hAnsi="宋体"/>
          <w:sz w:val="24"/>
        </w:rPr>
        <w:t>本公司（联合体） 郑重声明， 根据《政府采购促进中小企业发展管理办法》（财库﹝ 2020﹞ 46 号） 的规定， 本公司（联合体） 参加</w:t>
      </w:r>
      <w:r>
        <w:rPr>
          <w:rFonts w:ascii="宋体" w:hAnsi="宋体"/>
          <w:sz w:val="24"/>
          <w:u w:val="single"/>
        </w:rPr>
        <w:t>（单位名称）</w:t>
      </w:r>
      <w:r>
        <w:rPr>
          <w:rFonts w:ascii="宋体" w:hAnsi="宋体"/>
          <w:sz w:val="24"/>
        </w:rPr>
        <w:t xml:space="preserve"> 的</w:t>
      </w:r>
      <w:r>
        <w:rPr>
          <w:rFonts w:ascii="宋体" w:hAnsi="宋体"/>
          <w:sz w:val="24"/>
          <w:u w:val="single"/>
        </w:rPr>
        <w:t>（项目名称）</w:t>
      </w:r>
      <w:r>
        <w:rPr>
          <w:rFonts w:ascii="宋体" w:hAnsi="宋体"/>
          <w:sz w:val="24"/>
        </w:rPr>
        <w:t xml:space="preserve"> 采购活动，</w:t>
      </w:r>
      <w:r>
        <w:rPr>
          <w:rFonts w:hint="eastAsia" w:ascii="宋体" w:hAnsi="宋体"/>
          <w:sz w:val="24"/>
        </w:rPr>
        <w:t>提供的货物全部由符合政策要求的中小企业制造，</w:t>
      </w:r>
      <w:r>
        <w:rPr>
          <w:rFonts w:ascii="宋体" w:hAnsi="宋体"/>
          <w:sz w:val="24"/>
        </w:rPr>
        <w:t>具体情况如下：</w:t>
      </w:r>
    </w:p>
    <w:p w14:paraId="4C7A1AEB">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ascii="宋体" w:hAnsi="宋体"/>
          <w:sz w:val="24"/>
          <w:u w:val="single"/>
        </w:rPr>
        <w:t>（标的名称）</w:t>
      </w:r>
      <w:r>
        <w:rPr>
          <w:rFonts w:ascii="宋体" w:hAnsi="宋体"/>
          <w:sz w:val="24"/>
        </w:rPr>
        <w:t xml:space="preserve"> ，属于</w:t>
      </w:r>
      <w:bookmarkStart w:id="193" w:name="_Hlk136874922"/>
      <w:r>
        <w:rPr>
          <w:rFonts w:hint="eastAsia" w:ascii="宋体" w:hAnsi="宋体"/>
          <w:sz w:val="24"/>
          <w:u w:val="single"/>
        </w:rPr>
        <w:t>工业</w:t>
      </w:r>
      <w:bookmarkEnd w:id="193"/>
      <w:r>
        <w:rPr>
          <w:rFonts w:ascii="宋体" w:hAnsi="宋体"/>
          <w:sz w:val="24"/>
        </w:rPr>
        <w:t>；</w:t>
      </w:r>
      <w:r>
        <w:rPr>
          <w:rFonts w:hint="eastAsia" w:ascii="宋体" w:hAnsi="宋体"/>
          <w:sz w:val="24"/>
        </w:rPr>
        <w:t>制造商</w:t>
      </w:r>
      <w:r>
        <w:rPr>
          <w:rFonts w:ascii="宋体" w:hAnsi="宋体"/>
          <w:sz w:val="24"/>
        </w:rPr>
        <w:t>为</w:t>
      </w:r>
      <w:r>
        <w:rPr>
          <w:rFonts w:ascii="宋体" w:hAnsi="宋体"/>
          <w:sz w:val="24"/>
          <w:u w:val="single"/>
        </w:rPr>
        <w:t>（ 企业名称）</w:t>
      </w:r>
      <w:r>
        <w:rPr>
          <w:rFonts w:ascii="宋体" w:hAnsi="宋体"/>
          <w:sz w:val="24"/>
        </w:rPr>
        <w:t>，从业人员</w:t>
      </w:r>
      <w:r>
        <w:rPr>
          <w:rFonts w:hint="eastAsia"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rPr>
        <w:t>万元，属于</w:t>
      </w:r>
      <w:r>
        <w:rPr>
          <w:rFonts w:ascii="宋体" w:hAnsi="宋体"/>
          <w:sz w:val="24"/>
          <w:u w:val="single"/>
        </w:rPr>
        <w:t>（中型企业、 小型企业、 微型企业）</w:t>
      </w:r>
      <w:r>
        <w:rPr>
          <w:rFonts w:ascii="宋体" w:hAnsi="宋体"/>
          <w:sz w:val="24"/>
        </w:rPr>
        <w:t>；</w:t>
      </w:r>
    </w:p>
    <w:p w14:paraId="11E1F38B">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ascii="宋体" w:hAnsi="宋体"/>
          <w:sz w:val="24"/>
          <w:u w:val="single"/>
        </w:rPr>
        <w:t>（标的名称）</w:t>
      </w:r>
      <w:r>
        <w:rPr>
          <w:rFonts w:ascii="宋体" w:hAnsi="宋体"/>
          <w:sz w:val="24"/>
        </w:rPr>
        <w:t xml:space="preserve"> ，属于</w:t>
      </w:r>
      <w:r>
        <w:rPr>
          <w:rFonts w:hint="eastAsia" w:ascii="宋体" w:hAnsi="宋体"/>
          <w:sz w:val="24"/>
          <w:u w:val="single"/>
        </w:rPr>
        <w:t>工业</w:t>
      </w:r>
      <w:r>
        <w:rPr>
          <w:rFonts w:ascii="宋体" w:hAnsi="宋体"/>
          <w:sz w:val="24"/>
        </w:rPr>
        <w:t>；</w:t>
      </w:r>
      <w:r>
        <w:rPr>
          <w:rFonts w:hint="eastAsia" w:ascii="宋体" w:hAnsi="宋体"/>
          <w:sz w:val="24"/>
        </w:rPr>
        <w:t>制造商</w:t>
      </w:r>
      <w:r>
        <w:rPr>
          <w:rFonts w:ascii="宋体" w:hAnsi="宋体"/>
          <w:sz w:val="24"/>
        </w:rPr>
        <w:t>为</w:t>
      </w:r>
      <w:r>
        <w:rPr>
          <w:rFonts w:ascii="宋体" w:hAnsi="宋体"/>
          <w:sz w:val="24"/>
          <w:u w:val="single"/>
        </w:rPr>
        <w:t>（ 企业名称）</w:t>
      </w:r>
      <w:r>
        <w:rPr>
          <w:rFonts w:ascii="宋体" w:hAnsi="宋体"/>
          <w:sz w:val="24"/>
        </w:rPr>
        <w:t>，从业人员</w:t>
      </w:r>
      <w:r>
        <w:rPr>
          <w:rFonts w:hint="eastAsia"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rPr>
        <w:t>万元，属于</w:t>
      </w:r>
      <w:r>
        <w:rPr>
          <w:rFonts w:ascii="宋体" w:hAnsi="宋体"/>
          <w:sz w:val="24"/>
          <w:u w:val="single"/>
        </w:rPr>
        <w:t>（中型企业、 小型企业、 微型企业）</w:t>
      </w:r>
      <w:r>
        <w:rPr>
          <w:rFonts w:ascii="宋体" w:hAnsi="宋体"/>
          <w:sz w:val="24"/>
        </w:rPr>
        <w:t>；</w:t>
      </w:r>
    </w:p>
    <w:p w14:paraId="24D10D03">
      <w:pPr>
        <w:pStyle w:val="17"/>
        <w:ind w:firstLine="210"/>
      </w:pPr>
      <w:r>
        <w:rPr>
          <w:rFonts w:hint="eastAsia"/>
        </w:rPr>
        <w:t>······</w:t>
      </w:r>
    </w:p>
    <w:p w14:paraId="02623E01">
      <w:pPr>
        <w:spacing w:line="360" w:lineRule="auto"/>
        <w:ind w:firstLine="480" w:firstLineChars="200"/>
        <w:rPr>
          <w:rFonts w:ascii="宋体" w:hAnsi="宋体"/>
          <w:sz w:val="24"/>
        </w:rPr>
      </w:pPr>
      <w:r>
        <w:rPr>
          <w:rFonts w:hint="eastAsia" w:ascii="宋体" w:hAnsi="宋体"/>
          <w:sz w:val="24"/>
        </w:rPr>
        <w:t>以上</w:t>
      </w:r>
      <w:r>
        <w:rPr>
          <w:rFonts w:ascii="宋体" w:hAnsi="宋体"/>
          <w:sz w:val="24"/>
        </w:rPr>
        <w:t>企业</w:t>
      </w:r>
      <w:r>
        <w:rPr>
          <w:rFonts w:hint="eastAsia" w:ascii="宋体" w:hAnsi="宋体"/>
          <w:sz w:val="24"/>
        </w:rPr>
        <w:t>，</w:t>
      </w:r>
      <w:r>
        <w:rPr>
          <w:rFonts w:ascii="宋体" w:hAnsi="宋体"/>
          <w:sz w:val="24"/>
        </w:rPr>
        <w:t>不属于大企业的分支机构，不存在控股股东为大企业的情形，也不存在与大企业的负责人为同一人的情形。</w:t>
      </w:r>
    </w:p>
    <w:p w14:paraId="0DA5A9BB">
      <w:pPr>
        <w:spacing w:line="360" w:lineRule="auto"/>
        <w:ind w:firstLine="480" w:firstLineChars="200"/>
        <w:rPr>
          <w:rFonts w:ascii="宋体" w:hAnsi="宋体"/>
          <w:sz w:val="24"/>
        </w:rPr>
      </w:pPr>
      <w:r>
        <w:rPr>
          <w:rFonts w:ascii="宋体" w:hAnsi="宋体"/>
          <w:sz w:val="24"/>
        </w:rPr>
        <w:t>本企业对上述声明内容的真实性负责。 如有虚假，将依法承担相应责任。</w:t>
      </w:r>
    </w:p>
    <w:p w14:paraId="13C6FEC3">
      <w:pPr>
        <w:spacing w:line="480" w:lineRule="exact"/>
        <w:ind w:left="3595" w:leftChars="1712"/>
        <w:rPr>
          <w:rFonts w:ascii="宋体" w:hAnsi="宋体" w:cs="宋体"/>
          <w:sz w:val="24"/>
        </w:rPr>
      </w:pPr>
      <w:r>
        <w:rPr>
          <w:rFonts w:hint="eastAsia" w:ascii="宋体" w:hAnsi="宋体" w:cs="宋体"/>
          <w:sz w:val="24"/>
        </w:rPr>
        <w:t xml:space="preserve"> </w:t>
      </w:r>
    </w:p>
    <w:p w14:paraId="15D37C84">
      <w:pPr>
        <w:spacing w:line="480" w:lineRule="exact"/>
        <w:ind w:left="3595" w:leftChars="1712"/>
        <w:rPr>
          <w:rFonts w:ascii="宋体" w:hAnsi="宋体" w:cs="宋体"/>
          <w:sz w:val="24"/>
          <w:szCs w:val="20"/>
          <w:u w:val="single"/>
        </w:rPr>
      </w:pPr>
      <w:r>
        <w:rPr>
          <w:rFonts w:hint="eastAsia" w:ascii="宋体" w:hAnsi="宋体" w:cs="宋体"/>
          <w:sz w:val="24"/>
        </w:rPr>
        <w:t xml:space="preserve">    </w:t>
      </w:r>
      <w:r>
        <w:rPr>
          <w:rFonts w:hint="eastAsia" w:ascii="宋体" w:hAnsi="宋体" w:cs="宋体"/>
          <w:sz w:val="24"/>
          <w:szCs w:val="20"/>
        </w:rPr>
        <w:t>供应商（电子签章）：</w:t>
      </w:r>
      <w:r>
        <w:rPr>
          <w:rFonts w:hint="eastAsia" w:ascii="宋体" w:hAnsi="宋体" w:cs="宋体"/>
          <w:sz w:val="24"/>
          <w:szCs w:val="20"/>
          <w:u w:val="single"/>
        </w:rPr>
        <w:t xml:space="preserve">                            </w:t>
      </w:r>
    </w:p>
    <w:p w14:paraId="0C7F1CA0">
      <w:pPr>
        <w:spacing w:line="480" w:lineRule="exact"/>
        <w:ind w:left="3360" w:leftChars="1600" w:firstLine="240" w:firstLineChars="100"/>
        <w:rPr>
          <w:rFonts w:ascii="宋体" w:hAnsi="宋体" w:cs="宋体"/>
          <w:sz w:val="24"/>
          <w:szCs w:val="20"/>
          <w:u w:val="single"/>
        </w:rPr>
      </w:pPr>
      <w:r>
        <w:rPr>
          <w:rFonts w:hint="eastAsia" w:ascii="宋体" w:hAnsi="宋体" w:cs="宋体"/>
          <w:sz w:val="24"/>
          <w:szCs w:val="20"/>
        </w:rPr>
        <w:t>法定代表人（电子签章）：</w:t>
      </w:r>
      <w:r>
        <w:rPr>
          <w:rFonts w:hint="eastAsia" w:ascii="宋体" w:hAnsi="宋体" w:cs="宋体"/>
          <w:sz w:val="24"/>
          <w:szCs w:val="20"/>
          <w:u w:val="single"/>
        </w:rPr>
        <w:t xml:space="preserve">                      </w:t>
      </w:r>
    </w:p>
    <w:p w14:paraId="7AA03999">
      <w:pPr>
        <w:spacing w:line="480" w:lineRule="atLeast"/>
        <w:jc w:val="right"/>
        <w:rPr>
          <w:rFonts w:ascii="宋体" w:hAnsi="宋体" w:cs="黑体"/>
          <w:sz w:val="30"/>
          <w:szCs w:val="30"/>
        </w:rPr>
      </w:pPr>
      <w:bookmarkStart w:id="201" w:name="_GoBack"/>
      <w:bookmarkEnd w:id="201"/>
      <w:r>
        <w:rPr>
          <w:rFonts w:hint="eastAsia" w:ascii="宋体" w:hAnsi="宋体"/>
          <w:sz w:val="24"/>
          <w:szCs w:val="20"/>
        </w:rPr>
        <w:t>日期：</w:t>
      </w:r>
      <w:r>
        <w:rPr>
          <w:rFonts w:hint="eastAsia" w:ascii="宋体" w:hAnsi="宋体"/>
          <w:sz w:val="24"/>
          <w:szCs w:val="20"/>
          <w:u w:val="single"/>
        </w:rPr>
        <w:t xml:space="preserve">        </w:t>
      </w:r>
      <w:r>
        <w:rPr>
          <w:rFonts w:hint="eastAsia" w:ascii="宋体" w:hAnsi="宋体"/>
          <w:sz w:val="24"/>
          <w:szCs w:val="20"/>
        </w:rPr>
        <w:t>年</w:t>
      </w:r>
      <w:r>
        <w:rPr>
          <w:rFonts w:hint="eastAsia" w:ascii="宋体" w:hAnsi="宋体"/>
          <w:sz w:val="24"/>
          <w:szCs w:val="20"/>
          <w:u w:val="single"/>
        </w:rPr>
        <w:t xml:space="preserve">       </w:t>
      </w:r>
      <w:r>
        <w:rPr>
          <w:rFonts w:hint="eastAsia" w:ascii="宋体" w:hAnsi="宋体"/>
          <w:sz w:val="24"/>
          <w:szCs w:val="20"/>
        </w:rPr>
        <w:t>月</w:t>
      </w:r>
      <w:r>
        <w:rPr>
          <w:rFonts w:hint="eastAsia" w:ascii="宋体" w:hAnsi="宋体"/>
          <w:sz w:val="24"/>
          <w:szCs w:val="20"/>
          <w:u w:val="single"/>
        </w:rPr>
        <w:t xml:space="preserve">       </w:t>
      </w:r>
      <w:r>
        <w:rPr>
          <w:rFonts w:hint="eastAsia" w:ascii="宋体" w:hAnsi="宋体"/>
          <w:sz w:val="24"/>
          <w:szCs w:val="20"/>
        </w:rPr>
        <w:t>日</w:t>
      </w:r>
    </w:p>
    <w:p w14:paraId="6BE2210D">
      <w:pPr>
        <w:spacing w:line="480" w:lineRule="auto"/>
        <w:jc w:val="center"/>
        <w:rPr>
          <w:rFonts w:ascii="宋体" w:hAnsi="宋体" w:cs="宋体"/>
          <w:sz w:val="24"/>
        </w:rPr>
      </w:pPr>
    </w:p>
    <w:p w14:paraId="705BF1CC">
      <w:pPr>
        <w:spacing w:line="400" w:lineRule="exact"/>
        <w:ind w:firstLine="480" w:firstLineChars="200"/>
        <w:rPr>
          <w:rFonts w:ascii="宋体" w:hAnsi="宋体" w:cs="宋体"/>
          <w:color w:val="000000"/>
          <w:sz w:val="24"/>
        </w:rPr>
      </w:pPr>
      <w:r>
        <w:rPr>
          <w:rFonts w:hint="eastAsia" w:ascii="宋体" w:hAnsi="宋体"/>
          <w:sz w:val="24"/>
        </w:rPr>
        <w:t>注：1.</w:t>
      </w:r>
      <w:r>
        <w:rPr>
          <w:rFonts w:ascii="宋体" w:hAnsi="宋体"/>
          <w:sz w:val="24"/>
        </w:rPr>
        <w:t>从业人员、 营业收入、 资产总额填报上一年度数据， 无上一年度数据的新成立企业可不填报。</w:t>
      </w:r>
    </w:p>
    <w:p w14:paraId="2A81E926">
      <w:pPr>
        <w:spacing w:line="400" w:lineRule="exact"/>
        <w:ind w:firstLine="480" w:firstLineChars="200"/>
        <w:rPr>
          <w:rFonts w:ascii="宋体" w:hAnsi="宋体" w:cs="宋体"/>
          <w:color w:val="000000"/>
          <w:sz w:val="24"/>
        </w:rPr>
      </w:pPr>
    </w:p>
    <w:p w14:paraId="5A690B12">
      <w:pPr>
        <w:spacing w:line="400" w:lineRule="exact"/>
        <w:ind w:firstLine="480" w:firstLineChars="200"/>
        <w:rPr>
          <w:rFonts w:ascii="宋体" w:hAnsi="宋体" w:cs="宋体"/>
          <w:color w:val="000000"/>
          <w:sz w:val="24"/>
        </w:rPr>
      </w:pPr>
      <w:r>
        <w:rPr>
          <w:rFonts w:hint="eastAsia" w:ascii="宋体" w:hAnsi="宋体" w:cs="宋体"/>
          <w:bCs/>
          <w:color w:val="000000"/>
          <w:sz w:val="24"/>
        </w:rPr>
        <w:t>注：如果投标人不满足中小微企业的认定标准，或所投产品的制造商不符合小型微型企业认定标准的，需在横线部分填写“/”。</w:t>
      </w:r>
    </w:p>
    <w:p w14:paraId="4BE41007">
      <w:pPr>
        <w:spacing w:line="400" w:lineRule="exact"/>
        <w:ind w:firstLine="480" w:firstLineChars="200"/>
        <w:rPr>
          <w:rFonts w:ascii="宋体" w:hAnsi="宋体" w:cs="宋体"/>
          <w:color w:val="000000"/>
          <w:sz w:val="24"/>
        </w:rPr>
      </w:pPr>
    </w:p>
    <w:p w14:paraId="2C75E569">
      <w:pPr>
        <w:spacing w:line="400" w:lineRule="exact"/>
        <w:ind w:firstLine="480" w:firstLineChars="200"/>
        <w:rPr>
          <w:rFonts w:ascii="宋体" w:hAnsi="宋体" w:cs="宋体"/>
          <w:color w:val="000000"/>
          <w:sz w:val="24"/>
        </w:rPr>
      </w:pPr>
    </w:p>
    <w:p w14:paraId="63FACA24">
      <w:pPr>
        <w:rPr>
          <w:rFonts w:ascii="宋体" w:hAnsi="宋体" w:cs="宋体"/>
          <w:b/>
          <w:bCs/>
          <w:color w:val="000000"/>
          <w:kern w:val="10"/>
          <w:sz w:val="28"/>
          <w:szCs w:val="28"/>
        </w:rPr>
      </w:pPr>
      <w:bookmarkStart w:id="194" w:name="_Toc6605"/>
      <w:bookmarkStart w:id="195" w:name="_Toc10871"/>
      <w:bookmarkStart w:id="196" w:name="_Toc516499670"/>
      <w:bookmarkStart w:id="197" w:name="_Toc29267"/>
      <w:bookmarkStart w:id="198" w:name="_Toc99007062"/>
      <w:bookmarkStart w:id="199" w:name="_Toc57277898"/>
      <w:bookmarkStart w:id="200" w:name="_Toc1813"/>
      <w:r>
        <w:rPr>
          <w:rFonts w:hint="eastAsia" w:ascii="宋体" w:hAnsi="宋体" w:cs="宋体"/>
          <w:b/>
          <w:bCs/>
          <w:color w:val="000000"/>
          <w:kern w:val="10"/>
          <w:sz w:val="28"/>
          <w:szCs w:val="28"/>
        </w:rPr>
        <w:br w:type="page"/>
      </w:r>
    </w:p>
    <w:bookmarkEnd w:id="194"/>
    <w:bookmarkEnd w:id="195"/>
    <w:bookmarkEnd w:id="196"/>
    <w:bookmarkEnd w:id="197"/>
    <w:bookmarkEnd w:id="198"/>
    <w:bookmarkEnd w:id="199"/>
    <w:bookmarkEnd w:id="200"/>
    <w:p w14:paraId="01CA893C">
      <w:pPr>
        <w:jc w:val="center"/>
      </w:pPr>
      <w:r>
        <w:rPr>
          <w:rFonts w:hint="eastAsia"/>
          <w:b/>
          <w:bCs/>
          <w:kern w:val="10"/>
          <w:sz w:val="28"/>
          <w:szCs w:val="28"/>
        </w:rPr>
        <w:t>残疾人福利性单位声明函</w:t>
      </w:r>
    </w:p>
    <w:p w14:paraId="12B5DA26">
      <w:pPr>
        <w:spacing w:line="360" w:lineRule="auto"/>
        <w:ind w:firstLine="504" w:firstLineChars="200"/>
        <w:rPr>
          <w:spacing w:val="6"/>
          <w:sz w:val="24"/>
        </w:rPr>
      </w:pPr>
      <w:r>
        <w:rPr>
          <w:rFonts w:hint="eastAsia"/>
          <w:spacing w:val="6"/>
          <w:sz w:val="24"/>
        </w:rPr>
        <w:t>本单位郑重声明，根据《财政部 民政部 中国残疾人联合会关于促进残疾人就业政府采购政策的通知》（财库</w:t>
      </w:r>
      <w:r>
        <w:rPr>
          <w:rFonts w:hint="eastAsia"/>
          <w:sz w:val="24"/>
        </w:rPr>
        <w:t>〔2017〕 141</w:t>
      </w:r>
      <w:r>
        <w:rPr>
          <w:rFonts w:hint="eastAsia"/>
          <w:spacing w:val="6"/>
          <w:sz w:val="24"/>
        </w:rPr>
        <w:t>号）的规定，本单位为符合条件的残疾人福利性单位，且本单位参加</w:t>
      </w:r>
      <w:r>
        <w:rPr>
          <w:rFonts w:hint="eastAsia"/>
          <w:spacing w:val="6"/>
          <w:sz w:val="24"/>
          <w:u w:val="single"/>
        </w:rPr>
        <w:t xml:space="preserve">        </w:t>
      </w:r>
      <w:r>
        <w:rPr>
          <w:rFonts w:hint="eastAsia"/>
          <w:spacing w:val="6"/>
          <w:sz w:val="24"/>
        </w:rPr>
        <w:t>单位的</w:t>
      </w:r>
      <w:r>
        <w:rPr>
          <w:rFonts w:hint="eastAsia"/>
          <w:spacing w:val="6"/>
          <w:sz w:val="24"/>
          <w:u w:val="single"/>
        </w:rPr>
        <w:t xml:space="preserve">        </w:t>
      </w:r>
      <w:r>
        <w:rPr>
          <w:rFonts w:hint="eastAsia"/>
          <w:spacing w:val="6"/>
          <w:sz w:val="24"/>
        </w:rPr>
        <w:t>项目采购活动提供本单位制造的货物（由本单位承担工程/提供服务），或者提供其他残疾人福利性单位制造的货物（不包括使用非残疾人福利性单位注册商标的货物）。</w:t>
      </w:r>
    </w:p>
    <w:p w14:paraId="635482B0">
      <w:pPr>
        <w:spacing w:line="360" w:lineRule="auto"/>
        <w:ind w:firstLine="504" w:firstLineChars="200"/>
        <w:rPr>
          <w:spacing w:val="6"/>
          <w:sz w:val="24"/>
        </w:rPr>
      </w:pPr>
      <w:r>
        <w:rPr>
          <w:rFonts w:hint="eastAsia"/>
          <w:spacing w:val="6"/>
          <w:sz w:val="24"/>
        </w:rPr>
        <w:t>本单位对上述声明的真实性负责。如有虚假，将依法承担相应责任。</w:t>
      </w:r>
    </w:p>
    <w:p w14:paraId="3850739E">
      <w:pPr>
        <w:spacing w:line="360" w:lineRule="auto"/>
        <w:ind w:firstLine="504" w:firstLineChars="200"/>
        <w:rPr>
          <w:spacing w:val="6"/>
          <w:sz w:val="24"/>
        </w:rPr>
      </w:pPr>
    </w:p>
    <w:p w14:paraId="2D62D2BE">
      <w:pPr>
        <w:tabs>
          <w:tab w:val="left" w:pos="4860"/>
        </w:tabs>
        <w:spacing w:line="360" w:lineRule="auto"/>
        <w:ind w:right="1560" w:firstLine="504" w:firstLineChars="200"/>
        <w:jc w:val="center"/>
        <w:rPr>
          <w:spacing w:val="6"/>
          <w:sz w:val="24"/>
        </w:rPr>
      </w:pPr>
      <w:r>
        <w:rPr>
          <w:rFonts w:hint="eastAsia"/>
          <w:spacing w:val="6"/>
          <w:sz w:val="24"/>
        </w:rPr>
        <w:t xml:space="preserve">               单位名称（盖章）：</w:t>
      </w:r>
    </w:p>
    <w:p w14:paraId="30BE76FE">
      <w:pPr>
        <w:tabs>
          <w:tab w:val="left" w:pos="4860"/>
        </w:tabs>
        <w:spacing w:line="360" w:lineRule="auto"/>
        <w:ind w:right="1560" w:firstLine="504" w:firstLineChars="200"/>
        <w:jc w:val="center"/>
        <w:rPr>
          <w:spacing w:val="6"/>
          <w:sz w:val="24"/>
        </w:rPr>
      </w:pPr>
      <w:r>
        <w:rPr>
          <w:rFonts w:hint="eastAsia"/>
          <w:spacing w:val="6"/>
          <w:sz w:val="24"/>
        </w:rPr>
        <w:t xml:space="preserve">       日  期：</w:t>
      </w:r>
    </w:p>
    <w:p w14:paraId="43290B19">
      <w:pPr>
        <w:widowControl/>
        <w:ind w:firstLine="480" w:firstLineChars="200"/>
        <w:rPr>
          <w:b/>
          <w:sz w:val="24"/>
        </w:rPr>
      </w:pPr>
      <w:r>
        <w:rPr>
          <w:rFonts w:hint="eastAsia"/>
          <w:b/>
          <w:sz w:val="24"/>
        </w:rPr>
        <w:t>（提醒：如果供应商</w:t>
      </w:r>
      <w:r>
        <w:rPr>
          <w:rFonts w:hint="eastAsia"/>
          <w:b/>
          <w:spacing w:val="10"/>
          <w:sz w:val="24"/>
        </w:rPr>
        <w:t>不是残疾人福利性单位</w:t>
      </w:r>
      <w:r>
        <w:rPr>
          <w:rFonts w:hint="eastAsia"/>
          <w:b/>
          <w:sz w:val="24"/>
        </w:rPr>
        <w:t>，则不需要提供《残疾人福利性单位声明函》。否则，因此导致虚假投标的后果由供应商自行承担。）</w:t>
      </w:r>
    </w:p>
    <w:p w14:paraId="2FCFC8C6">
      <w:pPr>
        <w:ind w:firstLine="480" w:firstLineChars="200"/>
        <w:rPr>
          <w:sz w:val="24"/>
        </w:rPr>
      </w:pPr>
      <w:r>
        <w:rPr>
          <w:rFonts w:hint="eastAsia"/>
          <w:sz w:val="24"/>
        </w:rPr>
        <w:t>《财政部民政部中国残疾人联合会关于促进残疾人就业政府采购政策的通知》（财库（2017〔141〕号）的规定：</w:t>
      </w:r>
    </w:p>
    <w:p w14:paraId="580504D2">
      <w:pPr>
        <w:ind w:firstLine="480" w:firstLineChars="200"/>
        <w:rPr>
          <w:sz w:val="24"/>
        </w:rPr>
      </w:pPr>
      <w:r>
        <w:rPr>
          <w:rFonts w:hint="eastAsia"/>
          <w:sz w:val="24"/>
        </w:rPr>
        <w:t>一、享受政府采购支持政策的残疾人福利性单位应当同时满足以下条件：</w:t>
      </w:r>
    </w:p>
    <w:p w14:paraId="4569B309">
      <w:pPr>
        <w:ind w:firstLine="480" w:firstLineChars="200"/>
        <w:rPr>
          <w:sz w:val="24"/>
        </w:rPr>
      </w:pPr>
      <w:r>
        <w:rPr>
          <w:rFonts w:hint="eastAsia"/>
          <w:sz w:val="24"/>
        </w:rPr>
        <w:t>（1）安置的残疾人占本单位在职职工人数的比例不低于25%（含25%），并且安置的残疾人人数不少于10人（含10人）；</w:t>
      </w:r>
    </w:p>
    <w:p w14:paraId="41569633">
      <w:pPr>
        <w:ind w:firstLine="480" w:firstLineChars="200"/>
        <w:rPr>
          <w:sz w:val="24"/>
        </w:rPr>
      </w:pPr>
      <w:r>
        <w:rPr>
          <w:rFonts w:hint="eastAsia"/>
          <w:sz w:val="24"/>
        </w:rPr>
        <w:t>（2）依法与安置的每位残疾人签订了一年以上（含一年）的劳动合同或服务协议；</w:t>
      </w:r>
    </w:p>
    <w:p w14:paraId="41EF69DC">
      <w:pPr>
        <w:ind w:firstLine="480" w:firstLineChars="200"/>
        <w:rPr>
          <w:sz w:val="24"/>
        </w:rPr>
      </w:pPr>
      <w:r>
        <w:rPr>
          <w:rFonts w:hint="eastAsia"/>
          <w:sz w:val="24"/>
        </w:rPr>
        <w:t>（3）为安置的每位残疾人按月足额缴纳了基本养老保险、基本医疗保险、失业保险、工伤保险和生育保险等社会保险费；</w:t>
      </w:r>
    </w:p>
    <w:p w14:paraId="66A48D82">
      <w:pPr>
        <w:ind w:firstLine="480" w:firstLineChars="200"/>
        <w:rPr>
          <w:sz w:val="24"/>
        </w:rPr>
      </w:pPr>
      <w:r>
        <w:rPr>
          <w:rFonts w:hint="eastAsia"/>
          <w:sz w:val="24"/>
        </w:rPr>
        <w:t>（4）通过银行等金融机构向安置的每位残疾人，按月支付了不低于单位所在区县适用的经省级人民政府批准的月最低工资标准的工资；</w:t>
      </w:r>
    </w:p>
    <w:p w14:paraId="5E0A6A2F">
      <w:pPr>
        <w:ind w:firstLine="480" w:firstLineChars="200"/>
        <w:rPr>
          <w:sz w:val="24"/>
        </w:rPr>
      </w:pPr>
      <w:r>
        <w:rPr>
          <w:rFonts w:hint="eastAsia"/>
          <w:sz w:val="24"/>
        </w:rPr>
        <w:t>（5）提供本单位制造的货物、承担的工程或者服务（以下简称产品），或者提供其他残疾人福利性单位制造的货物（不包括使用非残疾人福利性单位注册商标的货物）。</w:t>
      </w:r>
    </w:p>
    <w:p w14:paraId="326CE37C">
      <w:pPr>
        <w:ind w:firstLine="480" w:firstLineChars="200"/>
        <w:rPr>
          <w:sz w:val="24"/>
        </w:rPr>
      </w:pPr>
      <w:r>
        <w:rPr>
          <w:rFonts w:hint="eastAsia"/>
          <w:sz w:val="24"/>
        </w:rPr>
        <w:t>二、中标、成交供应商为残疾人福利性单位的，招标人或者其委托的招标代理机构应当随中标、成交结果同时公告其《残疾人福利性单位声明函》，接受社会监督。</w:t>
      </w:r>
    </w:p>
    <w:p w14:paraId="779D8336">
      <w:pPr>
        <w:ind w:firstLine="480" w:firstLineChars="200"/>
        <w:rPr>
          <w:sz w:val="24"/>
        </w:rPr>
      </w:pPr>
      <w:r>
        <w:rPr>
          <w:rFonts w:hint="eastAsia"/>
          <w:sz w:val="24"/>
        </w:rPr>
        <w:t>供应商提供的《残疾人福利性单位声明函》与事实不符的，依照《政府采购法》第七十七条第一款的规定追究法律责任。</w:t>
      </w:r>
    </w:p>
    <w:p w14:paraId="62C37B04">
      <w:pPr>
        <w:numPr>
          <w:ilvl w:val="0"/>
          <w:numId w:val="13"/>
        </w:numPr>
        <w:ind w:firstLine="480" w:firstLineChars="200"/>
        <w:rPr>
          <w:b/>
          <w:bCs/>
          <w:kern w:val="10"/>
          <w:sz w:val="28"/>
          <w:szCs w:val="28"/>
        </w:rPr>
      </w:pPr>
      <w:r>
        <w:rPr>
          <w:rFonts w:hint="eastAsia"/>
          <w:sz w:val="24"/>
        </w:rPr>
        <w:t>在政府采购活动中，</w:t>
      </w:r>
      <w:r>
        <w:rPr>
          <w:rFonts w:hint="eastAsia"/>
          <w:b/>
          <w:bCs/>
          <w:sz w:val="24"/>
        </w:rPr>
        <w:t>残疾人福利性单位视同小型、微型企业</w:t>
      </w:r>
      <w:r>
        <w:rPr>
          <w:rFonts w:hint="eastAsia"/>
          <w:sz w:val="24"/>
        </w:rPr>
        <w:t>，享受预留份额、评审中价格扣除等促进中小企业发展的政府采购政策。向残疾人福利性单位采购的金额，计入面向中小企业采购的统计数据。残疾人福利性单位属于小型、微型企业的，不重复享受政策。</w:t>
      </w:r>
    </w:p>
    <w:p w14:paraId="50432462">
      <w:pPr>
        <w:jc w:val="center"/>
        <w:rPr>
          <w:b/>
          <w:bCs/>
          <w:kern w:val="10"/>
          <w:sz w:val="28"/>
          <w:szCs w:val="28"/>
        </w:rPr>
      </w:pPr>
      <w:r>
        <w:rPr>
          <w:rFonts w:hint="eastAsia"/>
          <w:b/>
          <w:bCs/>
          <w:kern w:val="10"/>
          <w:sz w:val="28"/>
          <w:szCs w:val="28"/>
        </w:rPr>
        <w:br w:type="page"/>
      </w:r>
      <w:r>
        <w:rPr>
          <w:rFonts w:hint="eastAsia"/>
          <w:b/>
          <w:bCs/>
          <w:kern w:val="10"/>
          <w:sz w:val="28"/>
          <w:szCs w:val="28"/>
        </w:rPr>
        <w:t>监狱企业证明文件</w:t>
      </w:r>
    </w:p>
    <w:p w14:paraId="05C18F35">
      <w:pPr>
        <w:spacing w:line="360" w:lineRule="auto"/>
        <w:ind w:firstLine="480" w:firstLineChars="200"/>
        <w:rPr>
          <w:sz w:val="24"/>
        </w:rPr>
      </w:pPr>
    </w:p>
    <w:p w14:paraId="63BBF69C">
      <w:pPr>
        <w:spacing w:line="360" w:lineRule="auto"/>
        <w:ind w:firstLine="480" w:firstLineChars="200"/>
        <w:rPr>
          <w:sz w:val="24"/>
        </w:rPr>
      </w:pPr>
      <w:r>
        <w:rPr>
          <w:rFonts w:hint="eastAsia"/>
          <w:sz w:val="24"/>
        </w:rPr>
        <w:t>省级以上监狱管理局、戒毒管理局（含新疆生产建设兵团）出具的属于监狱企业的证明文件。</w:t>
      </w:r>
    </w:p>
    <w:p w14:paraId="1C51F179">
      <w:pPr>
        <w:spacing w:line="360" w:lineRule="auto"/>
        <w:ind w:firstLine="480" w:firstLineChars="200"/>
        <w:rPr>
          <w:sz w:val="24"/>
        </w:rPr>
      </w:pPr>
    </w:p>
    <w:p w14:paraId="26D8E6D6">
      <w:pPr>
        <w:spacing w:line="360" w:lineRule="auto"/>
        <w:ind w:firstLine="480" w:firstLineChars="200"/>
        <w:rPr>
          <w:sz w:val="24"/>
        </w:rPr>
      </w:pPr>
    </w:p>
    <w:p w14:paraId="44BD07E6">
      <w:pPr>
        <w:spacing w:line="360" w:lineRule="auto"/>
        <w:ind w:firstLine="480" w:firstLineChars="200"/>
        <w:rPr>
          <w:sz w:val="24"/>
        </w:rPr>
      </w:pPr>
    </w:p>
    <w:p w14:paraId="7A882ADB">
      <w:pPr>
        <w:spacing w:line="360" w:lineRule="auto"/>
        <w:ind w:firstLine="480" w:firstLineChars="200"/>
        <w:rPr>
          <w:sz w:val="24"/>
        </w:rPr>
      </w:pPr>
      <w:r>
        <w:rPr>
          <w:rFonts w:hint="eastAsia"/>
          <w:sz w:val="24"/>
        </w:rPr>
        <w:t>（在政府采购活动中，</w:t>
      </w:r>
      <w:r>
        <w:rPr>
          <w:rFonts w:hint="eastAsia"/>
          <w:b/>
          <w:bCs/>
          <w:sz w:val="24"/>
        </w:rPr>
        <w:t>监狱企业视同小型、微型企业</w:t>
      </w:r>
      <w:r>
        <w:rPr>
          <w:rFonts w:hint="eastAsia"/>
          <w:sz w:val="24"/>
        </w:rPr>
        <w:t>，享受预留份额、评审中价格扣除等政府采购促进中小企业发展的政府采购政策。但监狱企业参加政府采购活动时，</w:t>
      </w:r>
      <w:r>
        <w:rPr>
          <w:rFonts w:hint="eastAsia"/>
          <w:b/>
          <w:bCs/>
          <w:sz w:val="24"/>
        </w:rPr>
        <w:t>应当提供由省级以上监狱管理局、戒毒管理局（含新疆生产建设兵团）出具的属于监狱企业的证明文件</w:t>
      </w:r>
      <w:r>
        <w:rPr>
          <w:rFonts w:hint="eastAsia"/>
          <w:sz w:val="24"/>
        </w:rPr>
        <w:t>，否则不能认为其为监狱企业）</w:t>
      </w:r>
    </w:p>
    <w:p w14:paraId="57A06EDF"/>
    <w:sectPr>
      <w:footerReference r:id="rId7" w:type="default"/>
      <w:pgSz w:w="11906" w:h="16838"/>
      <w:pgMar w:top="1440" w:right="1418" w:bottom="1134" w:left="1418" w:header="1134" w:footer="56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2E44B">
    <w:pPr>
      <w:pStyle w:val="12"/>
      <w:rPr>
        <w:rFonts w:ascii="宋体" w:hAnsi="宋体"/>
        <w:sz w:val="21"/>
        <w:szCs w:val="21"/>
      </w:rPr>
    </w:pPr>
  </w:p>
  <w:p w14:paraId="112F298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F700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430F6">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A430F6">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343BE">
    <w:pPr>
      <w:pStyle w:val="12"/>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6E40C81">
                          <w:pPr>
                            <w:pStyle w:val="12"/>
                          </w:pPr>
                          <w:r>
                            <w:fldChar w:fldCharType="begin"/>
                          </w:r>
                          <w:r>
                            <w:instrText xml:space="preserve"> PAGE  \* MERGEFORMAT </w:instrText>
                          </w:r>
                          <w:r>
                            <w:fldChar w:fldCharType="separate"/>
                          </w:r>
                          <w:r>
                            <w:t>83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7yCxPA4CAAAQBAAADgAAAAAAAAABACAAAAAf&#10;AQAAZHJzL2Uyb0RvYy54bWxQSwUGAAAAAAYABgBZAQAAnwUAAAAA&#10;">
              <v:fill on="f" focussize="0,0"/>
              <v:stroke on="f"/>
              <v:imagedata o:title=""/>
              <o:lock v:ext="edit" aspectratio="f"/>
              <v:textbox inset="0mm,0mm,0mm,0mm" style="mso-fit-shape-to-text:t;">
                <w:txbxContent>
                  <w:p w14:paraId="56E40C81">
                    <w:pPr>
                      <w:pStyle w:val="12"/>
                    </w:pPr>
                    <w:r>
                      <w:fldChar w:fldCharType="begin"/>
                    </w:r>
                    <w:r>
                      <w:instrText xml:space="preserve"> PAGE  \* MERGEFORMAT </w:instrText>
                    </w:r>
                    <w:r>
                      <w:fldChar w:fldCharType="separate"/>
                    </w:r>
                    <w:r>
                      <w:t>83</w:t>
                    </w:r>
                    <w:r>
                      <w:fldChar w:fldCharType="end"/>
                    </w:r>
                  </w:p>
                </w:txbxContent>
              </v:textbox>
            </v:shape>
          </w:pict>
        </mc:Fallback>
      </mc:AlternateContent>
    </w:r>
  </w:p>
  <w:p w14:paraId="7409A8B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7EDCF">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0841C">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6A86D"/>
    <w:multiLevelType w:val="singleLevel"/>
    <w:tmpl w:val="94C6A86D"/>
    <w:lvl w:ilvl="0" w:tentative="0">
      <w:start w:val="3"/>
      <w:numFmt w:val="chineseCounting"/>
      <w:suff w:val="nothing"/>
      <w:lvlText w:val="（%1）"/>
      <w:lvlJc w:val="left"/>
      <w:rPr>
        <w:rFonts w:hint="eastAsia"/>
      </w:rPr>
    </w:lvl>
  </w:abstractNum>
  <w:abstractNum w:abstractNumId="1">
    <w:nsid w:val="A5E2B2AA"/>
    <w:multiLevelType w:val="singleLevel"/>
    <w:tmpl w:val="A5E2B2AA"/>
    <w:lvl w:ilvl="0" w:tentative="0">
      <w:start w:val="3"/>
      <w:numFmt w:val="chineseCounting"/>
      <w:suff w:val="nothing"/>
      <w:lvlText w:val="%1、"/>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34B51FCE"/>
    <w:multiLevelType w:val="singleLevel"/>
    <w:tmpl w:val="34B51FCE"/>
    <w:lvl w:ilvl="0" w:tentative="0">
      <w:start w:val="1"/>
      <w:numFmt w:val="decimal"/>
      <w:lvlText w:val="%1."/>
      <w:lvlJc w:val="left"/>
      <w:pPr>
        <w:ind w:left="425" w:hanging="425"/>
      </w:pPr>
      <w:rPr>
        <w:rFonts w:hint="default"/>
      </w:rPr>
    </w:lvl>
  </w:abstractNum>
  <w:abstractNum w:abstractNumId="9">
    <w:nsid w:val="73A9C92D"/>
    <w:multiLevelType w:val="singleLevel"/>
    <w:tmpl w:val="73A9C92D"/>
    <w:lvl w:ilvl="0" w:tentative="0">
      <w:start w:val="1"/>
      <w:numFmt w:val="decimal"/>
      <w:suff w:val="nothing"/>
      <w:lvlText w:val="%1．"/>
      <w:lvlJc w:val="left"/>
      <w:pPr>
        <w:ind w:left="0" w:firstLine="400"/>
      </w:pPr>
      <w:rPr>
        <w:rFonts w:hint="default"/>
      </w:rPr>
    </w:lvl>
  </w:abstractNum>
  <w:abstractNum w:abstractNumId="10">
    <w:nsid w:val="75984508"/>
    <w:multiLevelType w:val="singleLevel"/>
    <w:tmpl w:val="75984508"/>
    <w:lvl w:ilvl="0" w:tentative="0">
      <w:start w:val="1"/>
      <w:numFmt w:val="decimal"/>
      <w:suff w:val="nothing"/>
      <w:lvlText w:val="%1．"/>
      <w:lvlJc w:val="left"/>
      <w:pPr>
        <w:ind w:left="0" w:firstLine="400"/>
      </w:pPr>
      <w:rPr>
        <w:rFonts w:hint="default"/>
      </w:rPr>
    </w:lvl>
  </w:abstractNum>
  <w:abstractNum w:abstractNumId="11">
    <w:nsid w:val="7A0F6431"/>
    <w:multiLevelType w:val="singleLevel"/>
    <w:tmpl w:val="7A0F6431"/>
    <w:lvl w:ilvl="0" w:tentative="0">
      <w:start w:val="1"/>
      <w:numFmt w:val="decimal"/>
      <w:suff w:val="space"/>
      <w:lvlText w:val="%1."/>
      <w:lvlJc w:val="left"/>
    </w:lvl>
  </w:abstractNum>
  <w:abstractNum w:abstractNumId="12">
    <w:nsid w:val="7C4DA3EA"/>
    <w:multiLevelType w:val="singleLevel"/>
    <w:tmpl w:val="7C4DA3EA"/>
    <w:lvl w:ilvl="0" w:tentative="0">
      <w:start w:val="1"/>
      <w:numFmt w:val="decimal"/>
      <w:suff w:val="nothing"/>
      <w:lvlText w:val="%1．"/>
      <w:lvlJc w:val="left"/>
      <w:pPr>
        <w:ind w:left="0" w:firstLine="400"/>
      </w:pPr>
      <w:rPr>
        <w:rFonts w:hint="default"/>
      </w:rPr>
    </w:lvl>
  </w:abstractNum>
  <w:num w:numId="1">
    <w:abstractNumId w:val="8"/>
  </w:num>
  <w:num w:numId="2">
    <w:abstractNumId w:val="9"/>
  </w:num>
  <w:num w:numId="3">
    <w:abstractNumId w:val="10"/>
  </w:num>
  <w:num w:numId="4">
    <w:abstractNumId w:val="12"/>
  </w:num>
  <w:num w:numId="5">
    <w:abstractNumId w:val="11"/>
  </w:num>
  <w:num w:numId="6">
    <w:abstractNumId w:val="3"/>
  </w:num>
  <w:num w:numId="7">
    <w:abstractNumId w:val="7"/>
  </w:num>
  <w:num w:numId="8">
    <w:abstractNumId w:val="5"/>
  </w:num>
  <w:num w:numId="9">
    <w:abstractNumId w:val="4"/>
  </w:num>
  <w:num w:numId="10">
    <w:abstractNumId w:val="2"/>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zcxMzNkMjI2MDZlYjUwOWVmOGNkY2Q5NjE5ZjMifQ=="/>
  </w:docVars>
  <w:rsids>
    <w:rsidRoot w:val="00F1683F"/>
    <w:rsid w:val="00695819"/>
    <w:rsid w:val="009564CA"/>
    <w:rsid w:val="00A51C33"/>
    <w:rsid w:val="00F1683F"/>
    <w:rsid w:val="02032456"/>
    <w:rsid w:val="03C30C20"/>
    <w:rsid w:val="04A07A7B"/>
    <w:rsid w:val="067A683A"/>
    <w:rsid w:val="095962AF"/>
    <w:rsid w:val="0A3A5566"/>
    <w:rsid w:val="0A5164EB"/>
    <w:rsid w:val="0A601B3E"/>
    <w:rsid w:val="0ABD07B2"/>
    <w:rsid w:val="0BC67500"/>
    <w:rsid w:val="0CF14C50"/>
    <w:rsid w:val="0D576FA9"/>
    <w:rsid w:val="123E1747"/>
    <w:rsid w:val="12505D75"/>
    <w:rsid w:val="126A0D6A"/>
    <w:rsid w:val="12AE49DC"/>
    <w:rsid w:val="1A4506CC"/>
    <w:rsid w:val="1EE44415"/>
    <w:rsid w:val="21EE262E"/>
    <w:rsid w:val="23016DB6"/>
    <w:rsid w:val="249F0637"/>
    <w:rsid w:val="25E1728D"/>
    <w:rsid w:val="26DA2E68"/>
    <w:rsid w:val="28885E11"/>
    <w:rsid w:val="28C52BC1"/>
    <w:rsid w:val="2ACE6FF7"/>
    <w:rsid w:val="2C694C98"/>
    <w:rsid w:val="2EB01C1E"/>
    <w:rsid w:val="31412F4D"/>
    <w:rsid w:val="321D524B"/>
    <w:rsid w:val="32747CCE"/>
    <w:rsid w:val="32BA750F"/>
    <w:rsid w:val="35F26631"/>
    <w:rsid w:val="36370E76"/>
    <w:rsid w:val="37157A55"/>
    <w:rsid w:val="3E1F291C"/>
    <w:rsid w:val="404D6117"/>
    <w:rsid w:val="42E55F0E"/>
    <w:rsid w:val="46CC2217"/>
    <w:rsid w:val="4B5B38CB"/>
    <w:rsid w:val="4D331F40"/>
    <w:rsid w:val="50F32112"/>
    <w:rsid w:val="527032EE"/>
    <w:rsid w:val="52E72588"/>
    <w:rsid w:val="533455A3"/>
    <w:rsid w:val="53453670"/>
    <w:rsid w:val="569A6B8C"/>
    <w:rsid w:val="5B307ABF"/>
    <w:rsid w:val="5BCC25B5"/>
    <w:rsid w:val="5BE82147"/>
    <w:rsid w:val="5C9D73D6"/>
    <w:rsid w:val="5D252794"/>
    <w:rsid w:val="5D997B9D"/>
    <w:rsid w:val="5DD063CB"/>
    <w:rsid w:val="5DFC5C02"/>
    <w:rsid w:val="604F1A2E"/>
    <w:rsid w:val="60C03693"/>
    <w:rsid w:val="60FD6695"/>
    <w:rsid w:val="63882291"/>
    <w:rsid w:val="659F75AC"/>
    <w:rsid w:val="6848469A"/>
    <w:rsid w:val="691E78FC"/>
    <w:rsid w:val="6951757E"/>
    <w:rsid w:val="697274F4"/>
    <w:rsid w:val="6AF02DC7"/>
    <w:rsid w:val="6BE72DB2"/>
    <w:rsid w:val="6C9C1458"/>
    <w:rsid w:val="6E4A1F9A"/>
    <w:rsid w:val="6E531FEA"/>
    <w:rsid w:val="70563C57"/>
    <w:rsid w:val="74CC3179"/>
    <w:rsid w:val="78F31117"/>
    <w:rsid w:val="793B3DA7"/>
    <w:rsid w:val="79C221DC"/>
    <w:rsid w:val="7C7C44BA"/>
    <w:rsid w:val="7C923759"/>
    <w:rsid w:val="7CD2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tabs>
        <w:tab w:val="left" w:pos="540"/>
      </w:tabs>
      <w:adjustRightInd w:val="0"/>
      <w:snapToGrid w:val="0"/>
      <w:spacing w:line="360" w:lineRule="auto"/>
      <w:jc w:val="center"/>
      <w:outlineLvl w:val="0"/>
    </w:pPr>
    <w:rPr>
      <w:rFonts w:ascii="宋体" w:hAnsi="宋体"/>
      <w:b/>
      <w:kern w:val="44"/>
      <w:sz w:val="44"/>
      <w:szCs w:val="44"/>
      <w:lang w:bidi="he-IL"/>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9"/>
    <w:pPr>
      <w:keepNext/>
      <w:keepLines/>
      <w:spacing w:before="260" w:after="260" w:line="408" w:lineRule="auto"/>
      <w:outlineLvl w:val="2"/>
    </w:pPr>
    <w:rPr>
      <w:b/>
      <w:bCs/>
      <w:kern w:val="0"/>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Normal Indent"/>
    <w:basedOn w:val="1"/>
    <w:next w:val="7"/>
    <w:qFormat/>
    <w:uiPriority w:val="0"/>
    <w:pPr>
      <w:ind w:firstLine="420" w:firstLineChars="200"/>
    </w:pPr>
  </w:style>
  <w:style w:type="paragraph" w:styleId="7">
    <w:name w:val="Body Text 2"/>
    <w:basedOn w:val="1"/>
    <w:next w:val="8"/>
    <w:qFormat/>
    <w:uiPriority w:val="0"/>
    <w:pPr>
      <w:spacing w:after="120" w:line="480" w:lineRule="auto"/>
    </w:pPr>
    <w:rPr>
      <w:rFonts w:ascii="仿宋_GB2312" w:eastAsia="仿宋_GB2312"/>
      <w:sz w:val="32"/>
      <w:szCs w:val="32"/>
    </w:rPr>
  </w:style>
  <w:style w:type="paragraph" w:styleId="8">
    <w:name w:val="Body Text"/>
    <w:basedOn w:val="1"/>
    <w:next w:val="1"/>
    <w:qFormat/>
    <w:uiPriority w:val="0"/>
    <w:pPr>
      <w:adjustRightInd w:val="0"/>
      <w:snapToGrid w:val="0"/>
      <w:spacing w:line="520" w:lineRule="exact"/>
      <w:ind w:firstLine="595"/>
    </w:pPr>
    <w:rPr>
      <w:kern w:val="0"/>
      <w:sz w:val="28"/>
      <w:szCs w:val="20"/>
    </w:rPr>
  </w:style>
  <w:style w:type="paragraph" w:styleId="9">
    <w:name w:val="Body Text Indent"/>
    <w:basedOn w:val="1"/>
    <w:qFormat/>
    <w:uiPriority w:val="0"/>
    <w:pPr>
      <w:ind w:firstLine="430"/>
    </w:pPr>
    <w:rPr>
      <w:rFonts w:ascii="仿宋_GB2312" w:eastAsia="仿宋_GB2312"/>
      <w:kern w:val="0"/>
      <w:sz w:val="32"/>
    </w:r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ind w:firstLine="630"/>
    </w:pPr>
    <w:rPr>
      <w:rFonts w:ascii="宋体"/>
      <w:sz w:val="32"/>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envelope return"/>
    <w:basedOn w:val="1"/>
    <w:unhideWhenUsed/>
    <w:qFormat/>
    <w:uiPriority w:val="99"/>
    <w:pPr>
      <w:snapToGrid w:val="0"/>
    </w:pPr>
    <w:rPr>
      <w:rFonts w:ascii="等线 Light" w:hAnsi="等线 Light" w:eastAsia="等线 Light"/>
    </w:rPr>
  </w:style>
  <w:style w:type="paragraph" w:styleId="1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Body Text First Indent"/>
    <w:basedOn w:val="8"/>
    <w:next w:val="18"/>
    <w:qFormat/>
    <w:uiPriority w:val="99"/>
    <w:pPr>
      <w:adjustRightInd/>
      <w:snapToGrid/>
      <w:spacing w:after="120" w:line="240" w:lineRule="auto"/>
      <w:ind w:firstLine="420" w:firstLineChars="100"/>
    </w:pPr>
    <w:rPr>
      <w:sz w:val="21"/>
      <w:szCs w:val="24"/>
    </w:rPr>
  </w:style>
  <w:style w:type="paragraph" w:styleId="18">
    <w:name w:val="Body Text First Indent 2"/>
    <w:basedOn w:val="9"/>
    <w:next w:val="1"/>
    <w:qFormat/>
    <w:uiPriority w:val="99"/>
    <w:pPr>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style4"/>
    <w:basedOn w:val="1"/>
    <w:next w:val="23"/>
    <w:qFormat/>
    <w:uiPriority w:val="0"/>
    <w:pPr>
      <w:widowControl/>
      <w:spacing w:beforeAutospacing="1" w:afterAutospacing="1"/>
      <w:jc w:val="left"/>
    </w:pPr>
    <w:rPr>
      <w:rFonts w:ascii="宋体" w:hAnsi="宋体" w:cs="宋体"/>
      <w:kern w:val="0"/>
      <w:sz w:val="18"/>
      <w:szCs w:val="18"/>
    </w:rPr>
  </w:style>
  <w:style w:type="paragraph" w:customStyle="1" w:styleId="23">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5">
    <w:name w:val="List Paragraph"/>
    <w:basedOn w:val="1"/>
    <w:qFormat/>
    <w:uiPriority w:val="99"/>
    <w:pPr>
      <w:ind w:firstLine="420" w:firstLineChars="200"/>
    </w:pPr>
    <w:rPr>
      <w:rFonts w:ascii="Calibri" w:hAnsi="Calibri"/>
      <w:szCs w:val="22"/>
    </w:rPr>
  </w:style>
  <w:style w:type="paragraph" w:customStyle="1" w:styleId="26">
    <w:name w:val="列出段落1"/>
    <w:basedOn w:val="1"/>
    <w:qFormat/>
    <w:uiPriority w:val="34"/>
    <w:pPr>
      <w:ind w:firstLine="420" w:firstLineChars="200"/>
    </w:pPr>
    <w:rPr>
      <w:rFonts w:ascii="Calibri" w:hAnsi="Calibri"/>
      <w:szCs w:val="22"/>
    </w:rPr>
  </w:style>
  <w:style w:type="paragraph" w:customStyle="1" w:styleId="27">
    <w:name w:val="列出段落11"/>
    <w:basedOn w:val="1"/>
    <w:qFormat/>
    <w:uiPriority w:val="34"/>
    <w:pPr>
      <w:ind w:firstLine="420" w:firstLineChars="200"/>
    </w:pPr>
    <w:rPr>
      <w:rFonts w:ascii="Calibri" w:hAnsi="Calibri"/>
      <w:szCs w:val="22"/>
    </w:rPr>
  </w:style>
  <w:style w:type="character" w:customStyle="1" w:styleId="28">
    <w:name w:val="font111"/>
    <w:qFormat/>
    <w:uiPriority w:val="0"/>
    <w:rPr>
      <w:rFonts w:hint="eastAsia" w:ascii="宋体" w:hAnsi="宋体" w:eastAsia="宋体" w:cs="宋体"/>
      <w:color w:val="FF0000"/>
      <w:sz w:val="20"/>
      <w:szCs w:val="20"/>
      <w:u w:val="none"/>
    </w:rPr>
  </w:style>
  <w:style w:type="paragraph" w:customStyle="1" w:styleId="29">
    <w:name w:val="Table Text"/>
    <w:basedOn w:val="1"/>
    <w:qFormat/>
    <w:uiPriority w:val="0"/>
    <w:rPr>
      <w:rFonts w:ascii="宋体" w:hAnsi="宋体" w:cs="宋体"/>
      <w:szCs w:val="21"/>
      <w:lang w:eastAsia="en-US"/>
    </w:rPr>
  </w:style>
  <w:style w:type="paragraph" w:customStyle="1" w:styleId="30">
    <w:name w:val="p16"/>
    <w:basedOn w:val="1"/>
    <w:qFormat/>
    <w:uiPriority w:val="0"/>
    <w:pPr>
      <w:widowControl/>
      <w:jc w:val="left"/>
    </w:pPr>
    <w:rPr>
      <w:rFonts w:hint="eastAsia" w:ascii="宋体" w:hAnsi="宋体"/>
      <w:kern w:val="0"/>
      <w:sz w:val="24"/>
    </w:rPr>
  </w:style>
  <w:style w:type="paragraph" w:customStyle="1" w:styleId="31">
    <w:name w:val="_tgt"/>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transsent"/>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20115</Words>
  <Characters>22213</Characters>
  <Lines>364</Lines>
  <Paragraphs>102</Paragraphs>
  <TotalTime>43</TotalTime>
  <ScaleCrop>false</ScaleCrop>
  <LinksUpToDate>false</LinksUpToDate>
  <CharactersWithSpaces>22476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2024-07-16T06:21:00Z</dcterms:created>
  <dc:creator>Administrator</dc:creator>
  <cp:lastModifiedBy>Administrator</cp:lastModifiedBy>
  <dcterms:modified xsi:type="dcterms:W3CDTF">2025-04-30T10:12:48Z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8B672563B7BA434BB6F10B5562EE4D14_13</vt:lpwstr>
  </property>
  <property fmtid="{D5CDD505-2E9C-101B-9397-08002B2CF9AE}" pid="4" name="KSOTemplateDocerSaveRecord">
    <vt:lpwstr>eyJoZGlkIjoiNDcxMzcxMzNkMjI2MDZlYjUwOWVmOGNkY2Q5NjE5ZjMiLCJ1c2VySWQiOiIxOTcyOTQ0NSJ9</vt:lpwstr>
  </property>
</Properties>
</file>