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4C3FA">
      <w:pPr>
        <w:adjustRightInd w:val="0"/>
        <w:snapToGrid w:val="0"/>
        <w:spacing w:line="360" w:lineRule="auto"/>
        <w:jc w:val="center"/>
        <w:rPr>
          <w:rFonts w:ascii="宋体" w:hAnsi="宋体" w:cs="宋体"/>
          <w:b/>
          <w:bCs/>
          <w:color w:val="000000"/>
          <w:sz w:val="96"/>
          <w:szCs w:val="56"/>
        </w:rPr>
      </w:pPr>
      <w:bookmarkStart w:id="461" w:name="_GoBack"/>
      <w:bookmarkEnd w:id="461"/>
      <w:r>
        <w:rPr>
          <w:rFonts w:hint="eastAsia" w:ascii="宋体" w:hAnsi="宋体" w:cs="宋体"/>
          <w:b/>
          <w:bCs/>
          <w:sz w:val="48"/>
          <w:szCs w:val="96"/>
        </w:rPr>
        <w:t>灵宝市全民所有自然资源资产清查项目</w:t>
      </w:r>
    </w:p>
    <w:p w14:paraId="48B40C5D">
      <w:pPr>
        <w:adjustRightInd w:val="0"/>
        <w:snapToGrid w:val="0"/>
        <w:spacing w:line="360" w:lineRule="auto"/>
        <w:jc w:val="center"/>
        <w:rPr>
          <w:rFonts w:hint="eastAsia" w:ascii="宋体" w:hAnsi="宋体" w:cs="宋体"/>
          <w:b/>
          <w:bCs/>
          <w:color w:val="000000"/>
          <w:sz w:val="96"/>
          <w:szCs w:val="56"/>
        </w:rPr>
      </w:pPr>
    </w:p>
    <w:p w14:paraId="7285442C">
      <w:pPr>
        <w:adjustRightInd w:val="0"/>
        <w:snapToGrid w:val="0"/>
        <w:spacing w:line="360" w:lineRule="auto"/>
        <w:jc w:val="center"/>
        <w:rPr>
          <w:rFonts w:ascii="宋体" w:hAnsi="宋体" w:cs="宋体"/>
          <w:b/>
          <w:bCs/>
          <w:color w:val="000000"/>
          <w:sz w:val="96"/>
          <w:szCs w:val="56"/>
        </w:rPr>
      </w:pPr>
      <w:r>
        <w:rPr>
          <w:rFonts w:hint="eastAsia" w:ascii="宋体" w:hAnsi="宋体" w:cs="宋体"/>
          <w:b/>
          <w:bCs/>
          <w:color w:val="000000"/>
          <w:sz w:val="96"/>
          <w:szCs w:val="56"/>
        </w:rPr>
        <w:t>磋商文件</w:t>
      </w:r>
    </w:p>
    <w:p w14:paraId="6B4B153A">
      <w:pPr>
        <w:pStyle w:val="17"/>
        <w:jc w:val="both"/>
        <w:rPr>
          <w:rFonts w:hint="eastAsia" w:ascii="宋体" w:hAnsi="宋体" w:eastAsia="宋体" w:cs="宋体"/>
          <w:sz w:val="28"/>
          <w:szCs w:val="28"/>
          <w:lang w:eastAsia="zh-CN"/>
        </w:rPr>
      </w:pPr>
      <w:r>
        <w:rPr>
          <w:rFonts w:hint="eastAsia" w:ascii="宋体" w:hAnsi="宋体" w:eastAsia="宋体" w:cs="宋体"/>
          <w:sz w:val="28"/>
          <w:szCs w:val="28"/>
        </w:rPr>
        <w:t>项目编号：灵宝竞磋采购-202</w:t>
      </w: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8</w:t>
      </w:r>
      <w:r>
        <w:rPr>
          <w:rFonts w:hint="eastAsia" w:ascii="宋体" w:hAnsi="宋体" w:eastAsia="宋体" w:cs="宋体"/>
          <w:sz w:val="28"/>
          <w:szCs w:val="28"/>
        </w:rPr>
        <w:t>；LBGZ[2025]021-ZC017</w:t>
      </w:r>
    </w:p>
    <w:p w14:paraId="2B4FDB00">
      <w:pPr>
        <w:adjustRightInd w:val="0"/>
        <w:snapToGrid w:val="0"/>
        <w:spacing w:line="360" w:lineRule="auto"/>
        <w:jc w:val="center"/>
        <w:rPr>
          <w:rFonts w:ascii="宋体" w:hAnsi="宋体" w:cs="_5b8b_4f53"/>
          <w:b/>
          <w:shd w:val="clear" w:color="auto" w:fill="FFFFFF"/>
        </w:rPr>
      </w:pPr>
    </w:p>
    <w:p w14:paraId="57542FE8">
      <w:pPr>
        <w:adjustRightInd w:val="0"/>
        <w:snapToGrid w:val="0"/>
        <w:spacing w:line="360" w:lineRule="auto"/>
        <w:jc w:val="center"/>
        <w:rPr>
          <w:rFonts w:ascii="宋体" w:hAnsi="宋体" w:cs="_5b8b_4f53"/>
          <w:b/>
          <w:shd w:val="clear" w:color="auto" w:fill="FFFFFF"/>
        </w:rPr>
      </w:pPr>
    </w:p>
    <w:p w14:paraId="067BD35F">
      <w:pPr>
        <w:adjustRightInd w:val="0"/>
        <w:snapToGrid w:val="0"/>
        <w:spacing w:line="360" w:lineRule="auto"/>
        <w:jc w:val="center"/>
        <w:rPr>
          <w:rFonts w:ascii="宋体" w:hAnsi="宋体" w:cs="_5b8b_4f53"/>
          <w:b/>
          <w:shd w:val="clear" w:color="auto" w:fill="FFFFFF"/>
        </w:rPr>
      </w:pPr>
    </w:p>
    <w:p w14:paraId="2D949DF4">
      <w:pPr>
        <w:adjustRightInd w:val="0"/>
        <w:snapToGrid w:val="0"/>
        <w:spacing w:line="360" w:lineRule="auto"/>
        <w:jc w:val="center"/>
        <w:rPr>
          <w:rFonts w:ascii="宋体" w:hAnsi="宋体" w:cs="_5b8b_4f53"/>
          <w:b/>
          <w:shd w:val="clear" w:color="auto" w:fill="FFFFFF"/>
        </w:rPr>
      </w:pPr>
    </w:p>
    <w:p w14:paraId="115F9623">
      <w:pPr>
        <w:pStyle w:val="17"/>
        <w:ind w:firstLine="0" w:firstLineChars="0"/>
      </w:pPr>
    </w:p>
    <w:p w14:paraId="27E73F10">
      <w:pPr>
        <w:pStyle w:val="17"/>
        <w:ind w:firstLine="0" w:firstLineChars="0"/>
      </w:pPr>
    </w:p>
    <w:p w14:paraId="5BE28CF8">
      <w:pPr>
        <w:adjustRightInd w:val="0"/>
        <w:snapToGrid w:val="0"/>
        <w:spacing w:line="360" w:lineRule="auto"/>
        <w:ind w:firstLine="1205" w:firstLineChars="400"/>
        <w:outlineLvl w:val="0"/>
        <w:rPr>
          <w:rFonts w:hint="eastAsia" w:ascii="宋体" w:hAnsi="宋体" w:cs="宋体"/>
          <w:b/>
          <w:bCs/>
          <w:color w:val="000000"/>
          <w:sz w:val="30"/>
          <w:szCs w:val="30"/>
        </w:rPr>
      </w:pPr>
      <w:bookmarkStart w:id="0" w:name="_Toc27903"/>
    </w:p>
    <w:p w14:paraId="10083DC4">
      <w:pPr>
        <w:adjustRightInd w:val="0"/>
        <w:snapToGrid w:val="0"/>
        <w:spacing w:line="360" w:lineRule="auto"/>
        <w:ind w:firstLine="1205" w:firstLineChars="400"/>
        <w:outlineLvl w:val="0"/>
        <w:rPr>
          <w:rFonts w:hint="eastAsia" w:ascii="宋体" w:hAnsi="宋体" w:cs="宋体"/>
          <w:b/>
          <w:bCs/>
          <w:color w:val="000000"/>
          <w:sz w:val="30"/>
          <w:szCs w:val="30"/>
        </w:rPr>
      </w:pPr>
    </w:p>
    <w:p w14:paraId="19C6C989">
      <w:pPr>
        <w:adjustRightInd w:val="0"/>
        <w:snapToGrid w:val="0"/>
        <w:spacing w:line="360" w:lineRule="auto"/>
        <w:ind w:firstLine="1205" w:firstLineChars="400"/>
        <w:outlineLvl w:val="0"/>
        <w:rPr>
          <w:rFonts w:hint="eastAsia" w:ascii="宋体" w:hAnsi="宋体" w:cs="宋体"/>
          <w:b/>
          <w:bCs/>
          <w:color w:val="000000"/>
          <w:sz w:val="30"/>
          <w:szCs w:val="30"/>
        </w:rPr>
      </w:pPr>
    </w:p>
    <w:p w14:paraId="138AC5D9">
      <w:pPr>
        <w:adjustRightInd w:val="0"/>
        <w:snapToGrid w:val="0"/>
        <w:spacing w:line="360" w:lineRule="auto"/>
        <w:ind w:firstLine="1205" w:firstLineChars="400"/>
        <w:outlineLvl w:val="0"/>
        <w:rPr>
          <w:rFonts w:hint="eastAsia" w:ascii="宋体" w:hAnsi="宋体" w:cs="宋体"/>
          <w:b/>
          <w:bCs/>
          <w:color w:val="000000"/>
          <w:sz w:val="30"/>
          <w:szCs w:val="30"/>
        </w:rPr>
      </w:pPr>
    </w:p>
    <w:p w14:paraId="0DB8CE8B">
      <w:pPr>
        <w:adjustRightInd w:val="0"/>
        <w:snapToGrid w:val="0"/>
        <w:spacing w:line="360" w:lineRule="auto"/>
        <w:ind w:firstLine="1205" w:firstLineChars="400"/>
        <w:outlineLvl w:val="0"/>
        <w:rPr>
          <w:rFonts w:hint="eastAsia" w:ascii="宋体" w:hAnsi="宋体" w:cs="宋体"/>
          <w:b/>
          <w:bCs/>
          <w:color w:val="000000"/>
          <w:sz w:val="30"/>
          <w:szCs w:val="30"/>
        </w:rPr>
      </w:pPr>
    </w:p>
    <w:p w14:paraId="6B3E7499">
      <w:pPr>
        <w:adjustRightInd w:val="0"/>
        <w:snapToGrid w:val="0"/>
        <w:spacing w:line="360" w:lineRule="auto"/>
        <w:ind w:firstLine="1205" w:firstLineChars="400"/>
        <w:outlineLvl w:val="0"/>
        <w:rPr>
          <w:rFonts w:ascii="宋体" w:hAnsi="宋体" w:cs="宋体"/>
          <w:b/>
          <w:bCs/>
          <w:color w:val="000000"/>
          <w:sz w:val="30"/>
          <w:szCs w:val="30"/>
        </w:rPr>
      </w:pPr>
      <w:r>
        <w:rPr>
          <w:rFonts w:hint="eastAsia" w:ascii="宋体" w:hAnsi="宋体" w:cs="宋体"/>
          <w:b/>
          <w:bCs/>
          <w:color w:val="000000"/>
          <w:sz w:val="30"/>
          <w:szCs w:val="30"/>
        </w:rPr>
        <w:t>招 标 人：灵宝市自然资源和规划局</w:t>
      </w:r>
      <w:bookmarkEnd w:id="0"/>
    </w:p>
    <w:p w14:paraId="36143DAD">
      <w:pPr>
        <w:adjustRightInd w:val="0"/>
        <w:snapToGrid w:val="0"/>
        <w:spacing w:line="360" w:lineRule="auto"/>
        <w:ind w:firstLine="1205" w:firstLineChars="400"/>
        <w:outlineLvl w:val="0"/>
        <w:rPr>
          <w:rFonts w:hint="eastAsia" w:ascii="宋体" w:hAnsi="宋体" w:cs="宋体"/>
          <w:b/>
          <w:bCs/>
          <w:color w:val="000000"/>
          <w:sz w:val="30"/>
          <w:szCs w:val="30"/>
        </w:rPr>
      </w:pPr>
      <w:bookmarkStart w:id="1" w:name="_Toc4125"/>
      <w:r>
        <w:rPr>
          <w:rFonts w:hint="eastAsia" w:ascii="宋体" w:hAnsi="宋体" w:cs="宋体"/>
          <w:b/>
          <w:bCs/>
          <w:color w:val="000000"/>
          <w:sz w:val="30"/>
          <w:szCs w:val="30"/>
        </w:rPr>
        <w:t>招标代理：</w:t>
      </w:r>
      <w:bookmarkEnd w:id="1"/>
      <w:r>
        <w:rPr>
          <w:rFonts w:hint="eastAsia" w:ascii="宋体" w:hAnsi="宋体" w:cs="宋体"/>
          <w:b/>
          <w:bCs/>
          <w:color w:val="000000"/>
          <w:sz w:val="30"/>
          <w:szCs w:val="30"/>
        </w:rPr>
        <w:t>天寻国际工程咨询有限公司</w:t>
      </w:r>
    </w:p>
    <w:p w14:paraId="0DAD2DE6">
      <w:pPr>
        <w:adjustRightInd w:val="0"/>
        <w:snapToGrid w:val="0"/>
        <w:spacing w:line="360" w:lineRule="auto"/>
        <w:ind w:firstLine="1205" w:firstLineChars="400"/>
      </w:pPr>
      <w:r>
        <w:rPr>
          <w:rFonts w:hint="eastAsia" w:ascii="宋体" w:hAnsi="宋体" w:cs="宋体"/>
          <w:b/>
          <w:bCs/>
          <w:color w:val="000000"/>
          <w:sz w:val="30"/>
          <w:szCs w:val="30"/>
        </w:rPr>
        <w:t>时    间：二〇二</w:t>
      </w:r>
      <w:r>
        <w:rPr>
          <w:rFonts w:hint="eastAsia" w:ascii="宋体" w:hAnsi="宋体" w:cs="宋体"/>
          <w:b/>
          <w:bCs/>
          <w:color w:val="000000"/>
          <w:sz w:val="30"/>
          <w:szCs w:val="30"/>
          <w:lang w:val="en-US" w:eastAsia="zh-CN"/>
        </w:rPr>
        <w:t>五</w:t>
      </w:r>
      <w:r>
        <w:rPr>
          <w:rFonts w:hint="eastAsia" w:ascii="宋体" w:hAnsi="宋体" w:cs="宋体"/>
          <w:b/>
          <w:bCs/>
          <w:color w:val="000000"/>
          <w:sz w:val="30"/>
          <w:szCs w:val="30"/>
        </w:rPr>
        <w:t>年</w:t>
      </w:r>
      <w:r>
        <w:rPr>
          <w:rFonts w:hint="eastAsia" w:ascii="宋体" w:hAnsi="宋体" w:cs="宋体"/>
          <w:b/>
          <w:bCs/>
          <w:color w:val="000000"/>
          <w:sz w:val="30"/>
          <w:szCs w:val="30"/>
          <w:lang w:val="en-US" w:eastAsia="zh-CN"/>
        </w:rPr>
        <w:t>二</w:t>
      </w:r>
      <w:r>
        <w:rPr>
          <w:rFonts w:hint="eastAsia" w:ascii="宋体" w:hAnsi="宋体" w:cs="宋体"/>
          <w:b/>
          <w:bCs/>
          <w:color w:val="000000"/>
          <w:sz w:val="30"/>
          <w:szCs w:val="30"/>
        </w:rPr>
        <w:t>月</w:t>
      </w:r>
      <w:bookmarkStart w:id="2" w:name="_Toc488052432"/>
      <w:bookmarkStart w:id="3" w:name="_Toc24062"/>
    </w:p>
    <w:p w14:paraId="0070DF86">
      <w:pPr>
        <w:spacing w:line="520" w:lineRule="exact"/>
        <w:jc w:val="both"/>
        <w:rPr>
          <w:rFonts w:hint="eastAsia" w:ascii="宋体" w:hAnsi="宋体" w:cs="宋体"/>
          <w:sz w:val="44"/>
          <w:szCs w:val="44"/>
        </w:rPr>
      </w:pPr>
    </w:p>
    <w:p w14:paraId="2F2FD4E4">
      <w:pPr>
        <w:spacing w:line="520" w:lineRule="exact"/>
        <w:jc w:val="center"/>
        <w:rPr>
          <w:rFonts w:ascii="宋体" w:hAnsi="宋体" w:cs="宋体"/>
          <w:sz w:val="44"/>
          <w:szCs w:val="44"/>
        </w:rPr>
      </w:pPr>
      <w:r>
        <w:rPr>
          <w:rFonts w:hint="eastAsia" w:ascii="宋体" w:hAnsi="宋体" w:cs="宋体"/>
          <w:sz w:val="44"/>
          <w:szCs w:val="44"/>
        </w:rPr>
        <w:t>目  录</w:t>
      </w:r>
    </w:p>
    <w:p w14:paraId="25F000B2">
      <w:pPr>
        <w:pStyle w:val="77"/>
        <w:keepNext w:val="0"/>
        <w:keepLines w:val="0"/>
        <w:pageBreakBefore w:val="0"/>
        <w:tabs>
          <w:tab w:val="right" w:leader="dot" w:pos="8730"/>
        </w:tabs>
        <w:kinsoku/>
        <w:wordWrap/>
        <w:overflowPunct/>
        <w:topLinePunct w:val="0"/>
        <w:autoSpaceDE/>
        <w:autoSpaceDN/>
        <w:bidi w:val="0"/>
        <w:adjustRightInd/>
        <w:snapToGrid/>
        <w:spacing w:line="440" w:lineRule="exact"/>
        <w:textAlignment w:val="auto"/>
        <w:rPr>
          <w:b/>
          <w:sz w:val="22"/>
          <w:szCs w:val="22"/>
        </w:rPr>
      </w:pPr>
      <w:r>
        <w:rPr>
          <w:rFonts w:ascii="宋体" w:hAnsi="宋体" w:cs="宋体"/>
          <w:bCs/>
          <w:color w:val="000000"/>
          <w:sz w:val="36"/>
          <w:szCs w:val="144"/>
        </w:rPr>
        <w:fldChar w:fldCharType="begin"/>
      </w:r>
      <w:r>
        <w:rPr>
          <w:rFonts w:ascii="宋体" w:hAnsi="宋体" w:cs="宋体"/>
          <w:bCs/>
          <w:color w:val="000000"/>
          <w:sz w:val="36"/>
          <w:szCs w:val="144"/>
        </w:rPr>
        <w:instrText xml:space="preserve">TOC \o "1-2" \h \u </w:instrText>
      </w:r>
      <w:r>
        <w:rPr>
          <w:rFonts w:ascii="宋体" w:hAnsi="宋体" w:cs="宋体"/>
          <w:bCs/>
          <w:color w:val="000000"/>
          <w:sz w:val="36"/>
          <w:szCs w:val="144"/>
        </w:rPr>
        <w:fldChar w:fldCharType="separate"/>
      </w:r>
    </w:p>
    <w:p w14:paraId="08E68ED7">
      <w:pPr>
        <w:pStyle w:val="77"/>
        <w:keepNext w:val="0"/>
        <w:keepLines w:val="0"/>
        <w:pageBreakBefore w:val="0"/>
        <w:tabs>
          <w:tab w:val="right" w:leader="dot" w:pos="8730"/>
        </w:tabs>
        <w:kinsoku/>
        <w:wordWrap/>
        <w:overflowPunct/>
        <w:topLinePunct w:val="0"/>
        <w:autoSpaceDE/>
        <w:autoSpaceDN/>
        <w:bidi w:val="0"/>
        <w:adjustRightInd/>
        <w:snapToGrid/>
        <w:spacing w:line="440" w:lineRule="exact"/>
        <w:textAlignment w:val="auto"/>
        <w:rPr>
          <w:sz w:val="28"/>
          <w:szCs w:val="28"/>
        </w:rPr>
      </w:pPr>
      <w:r>
        <w:fldChar w:fldCharType="begin"/>
      </w:r>
      <w:r>
        <w:instrText xml:space="preserve"> HYPERLINK \l "_Toc6005" </w:instrText>
      </w:r>
      <w:r>
        <w:fldChar w:fldCharType="separate"/>
      </w:r>
      <w:r>
        <w:rPr>
          <w:rFonts w:hint="eastAsia" w:ascii="宋体" w:hAnsi="宋体" w:cs="宋体"/>
          <w:b/>
          <w:bCs/>
          <w:sz w:val="28"/>
          <w:szCs w:val="40"/>
        </w:rPr>
        <w:t>第一章  竞争性磋商公告</w:t>
      </w:r>
      <w:r>
        <w:rPr>
          <w:b/>
          <w:sz w:val="28"/>
          <w:szCs w:val="28"/>
        </w:rPr>
        <w:tab/>
      </w:r>
      <w:r>
        <w:rPr>
          <w:b/>
          <w:sz w:val="28"/>
          <w:szCs w:val="28"/>
        </w:rPr>
        <w:fldChar w:fldCharType="begin"/>
      </w:r>
      <w:r>
        <w:rPr>
          <w:b/>
          <w:sz w:val="28"/>
          <w:szCs w:val="28"/>
        </w:rPr>
        <w:instrText xml:space="preserve"> PAGEREF _Toc6005 \h </w:instrText>
      </w:r>
      <w:r>
        <w:rPr>
          <w:b/>
          <w:sz w:val="28"/>
          <w:szCs w:val="28"/>
        </w:rPr>
        <w:fldChar w:fldCharType="separate"/>
      </w:r>
      <w:r>
        <w:rPr>
          <w:b/>
          <w:sz w:val="28"/>
          <w:szCs w:val="28"/>
        </w:rPr>
        <w:t>3</w:t>
      </w:r>
      <w:r>
        <w:rPr>
          <w:b/>
          <w:sz w:val="28"/>
          <w:szCs w:val="28"/>
        </w:rPr>
        <w:fldChar w:fldCharType="end"/>
      </w:r>
      <w:r>
        <w:rPr>
          <w:b/>
          <w:sz w:val="28"/>
          <w:szCs w:val="28"/>
        </w:rPr>
        <w:fldChar w:fldCharType="end"/>
      </w:r>
    </w:p>
    <w:p w14:paraId="45112B02">
      <w:pPr>
        <w:pStyle w:val="77"/>
        <w:keepNext w:val="0"/>
        <w:keepLines w:val="0"/>
        <w:pageBreakBefore w:val="0"/>
        <w:tabs>
          <w:tab w:val="right" w:leader="dot" w:pos="8730"/>
        </w:tabs>
        <w:kinsoku/>
        <w:wordWrap/>
        <w:overflowPunct/>
        <w:topLinePunct w:val="0"/>
        <w:autoSpaceDE/>
        <w:autoSpaceDN/>
        <w:bidi w:val="0"/>
        <w:adjustRightInd/>
        <w:snapToGrid/>
        <w:spacing w:line="440" w:lineRule="exact"/>
        <w:textAlignment w:val="auto"/>
        <w:rPr>
          <w:sz w:val="28"/>
          <w:szCs w:val="28"/>
        </w:rPr>
      </w:pPr>
      <w:r>
        <w:fldChar w:fldCharType="begin"/>
      </w:r>
      <w:r>
        <w:instrText xml:space="preserve"> HYPERLINK \l "_Toc11891" </w:instrText>
      </w:r>
      <w:r>
        <w:fldChar w:fldCharType="separate"/>
      </w:r>
      <w:r>
        <w:rPr>
          <w:rFonts w:hint="eastAsia" w:ascii="宋体" w:hAnsi="宋体" w:cs="宋体"/>
          <w:b/>
          <w:bCs/>
          <w:sz w:val="28"/>
          <w:szCs w:val="48"/>
        </w:rPr>
        <w:t>第二章  供应商须知</w:t>
      </w:r>
      <w:r>
        <w:rPr>
          <w:b/>
          <w:sz w:val="28"/>
          <w:szCs w:val="28"/>
        </w:rPr>
        <w:tab/>
      </w:r>
      <w:r>
        <w:rPr>
          <w:b/>
          <w:sz w:val="28"/>
          <w:szCs w:val="28"/>
        </w:rPr>
        <w:fldChar w:fldCharType="begin"/>
      </w:r>
      <w:r>
        <w:rPr>
          <w:b/>
          <w:sz w:val="28"/>
          <w:szCs w:val="28"/>
        </w:rPr>
        <w:instrText xml:space="preserve"> PAGEREF _Toc11891 \h </w:instrText>
      </w:r>
      <w:r>
        <w:rPr>
          <w:b/>
          <w:sz w:val="28"/>
          <w:szCs w:val="28"/>
        </w:rPr>
        <w:fldChar w:fldCharType="separate"/>
      </w:r>
      <w:r>
        <w:rPr>
          <w:b/>
          <w:sz w:val="28"/>
          <w:szCs w:val="28"/>
        </w:rPr>
        <w:t>3</w:t>
      </w:r>
      <w:r>
        <w:rPr>
          <w:b/>
          <w:sz w:val="28"/>
          <w:szCs w:val="28"/>
        </w:rPr>
        <w:fldChar w:fldCharType="end"/>
      </w:r>
      <w:r>
        <w:rPr>
          <w:b/>
          <w:sz w:val="28"/>
          <w:szCs w:val="28"/>
        </w:rPr>
        <w:fldChar w:fldCharType="end"/>
      </w:r>
    </w:p>
    <w:p w14:paraId="663357EA">
      <w:pPr>
        <w:pStyle w:val="77"/>
        <w:keepNext w:val="0"/>
        <w:keepLines w:val="0"/>
        <w:pageBreakBefore w:val="0"/>
        <w:tabs>
          <w:tab w:val="right" w:leader="dot" w:pos="8730"/>
        </w:tabs>
        <w:kinsoku/>
        <w:wordWrap/>
        <w:overflowPunct/>
        <w:topLinePunct w:val="0"/>
        <w:autoSpaceDE/>
        <w:autoSpaceDN/>
        <w:bidi w:val="0"/>
        <w:adjustRightInd/>
        <w:snapToGrid/>
        <w:spacing w:line="440" w:lineRule="exact"/>
        <w:textAlignment w:val="auto"/>
        <w:rPr>
          <w:sz w:val="28"/>
          <w:szCs w:val="28"/>
        </w:rPr>
      </w:pPr>
      <w:r>
        <w:fldChar w:fldCharType="begin"/>
      </w:r>
      <w:r>
        <w:instrText xml:space="preserve"> HYPERLINK \l "_Toc23819" </w:instrText>
      </w:r>
      <w:r>
        <w:fldChar w:fldCharType="separate"/>
      </w:r>
      <w:r>
        <w:rPr>
          <w:rFonts w:hint="eastAsia" w:ascii="宋体" w:hAnsi="宋体" w:cs="宋体"/>
          <w:b/>
          <w:bCs/>
          <w:sz w:val="28"/>
          <w:szCs w:val="40"/>
        </w:rPr>
        <w:t>第三章  评审办法</w:t>
      </w:r>
      <w:r>
        <w:rPr>
          <w:b/>
          <w:sz w:val="28"/>
          <w:szCs w:val="28"/>
        </w:rPr>
        <w:tab/>
      </w:r>
      <w:r>
        <w:rPr>
          <w:b/>
          <w:sz w:val="28"/>
          <w:szCs w:val="28"/>
        </w:rPr>
        <w:fldChar w:fldCharType="begin"/>
      </w:r>
      <w:r>
        <w:rPr>
          <w:b/>
          <w:sz w:val="28"/>
          <w:szCs w:val="28"/>
        </w:rPr>
        <w:instrText xml:space="preserve"> PAGEREF _Toc23819 \h </w:instrText>
      </w:r>
      <w:r>
        <w:rPr>
          <w:b/>
          <w:sz w:val="28"/>
          <w:szCs w:val="28"/>
        </w:rPr>
        <w:fldChar w:fldCharType="separate"/>
      </w:r>
      <w:r>
        <w:rPr>
          <w:b/>
          <w:sz w:val="28"/>
          <w:szCs w:val="28"/>
        </w:rPr>
        <w:t>29</w:t>
      </w:r>
      <w:r>
        <w:rPr>
          <w:b/>
          <w:sz w:val="28"/>
          <w:szCs w:val="28"/>
        </w:rPr>
        <w:fldChar w:fldCharType="end"/>
      </w:r>
      <w:r>
        <w:rPr>
          <w:b/>
          <w:sz w:val="28"/>
          <w:szCs w:val="28"/>
        </w:rPr>
        <w:fldChar w:fldCharType="end"/>
      </w:r>
    </w:p>
    <w:p w14:paraId="7DAEF526">
      <w:pPr>
        <w:pStyle w:val="77"/>
        <w:keepNext w:val="0"/>
        <w:keepLines w:val="0"/>
        <w:pageBreakBefore w:val="0"/>
        <w:tabs>
          <w:tab w:val="right" w:leader="dot" w:pos="8730"/>
        </w:tabs>
        <w:kinsoku/>
        <w:wordWrap/>
        <w:overflowPunct/>
        <w:topLinePunct w:val="0"/>
        <w:autoSpaceDE/>
        <w:autoSpaceDN/>
        <w:bidi w:val="0"/>
        <w:adjustRightInd/>
        <w:snapToGrid/>
        <w:spacing w:line="440" w:lineRule="exact"/>
        <w:textAlignment w:val="auto"/>
        <w:rPr>
          <w:b/>
          <w:sz w:val="28"/>
          <w:szCs w:val="28"/>
        </w:rPr>
      </w:pPr>
      <w:r>
        <w:fldChar w:fldCharType="begin"/>
      </w:r>
      <w:r>
        <w:instrText xml:space="preserve"> HYPERLINK \l "_Toc23889" </w:instrText>
      </w:r>
      <w:r>
        <w:fldChar w:fldCharType="separate"/>
      </w:r>
      <w:r>
        <w:rPr>
          <w:rFonts w:hint="eastAsia" w:ascii="宋体" w:hAnsi="宋体" w:cs="宋体"/>
          <w:b/>
          <w:bCs/>
          <w:sz w:val="28"/>
          <w:szCs w:val="48"/>
        </w:rPr>
        <w:t>第四章  合同条款</w:t>
      </w:r>
      <w:r>
        <w:rPr>
          <w:b/>
          <w:sz w:val="28"/>
          <w:szCs w:val="28"/>
        </w:rPr>
        <w:tab/>
      </w:r>
      <w:r>
        <w:rPr>
          <w:b/>
          <w:sz w:val="28"/>
          <w:szCs w:val="28"/>
        </w:rPr>
        <w:fldChar w:fldCharType="begin"/>
      </w:r>
      <w:r>
        <w:rPr>
          <w:b/>
          <w:sz w:val="28"/>
          <w:szCs w:val="28"/>
        </w:rPr>
        <w:instrText xml:space="preserve"> PAGEREF _Toc23889 \h </w:instrText>
      </w:r>
      <w:r>
        <w:rPr>
          <w:b/>
          <w:sz w:val="28"/>
          <w:szCs w:val="28"/>
        </w:rPr>
        <w:fldChar w:fldCharType="separate"/>
      </w:r>
      <w:r>
        <w:rPr>
          <w:b/>
          <w:sz w:val="28"/>
          <w:szCs w:val="28"/>
        </w:rPr>
        <w:t>31</w:t>
      </w:r>
      <w:r>
        <w:rPr>
          <w:b/>
          <w:sz w:val="28"/>
          <w:szCs w:val="28"/>
        </w:rPr>
        <w:fldChar w:fldCharType="end"/>
      </w:r>
      <w:r>
        <w:rPr>
          <w:b/>
          <w:sz w:val="28"/>
          <w:szCs w:val="28"/>
        </w:rPr>
        <w:fldChar w:fldCharType="end"/>
      </w:r>
    </w:p>
    <w:p w14:paraId="603EB747">
      <w:pPr>
        <w:pStyle w:val="77"/>
        <w:keepNext w:val="0"/>
        <w:keepLines w:val="0"/>
        <w:pageBreakBefore w:val="0"/>
        <w:tabs>
          <w:tab w:val="right" w:leader="dot" w:pos="8730"/>
        </w:tabs>
        <w:kinsoku/>
        <w:wordWrap/>
        <w:overflowPunct/>
        <w:topLinePunct w:val="0"/>
        <w:autoSpaceDE/>
        <w:autoSpaceDN/>
        <w:bidi w:val="0"/>
        <w:adjustRightInd/>
        <w:snapToGrid/>
        <w:spacing w:line="440" w:lineRule="exact"/>
        <w:textAlignment w:val="auto"/>
        <w:rPr>
          <w:b/>
          <w:sz w:val="28"/>
          <w:szCs w:val="28"/>
        </w:rPr>
      </w:pPr>
      <w:r>
        <w:fldChar w:fldCharType="begin"/>
      </w:r>
      <w:r>
        <w:instrText xml:space="preserve"> HYPERLINK \l "_Toc24418" </w:instrText>
      </w:r>
      <w:r>
        <w:fldChar w:fldCharType="separate"/>
      </w:r>
      <w:r>
        <w:rPr>
          <w:rFonts w:hint="eastAsia" w:ascii="宋体" w:hAnsi="宋体" w:cs="宋体"/>
          <w:b/>
          <w:bCs/>
          <w:sz w:val="28"/>
          <w:szCs w:val="48"/>
        </w:rPr>
        <w:t>第五章  服务内容及要求</w:t>
      </w:r>
      <w:r>
        <w:rPr>
          <w:b/>
          <w:sz w:val="28"/>
          <w:szCs w:val="28"/>
        </w:rPr>
        <w:tab/>
      </w:r>
      <w:r>
        <w:rPr>
          <w:b/>
          <w:sz w:val="28"/>
          <w:szCs w:val="28"/>
        </w:rPr>
        <w:fldChar w:fldCharType="begin"/>
      </w:r>
      <w:r>
        <w:rPr>
          <w:b/>
          <w:sz w:val="28"/>
          <w:szCs w:val="28"/>
        </w:rPr>
        <w:instrText xml:space="preserve"> PAGEREF _Toc24418 \h </w:instrText>
      </w:r>
      <w:r>
        <w:rPr>
          <w:b/>
          <w:sz w:val="28"/>
          <w:szCs w:val="28"/>
        </w:rPr>
        <w:fldChar w:fldCharType="separate"/>
      </w:r>
      <w:r>
        <w:rPr>
          <w:b/>
          <w:sz w:val="28"/>
          <w:szCs w:val="28"/>
        </w:rPr>
        <w:t>32</w:t>
      </w:r>
      <w:r>
        <w:rPr>
          <w:b/>
          <w:sz w:val="28"/>
          <w:szCs w:val="28"/>
        </w:rPr>
        <w:fldChar w:fldCharType="end"/>
      </w:r>
      <w:r>
        <w:rPr>
          <w:b/>
          <w:sz w:val="28"/>
          <w:szCs w:val="28"/>
        </w:rPr>
        <w:fldChar w:fldCharType="end"/>
      </w:r>
    </w:p>
    <w:p w14:paraId="6197D3CF">
      <w:pPr>
        <w:pStyle w:val="77"/>
        <w:keepNext w:val="0"/>
        <w:keepLines w:val="0"/>
        <w:pageBreakBefore w:val="0"/>
        <w:tabs>
          <w:tab w:val="right" w:leader="dot" w:pos="8730"/>
        </w:tabs>
        <w:kinsoku/>
        <w:wordWrap/>
        <w:overflowPunct/>
        <w:topLinePunct w:val="0"/>
        <w:autoSpaceDE/>
        <w:autoSpaceDN/>
        <w:bidi w:val="0"/>
        <w:adjustRightInd/>
        <w:snapToGrid/>
        <w:spacing w:line="440" w:lineRule="exact"/>
        <w:textAlignment w:val="auto"/>
        <w:rPr>
          <w:b/>
          <w:sz w:val="28"/>
          <w:szCs w:val="28"/>
        </w:rPr>
      </w:pPr>
      <w:r>
        <w:fldChar w:fldCharType="begin"/>
      </w:r>
      <w:r>
        <w:instrText xml:space="preserve"> HYPERLINK \l "_Toc31216" </w:instrText>
      </w:r>
      <w:r>
        <w:fldChar w:fldCharType="separate"/>
      </w:r>
      <w:r>
        <w:rPr>
          <w:rFonts w:hint="eastAsia" w:ascii="宋体" w:hAnsi="宋体" w:cs="宋体"/>
          <w:b/>
          <w:bCs/>
          <w:sz w:val="28"/>
          <w:szCs w:val="48"/>
        </w:rPr>
        <w:t>第六章  响应文件格式</w:t>
      </w:r>
      <w:r>
        <w:rPr>
          <w:b/>
          <w:sz w:val="28"/>
          <w:szCs w:val="28"/>
        </w:rPr>
        <w:tab/>
      </w:r>
      <w:r>
        <w:rPr>
          <w:b/>
          <w:sz w:val="28"/>
          <w:szCs w:val="28"/>
        </w:rPr>
        <w:fldChar w:fldCharType="begin"/>
      </w:r>
      <w:r>
        <w:rPr>
          <w:b/>
          <w:sz w:val="28"/>
          <w:szCs w:val="28"/>
        </w:rPr>
        <w:instrText xml:space="preserve"> PAGEREF _Toc31216 \h </w:instrText>
      </w:r>
      <w:r>
        <w:rPr>
          <w:b/>
          <w:sz w:val="28"/>
          <w:szCs w:val="28"/>
        </w:rPr>
        <w:fldChar w:fldCharType="separate"/>
      </w:r>
      <w:r>
        <w:rPr>
          <w:b/>
          <w:sz w:val="28"/>
          <w:szCs w:val="28"/>
        </w:rPr>
        <w:t>32</w:t>
      </w:r>
      <w:r>
        <w:rPr>
          <w:b/>
          <w:sz w:val="28"/>
          <w:szCs w:val="28"/>
        </w:rPr>
        <w:fldChar w:fldCharType="end"/>
      </w:r>
      <w:r>
        <w:rPr>
          <w:b/>
          <w:sz w:val="28"/>
          <w:szCs w:val="28"/>
        </w:rPr>
        <w:fldChar w:fldCharType="end"/>
      </w:r>
    </w:p>
    <w:p w14:paraId="66997359">
      <w:pPr>
        <w:pStyle w:val="77"/>
        <w:keepNext w:val="0"/>
        <w:keepLines w:val="0"/>
        <w:pageBreakBefore w:val="0"/>
        <w:tabs>
          <w:tab w:val="right" w:leader="dot" w:pos="8730"/>
        </w:tabs>
        <w:kinsoku/>
        <w:wordWrap/>
        <w:overflowPunct/>
        <w:topLinePunct w:val="0"/>
        <w:autoSpaceDE/>
        <w:autoSpaceDN/>
        <w:bidi w:val="0"/>
        <w:adjustRightInd/>
        <w:snapToGrid/>
        <w:spacing w:line="440" w:lineRule="exact"/>
        <w:ind w:firstLine="400" w:firstLineChars="200"/>
        <w:textAlignment w:val="auto"/>
        <w:rPr>
          <w:sz w:val="28"/>
          <w:szCs w:val="28"/>
        </w:rPr>
      </w:pPr>
      <w:r>
        <w:fldChar w:fldCharType="begin"/>
      </w:r>
      <w:r>
        <w:instrText xml:space="preserve"> HYPERLINK \l "_Toc15627" </w:instrText>
      </w:r>
      <w:r>
        <w:fldChar w:fldCharType="separate"/>
      </w:r>
      <w:r>
        <w:rPr>
          <w:rFonts w:hint="eastAsia" w:ascii="宋体" w:hAnsi="宋体" w:cs="宋体"/>
          <w:b/>
          <w:bCs/>
          <w:sz w:val="28"/>
          <w:szCs w:val="40"/>
        </w:rPr>
        <w:t>一、</w:t>
      </w:r>
      <w:r>
        <w:rPr>
          <w:rFonts w:hint="eastAsia" w:ascii="宋体" w:hAnsi="宋体" w:cs="宋体"/>
          <w:sz w:val="28"/>
          <w:szCs w:val="40"/>
        </w:rPr>
        <w:t>磋商申请函、报价一览表</w:t>
      </w:r>
      <w:r>
        <w:rPr>
          <w:b/>
          <w:sz w:val="28"/>
          <w:szCs w:val="28"/>
        </w:rPr>
        <w:tab/>
      </w:r>
      <w:r>
        <w:rPr>
          <w:b/>
          <w:sz w:val="28"/>
          <w:szCs w:val="28"/>
        </w:rPr>
        <w:fldChar w:fldCharType="begin"/>
      </w:r>
      <w:r>
        <w:rPr>
          <w:b/>
          <w:sz w:val="28"/>
          <w:szCs w:val="28"/>
        </w:rPr>
        <w:instrText xml:space="preserve"> PAGEREF _Toc15627 \h </w:instrText>
      </w:r>
      <w:r>
        <w:rPr>
          <w:b/>
          <w:sz w:val="28"/>
          <w:szCs w:val="28"/>
        </w:rPr>
        <w:fldChar w:fldCharType="separate"/>
      </w:r>
      <w:r>
        <w:rPr>
          <w:b/>
          <w:sz w:val="28"/>
          <w:szCs w:val="28"/>
        </w:rPr>
        <w:t>34</w:t>
      </w:r>
      <w:r>
        <w:rPr>
          <w:b/>
          <w:sz w:val="28"/>
          <w:szCs w:val="28"/>
        </w:rPr>
        <w:fldChar w:fldCharType="end"/>
      </w:r>
      <w:r>
        <w:rPr>
          <w:b/>
          <w:sz w:val="28"/>
          <w:szCs w:val="28"/>
        </w:rPr>
        <w:fldChar w:fldCharType="end"/>
      </w:r>
    </w:p>
    <w:p w14:paraId="33890E6E">
      <w:pPr>
        <w:pStyle w:val="78"/>
        <w:keepNext w:val="0"/>
        <w:keepLines w:val="0"/>
        <w:pageBreakBefore w:val="0"/>
        <w:tabs>
          <w:tab w:val="right" w:leader="dot" w:pos="8730"/>
        </w:tabs>
        <w:kinsoku/>
        <w:wordWrap/>
        <w:overflowPunct/>
        <w:topLinePunct w:val="0"/>
        <w:autoSpaceDE/>
        <w:autoSpaceDN/>
        <w:bidi w:val="0"/>
        <w:adjustRightInd/>
        <w:snapToGrid/>
        <w:spacing w:line="440" w:lineRule="exact"/>
        <w:ind w:left="420"/>
        <w:textAlignment w:val="auto"/>
        <w:rPr>
          <w:sz w:val="28"/>
          <w:szCs w:val="28"/>
        </w:rPr>
      </w:pPr>
      <w:r>
        <w:fldChar w:fldCharType="begin"/>
      </w:r>
      <w:r>
        <w:instrText xml:space="preserve"> HYPERLINK \l "_Toc3592" </w:instrText>
      </w:r>
      <w:r>
        <w:fldChar w:fldCharType="separate"/>
      </w:r>
      <w:r>
        <w:rPr>
          <w:rFonts w:hint="eastAsia" w:ascii="宋体" w:hAnsi="宋体" w:cs="宋体"/>
          <w:sz w:val="28"/>
          <w:szCs w:val="40"/>
        </w:rPr>
        <w:t>二、法定代表人身份证明、授权委托书</w:t>
      </w:r>
      <w:r>
        <w:rPr>
          <w:sz w:val="28"/>
          <w:szCs w:val="28"/>
        </w:rPr>
        <w:tab/>
      </w:r>
      <w:r>
        <w:rPr>
          <w:sz w:val="28"/>
          <w:szCs w:val="28"/>
        </w:rPr>
        <w:fldChar w:fldCharType="begin"/>
      </w:r>
      <w:r>
        <w:rPr>
          <w:sz w:val="28"/>
          <w:szCs w:val="28"/>
        </w:rPr>
        <w:instrText xml:space="preserve"> PAGEREF _Toc3592 \h </w:instrText>
      </w:r>
      <w:r>
        <w:rPr>
          <w:sz w:val="28"/>
          <w:szCs w:val="28"/>
        </w:rPr>
        <w:fldChar w:fldCharType="separate"/>
      </w:r>
      <w:r>
        <w:rPr>
          <w:sz w:val="28"/>
          <w:szCs w:val="28"/>
        </w:rPr>
        <w:t>37</w:t>
      </w:r>
      <w:r>
        <w:rPr>
          <w:sz w:val="28"/>
          <w:szCs w:val="28"/>
        </w:rPr>
        <w:fldChar w:fldCharType="end"/>
      </w:r>
      <w:r>
        <w:rPr>
          <w:sz w:val="28"/>
          <w:szCs w:val="28"/>
        </w:rPr>
        <w:fldChar w:fldCharType="end"/>
      </w:r>
    </w:p>
    <w:p w14:paraId="219EBC64">
      <w:pPr>
        <w:pStyle w:val="78"/>
        <w:keepNext w:val="0"/>
        <w:keepLines w:val="0"/>
        <w:pageBreakBefore w:val="0"/>
        <w:tabs>
          <w:tab w:val="right" w:leader="dot" w:pos="8730"/>
        </w:tabs>
        <w:kinsoku/>
        <w:wordWrap/>
        <w:overflowPunct/>
        <w:topLinePunct w:val="0"/>
        <w:autoSpaceDE/>
        <w:autoSpaceDN/>
        <w:bidi w:val="0"/>
        <w:adjustRightInd/>
        <w:snapToGrid/>
        <w:spacing w:line="440" w:lineRule="exact"/>
        <w:ind w:left="420"/>
        <w:textAlignment w:val="auto"/>
        <w:rPr>
          <w:sz w:val="28"/>
          <w:szCs w:val="28"/>
        </w:rPr>
      </w:pPr>
      <w:r>
        <w:fldChar w:fldCharType="begin"/>
      </w:r>
      <w:r>
        <w:instrText xml:space="preserve"> HYPERLINK \l "_Toc12430" </w:instrText>
      </w:r>
      <w:r>
        <w:fldChar w:fldCharType="separate"/>
      </w:r>
      <w:r>
        <w:rPr>
          <w:rFonts w:hint="eastAsia" w:ascii="宋体" w:hAnsi="宋体" w:cs="宋体"/>
          <w:bCs/>
          <w:sz w:val="28"/>
          <w:szCs w:val="40"/>
        </w:rPr>
        <w:t>三、投标人承诺书</w:t>
      </w:r>
      <w:r>
        <w:rPr>
          <w:sz w:val="28"/>
          <w:szCs w:val="28"/>
        </w:rPr>
        <w:tab/>
      </w:r>
      <w:r>
        <w:rPr>
          <w:sz w:val="28"/>
          <w:szCs w:val="28"/>
        </w:rPr>
        <w:fldChar w:fldCharType="begin"/>
      </w:r>
      <w:r>
        <w:rPr>
          <w:sz w:val="28"/>
          <w:szCs w:val="28"/>
        </w:rPr>
        <w:instrText xml:space="preserve"> PAGEREF _Toc12430 \h </w:instrText>
      </w:r>
      <w:r>
        <w:rPr>
          <w:sz w:val="28"/>
          <w:szCs w:val="28"/>
        </w:rPr>
        <w:fldChar w:fldCharType="separate"/>
      </w:r>
      <w:r>
        <w:rPr>
          <w:sz w:val="28"/>
          <w:szCs w:val="28"/>
        </w:rPr>
        <w:t>39</w:t>
      </w:r>
      <w:r>
        <w:rPr>
          <w:sz w:val="28"/>
          <w:szCs w:val="28"/>
        </w:rPr>
        <w:fldChar w:fldCharType="end"/>
      </w:r>
      <w:r>
        <w:rPr>
          <w:sz w:val="28"/>
          <w:szCs w:val="28"/>
        </w:rPr>
        <w:fldChar w:fldCharType="end"/>
      </w:r>
    </w:p>
    <w:p w14:paraId="0E7C5C28">
      <w:pPr>
        <w:pStyle w:val="78"/>
        <w:keepNext w:val="0"/>
        <w:keepLines w:val="0"/>
        <w:pageBreakBefore w:val="0"/>
        <w:tabs>
          <w:tab w:val="right" w:leader="dot" w:pos="8730"/>
        </w:tabs>
        <w:kinsoku/>
        <w:wordWrap/>
        <w:overflowPunct/>
        <w:topLinePunct w:val="0"/>
        <w:autoSpaceDE/>
        <w:autoSpaceDN/>
        <w:bidi w:val="0"/>
        <w:adjustRightInd/>
        <w:snapToGrid/>
        <w:spacing w:line="440" w:lineRule="exact"/>
        <w:ind w:left="420"/>
        <w:textAlignment w:val="auto"/>
        <w:rPr>
          <w:sz w:val="28"/>
          <w:szCs w:val="28"/>
        </w:rPr>
      </w:pPr>
      <w:r>
        <w:fldChar w:fldCharType="begin"/>
      </w:r>
      <w:r>
        <w:instrText xml:space="preserve"> HYPERLINK \l "_Toc8060" </w:instrText>
      </w:r>
      <w:r>
        <w:fldChar w:fldCharType="separate"/>
      </w:r>
      <w:r>
        <w:rPr>
          <w:rFonts w:hint="eastAsia" w:ascii="宋体" w:hAnsi="宋体" w:cs="宋体"/>
          <w:sz w:val="28"/>
          <w:szCs w:val="40"/>
        </w:rPr>
        <w:t>四、</w:t>
      </w:r>
      <w:r>
        <w:rPr>
          <w:rFonts w:hint="eastAsia" w:ascii="宋体" w:hAnsi="宋体" w:cs="宋体"/>
          <w:bCs/>
          <w:kern w:val="10"/>
          <w:sz w:val="28"/>
          <w:szCs w:val="40"/>
        </w:rPr>
        <w:t>资格审查资料</w:t>
      </w:r>
      <w:r>
        <w:rPr>
          <w:sz w:val="28"/>
          <w:szCs w:val="28"/>
        </w:rPr>
        <w:tab/>
      </w:r>
      <w:r>
        <w:rPr>
          <w:sz w:val="28"/>
          <w:szCs w:val="28"/>
        </w:rPr>
        <w:fldChar w:fldCharType="begin"/>
      </w:r>
      <w:r>
        <w:rPr>
          <w:sz w:val="28"/>
          <w:szCs w:val="28"/>
        </w:rPr>
        <w:instrText xml:space="preserve"> PAGEREF _Toc8060 \h </w:instrText>
      </w:r>
      <w:r>
        <w:rPr>
          <w:sz w:val="28"/>
          <w:szCs w:val="28"/>
        </w:rPr>
        <w:fldChar w:fldCharType="separate"/>
      </w:r>
      <w:r>
        <w:rPr>
          <w:sz w:val="28"/>
          <w:szCs w:val="28"/>
        </w:rPr>
        <w:t>40</w:t>
      </w:r>
      <w:r>
        <w:rPr>
          <w:sz w:val="28"/>
          <w:szCs w:val="28"/>
        </w:rPr>
        <w:fldChar w:fldCharType="end"/>
      </w:r>
      <w:r>
        <w:rPr>
          <w:sz w:val="28"/>
          <w:szCs w:val="28"/>
        </w:rPr>
        <w:fldChar w:fldCharType="end"/>
      </w:r>
    </w:p>
    <w:p w14:paraId="69FD65DA">
      <w:pPr>
        <w:pStyle w:val="78"/>
        <w:keepNext w:val="0"/>
        <w:keepLines w:val="0"/>
        <w:pageBreakBefore w:val="0"/>
        <w:tabs>
          <w:tab w:val="right" w:leader="dot" w:pos="8730"/>
        </w:tabs>
        <w:kinsoku/>
        <w:wordWrap/>
        <w:overflowPunct/>
        <w:topLinePunct w:val="0"/>
        <w:autoSpaceDE/>
        <w:autoSpaceDN/>
        <w:bidi w:val="0"/>
        <w:adjustRightInd/>
        <w:snapToGrid/>
        <w:spacing w:line="440" w:lineRule="exact"/>
        <w:ind w:left="420"/>
        <w:textAlignment w:val="auto"/>
        <w:rPr>
          <w:sz w:val="28"/>
          <w:szCs w:val="28"/>
        </w:rPr>
      </w:pPr>
      <w:r>
        <w:fldChar w:fldCharType="begin"/>
      </w:r>
      <w:r>
        <w:instrText xml:space="preserve"> HYPERLINK \l "_Toc28962" </w:instrText>
      </w:r>
      <w:r>
        <w:fldChar w:fldCharType="separate"/>
      </w:r>
      <w:r>
        <w:rPr>
          <w:rFonts w:hint="eastAsia" w:ascii="宋体" w:hAnsi="宋体" w:cs="宋体"/>
          <w:sz w:val="28"/>
          <w:szCs w:val="40"/>
        </w:rPr>
        <w:t>五、商务部分（格式自拟）</w:t>
      </w:r>
      <w:r>
        <w:rPr>
          <w:sz w:val="28"/>
          <w:szCs w:val="28"/>
        </w:rPr>
        <w:tab/>
      </w:r>
      <w:r>
        <w:rPr>
          <w:sz w:val="28"/>
          <w:szCs w:val="28"/>
        </w:rPr>
        <w:fldChar w:fldCharType="begin"/>
      </w:r>
      <w:r>
        <w:rPr>
          <w:sz w:val="28"/>
          <w:szCs w:val="28"/>
        </w:rPr>
        <w:instrText xml:space="preserve"> PAGEREF _Toc28962 \h </w:instrText>
      </w:r>
      <w:r>
        <w:rPr>
          <w:sz w:val="28"/>
          <w:szCs w:val="28"/>
        </w:rPr>
        <w:fldChar w:fldCharType="separate"/>
      </w:r>
      <w:r>
        <w:rPr>
          <w:sz w:val="28"/>
          <w:szCs w:val="28"/>
        </w:rPr>
        <w:t>41</w:t>
      </w:r>
      <w:r>
        <w:rPr>
          <w:sz w:val="28"/>
          <w:szCs w:val="28"/>
        </w:rPr>
        <w:fldChar w:fldCharType="end"/>
      </w:r>
      <w:r>
        <w:rPr>
          <w:sz w:val="28"/>
          <w:szCs w:val="28"/>
        </w:rPr>
        <w:fldChar w:fldCharType="end"/>
      </w:r>
    </w:p>
    <w:p w14:paraId="3084ACBF">
      <w:pPr>
        <w:pStyle w:val="78"/>
        <w:keepNext w:val="0"/>
        <w:keepLines w:val="0"/>
        <w:pageBreakBefore w:val="0"/>
        <w:tabs>
          <w:tab w:val="right" w:leader="dot" w:pos="8730"/>
        </w:tabs>
        <w:kinsoku/>
        <w:wordWrap/>
        <w:overflowPunct/>
        <w:topLinePunct w:val="0"/>
        <w:autoSpaceDE/>
        <w:autoSpaceDN/>
        <w:bidi w:val="0"/>
        <w:adjustRightInd/>
        <w:snapToGrid/>
        <w:spacing w:line="440" w:lineRule="exact"/>
        <w:ind w:left="420"/>
        <w:textAlignment w:val="auto"/>
        <w:rPr>
          <w:sz w:val="28"/>
          <w:szCs w:val="28"/>
        </w:rPr>
      </w:pPr>
      <w:r>
        <w:fldChar w:fldCharType="begin"/>
      </w:r>
      <w:r>
        <w:instrText xml:space="preserve"> HYPERLINK \l "_Toc31503" </w:instrText>
      </w:r>
      <w:r>
        <w:fldChar w:fldCharType="separate"/>
      </w:r>
      <w:r>
        <w:rPr>
          <w:rFonts w:hint="eastAsia" w:ascii="宋体" w:hAnsi="宋体" w:cs="宋体"/>
          <w:bCs/>
          <w:sz w:val="28"/>
          <w:szCs w:val="40"/>
        </w:rPr>
        <w:t>六、技术部分（格式自拟）</w:t>
      </w:r>
      <w:r>
        <w:rPr>
          <w:sz w:val="28"/>
          <w:szCs w:val="28"/>
        </w:rPr>
        <w:tab/>
      </w:r>
      <w:r>
        <w:rPr>
          <w:sz w:val="28"/>
          <w:szCs w:val="28"/>
        </w:rPr>
        <w:fldChar w:fldCharType="begin"/>
      </w:r>
      <w:r>
        <w:rPr>
          <w:sz w:val="28"/>
          <w:szCs w:val="28"/>
        </w:rPr>
        <w:instrText xml:space="preserve"> PAGEREF _Toc31503 \h </w:instrText>
      </w:r>
      <w:r>
        <w:rPr>
          <w:sz w:val="28"/>
          <w:szCs w:val="28"/>
        </w:rPr>
        <w:fldChar w:fldCharType="separate"/>
      </w:r>
      <w:r>
        <w:rPr>
          <w:sz w:val="28"/>
          <w:szCs w:val="28"/>
        </w:rPr>
        <w:t>42</w:t>
      </w:r>
      <w:r>
        <w:rPr>
          <w:sz w:val="28"/>
          <w:szCs w:val="28"/>
        </w:rPr>
        <w:fldChar w:fldCharType="end"/>
      </w:r>
      <w:r>
        <w:rPr>
          <w:sz w:val="28"/>
          <w:szCs w:val="28"/>
        </w:rPr>
        <w:fldChar w:fldCharType="end"/>
      </w:r>
    </w:p>
    <w:p w14:paraId="428CB04F">
      <w:pPr>
        <w:pStyle w:val="78"/>
        <w:keepNext w:val="0"/>
        <w:keepLines w:val="0"/>
        <w:pageBreakBefore w:val="0"/>
        <w:tabs>
          <w:tab w:val="right" w:leader="dot" w:pos="8730"/>
        </w:tabs>
        <w:kinsoku/>
        <w:wordWrap/>
        <w:overflowPunct/>
        <w:topLinePunct w:val="0"/>
        <w:autoSpaceDE/>
        <w:autoSpaceDN/>
        <w:bidi w:val="0"/>
        <w:adjustRightInd/>
        <w:snapToGrid/>
        <w:spacing w:line="440" w:lineRule="exact"/>
        <w:ind w:left="420"/>
        <w:textAlignment w:val="auto"/>
        <w:rPr>
          <w:sz w:val="28"/>
          <w:szCs w:val="28"/>
        </w:rPr>
      </w:pPr>
      <w:r>
        <w:fldChar w:fldCharType="begin"/>
      </w:r>
      <w:r>
        <w:instrText xml:space="preserve"> HYPERLINK \l "_Toc4639" </w:instrText>
      </w:r>
      <w:r>
        <w:fldChar w:fldCharType="separate"/>
      </w:r>
      <w:r>
        <w:rPr>
          <w:rFonts w:hint="eastAsia" w:ascii="宋体" w:hAnsi="宋体" w:cs="宋体"/>
          <w:sz w:val="28"/>
          <w:szCs w:val="40"/>
        </w:rPr>
        <w:t>七、项目管理机构</w:t>
      </w:r>
      <w:r>
        <w:rPr>
          <w:sz w:val="28"/>
          <w:szCs w:val="28"/>
        </w:rPr>
        <w:tab/>
      </w:r>
      <w:r>
        <w:rPr>
          <w:sz w:val="28"/>
          <w:szCs w:val="28"/>
        </w:rPr>
        <w:fldChar w:fldCharType="begin"/>
      </w:r>
      <w:r>
        <w:rPr>
          <w:sz w:val="28"/>
          <w:szCs w:val="28"/>
        </w:rPr>
        <w:instrText xml:space="preserve"> PAGEREF _Toc4639 \h </w:instrText>
      </w:r>
      <w:r>
        <w:rPr>
          <w:sz w:val="28"/>
          <w:szCs w:val="28"/>
        </w:rPr>
        <w:fldChar w:fldCharType="separate"/>
      </w:r>
      <w:r>
        <w:rPr>
          <w:sz w:val="28"/>
          <w:szCs w:val="28"/>
        </w:rPr>
        <w:t>43</w:t>
      </w:r>
      <w:r>
        <w:rPr>
          <w:sz w:val="28"/>
          <w:szCs w:val="28"/>
        </w:rPr>
        <w:fldChar w:fldCharType="end"/>
      </w:r>
      <w:r>
        <w:rPr>
          <w:sz w:val="28"/>
          <w:szCs w:val="28"/>
        </w:rPr>
        <w:fldChar w:fldCharType="end"/>
      </w:r>
    </w:p>
    <w:p w14:paraId="15CB0AEF">
      <w:pPr>
        <w:pStyle w:val="78"/>
        <w:keepNext w:val="0"/>
        <w:keepLines w:val="0"/>
        <w:pageBreakBefore w:val="0"/>
        <w:tabs>
          <w:tab w:val="right" w:leader="dot" w:pos="8730"/>
        </w:tabs>
        <w:kinsoku/>
        <w:wordWrap/>
        <w:overflowPunct/>
        <w:topLinePunct w:val="0"/>
        <w:autoSpaceDE/>
        <w:autoSpaceDN/>
        <w:bidi w:val="0"/>
        <w:adjustRightInd/>
        <w:snapToGrid/>
        <w:spacing w:line="440" w:lineRule="exact"/>
        <w:ind w:left="420"/>
        <w:textAlignment w:val="auto"/>
        <w:rPr>
          <w:sz w:val="28"/>
          <w:szCs w:val="28"/>
        </w:rPr>
      </w:pPr>
      <w:r>
        <w:fldChar w:fldCharType="begin"/>
      </w:r>
      <w:r>
        <w:instrText xml:space="preserve"> HYPERLINK \l "_Toc23065" </w:instrText>
      </w:r>
      <w:r>
        <w:fldChar w:fldCharType="separate"/>
      </w:r>
      <w:r>
        <w:rPr>
          <w:rFonts w:hint="eastAsia" w:ascii="宋体" w:hAnsi="宋体" w:cs="宋体"/>
          <w:bCs/>
          <w:sz w:val="28"/>
          <w:szCs w:val="40"/>
        </w:rPr>
        <w:t>八、投标人基本情况表</w:t>
      </w:r>
      <w:r>
        <w:rPr>
          <w:sz w:val="28"/>
          <w:szCs w:val="28"/>
        </w:rPr>
        <w:tab/>
      </w:r>
      <w:r>
        <w:rPr>
          <w:sz w:val="28"/>
          <w:szCs w:val="28"/>
        </w:rPr>
        <w:fldChar w:fldCharType="begin"/>
      </w:r>
      <w:r>
        <w:rPr>
          <w:sz w:val="28"/>
          <w:szCs w:val="28"/>
        </w:rPr>
        <w:instrText xml:space="preserve"> PAGEREF _Toc23065 \h </w:instrText>
      </w:r>
      <w:r>
        <w:rPr>
          <w:sz w:val="28"/>
          <w:szCs w:val="28"/>
        </w:rPr>
        <w:fldChar w:fldCharType="separate"/>
      </w:r>
      <w:r>
        <w:rPr>
          <w:sz w:val="28"/>
          <w:szCs w:val="28"/>
        </w:rPr>
        <w:t>44</w:t>
      </w:r>
      <w:r>
        <w:rPr>
          <w:sz w:val="28"/>
          <w:szCs w:val="28"/>
        </w:rPr>
        <w:fldChar w:fldCharType="end"/>
      </w:r>
      <w:r>
        <w:rPr>
          <w:sz w:val="28"/>
          <w:szCs w:val="28"/>
        </w:rPr>
        <w:fldChar w:fldCharType="end"/>
      </w:r>
    </w:p>
    <w:p w14:paraId="6485C7AA">
      <w:pPr>
        <w:pStyle w:val="78"/>
        <w:keepNext w:val="0"/>
        <w:keepLines w:val="0"/>
        <w:pageBreakBefore w:val="0"/>
        <w:tabs>
          <w:tab w:val="right" w:leader="dot" w:pos="8730"/>
        </w:tabs>
        <w:kinsoku/>
        <w:wordWrap/>
        <w:overflowPunct/>
        <w:topLinePunct w:val="0"/>
        <w:autoSpaceDE/>
        <w:autoSpaceDN/>
        <w:bidi w:val="0"/>
        <w:adjustRightInd/>
        <w:snapToGrid/>
        <w:spacing w:line="440" w:lineRule="exact"/>
        <w:ind w:left="420"/>
        <w:textAlignment w:val="auto"/>
        <w:rPr>
          <w:sz w:val="28"/>
          <w:szCs w:val="28"/>
        </w:rPr>
      </w:pPr>
      <w:r>
        <w:fldChar w:fldCharType="begin"/>
      </w:r>
      <w:r>
        <w:instrText xml:space="preserve"> HYPERLINK \l "_Toc6042" </w:instrText>
      </w:r>
      <w:r>
        <w:fldChar w:fldCharType="separate"/>
      </w:r>
      <w:r>
        <w:rPr>
          <w:rFonts w:hint="eastAsia" w:ascii="宋体" w:hAnsi="宋体" w:cs="宋体"/>
          <w:bCs/>
          <w:sz w:val="28"/>
          <w:szCs w:val="40"/>
        </w:rPr>
        <w:t>九、其他政府采购政策性规定证明材料</w:t>
      </w:r>
      <w:r>
        <w:rPr>
          <w:sz w:val="28"/>
          <w:szCs w:val="28"/>
        </w:rPr>
        <w:tab/>
      </w:r>
      <w:r>
        <w:rPr>
          <w:sz w:val="28"/>
          <w:szCs w:val="28"/>
        </w:rPr>
        <w:fldChar w:fldCharType="begin"/>
      </w:r>
      <w:r>
        <w:rPr>
          <w:sz w:val="28"/>
          <w:szCs w:val="28"/>
        </w:rPr>
        <w:instrText xml:space="preserve"> PAGEREF _Toc6042 \h </w:instrText>
      </w:r>
      <w:r>
        <w:rPr>
          <w:sz w:val="28"/>
          <w:szCs w:val="28"/>
        </w:rPr>
        <w:fldChar w:fldCharType="separate"/>
      </w:r>
      <w:r>
        <w:rPr>
          <w:sz w:val="28"/>
          <w:szCs w:val="28"/>
        </w:rPr>
        <w:t>45</w:t>
      </w:r>
      <w:r>
        <w:rPr>
          <w:sz w:val="28"/>
          <w:szCs w:val="28"/>
        </w:rPr>
        <w:fldChar w:fldCharType="end"/>
      </w:r>
      <w:r>
        <w:rPr>
          <w:sz w:val="28"/>
          <w:szCs w:val="28"/>
        </w:rPr>
        <w:fldChar w:fldCharType="end"/>
      </w:r>
    </w:p>
    <w:p w14:paraId="7DC01EDA">
      <w:pPr>
        <w:pStyle w:val="17"/>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ascii="宋体" w:hAnsi="宋体" w:cs="宋体"/>
          <w:bCs/>
          <w:color w:val="000000"/>
          <w:sz w:val="36"/>
          <w:szCs w:val="144"/>
        </w:rPr>
      </w:pPr>
      <w:r>
        <w:rPr>
          <w:rFonts w:ascii="宋体" w:hAnsi="宋体" w:cs="宋体"/>
          <w:b/>
          <w:bCs/>
          <w:color w:val="000000"/>
          <w:sz w:val="40"/>
          <w:szCs w:val="144"/>
        </w:rPr>
        <w:fldChar w:fldCharType="end"/>
      </w:r>
    </w:p>
    <w:p w14:paraId="56E0BD45">
      <w:pPr>
        <w:pStyle w:val="17"/>
        <w:keepNext w:val="0"/>
        <w:keepLines w:val="0"/>
        <w:pageBreakBefore w:val="0"/>
        <w:kinsoku/>
        <w:wordWrap/>
        <w:overflowPunct/>
        <w:topLinePunct w:val="0"/>
        <w:autoSpaceDE/>
        <w:autoSpaceDN/>
        <w:bidi w:val="0"/>
        <w:adjustRightInd/>
        <w:snapToGrid/>
        <w:spacing w:line="440" w:lineRule="exact"/>
        <w:ind w:firstLine="0" w:firstLineChars="0"/>
        <w:textAlignment w:val="auto"/>
        <w:rPr>
          <w:rFonts w:ascii="宋体" w:hAnsi="宋体" w:cs="宋体"/>
          <w:bCs/>
          <w:color w:val="000000"/>
          <w:sz w:val="28"/>
          <w:szCs w:val="72"/>
        </w:rPr>
      </w:pPr>
    </w:p>
    <w:p w14:paraId="3A7D20AF">
      <w:pPr>
        <w:pStyle w:val="17"/>
        <w:ind w:firstLine="0" w:firstLineChars="0"/>
        <w:rPr>
          <w:rFonts w:ascii="宋体" w:hAnsi="宋体" w:cs="宋体"/>
          <w:bCs/>
          <w:color w:val="000000"/>
          <w:sz w:val="28"/>
          <w:szCs w:val="72"/>
        </w:rPr>
      </w:pPr>
    </w:p>
    <w:p w14:paraId="21221B99">
      <w:pPr>
        <w:pStyle w:val="3"/>
        <w:spacing w:line="480" w:lineRule="exact"/>
        <w:jc w:val="both"/>
        <w:rPr>
          <w:rFonts w:ascii="宋体" w:hAnsi="宋体" w:cs="宋体"/>
          <w:bCs/>
          <w:color w:val="000000"/>
          <w:sz w:val="24"/>
          <w:szCs w:val="24"/>
        </w:rPr>
      </w:pPr>
      <w:bookmarkStart w:id="4" w:name="_Toc15641"/>
    </w:p>
    <w:p w14:paraId="2B0DA0E9">
      <w:pPr>
        <w:pStyle w:val="3"/>
        <w:spacing w:line="480" w:lineRule="exact"/>
        <w:ind w:firstLine="562" w:firstLineChars="200"/>
        <w:rPr>
          <w:rFonts w:ascii="宋体" w:hAnsi="宋体" w:cs="宋体"/>
          <w:bCs/>
          <w:color w:val="000000"/>
          <w:sz w:val="24"/>
          <w:szCs w:val="24"/>
        </w:rPr>
      </w:pPr>
      <w:r>
        <w:rPr>
          <w:rFonts w:ascii="宋体" w:hAnsi="宋体" w:cs="宋体"/>
          <w:bCs/>
          <w:color w:val="000000"/>
          <w:sz w:val="24"/>
          <w:szCs w:val="24"/>
        </w:rPr>
        <w:br w:type="page"/>
      </w:r>
      <w:bookmarkStart w:id="5" w:name="_Toc6005"/>
      <w:r>
        <w:rPr>
          <w:rFonts w:hint="eastAsia" w:ascii="宋体" w:hAnsi="宋体" w:cs="宋体"/>
          <w:bCs/>
          <w:color w:val="000000"/>
          <w:szCs w:val="32"/>
        </w:rPr>
        <w:t>第一章  竞争性磋商公告</w:t>
      </w:r>
      <w:bookmarkEnd w:id="2"/>
      <w:bookmarkEnd w:id="3"/>
      <w:bookmarkEnd w:id="4"/>
      <w:bookmarkEnd w:id="5"/>
    </w:p>
    <w:p w14:paraId="1A212404">
      <w:pPr>
        <w:wordWrap w:val="0"/>
        <w:spacing w:line="480" w:lineRule="exact"/>
        <w:ind w:right="-92" w:rightChars="-44" w:firstLine="482" w:firstLineChars="200"/>
        <w:jc w:val="left"/>
        <w:outlineLvl w:val="1"/>
      </w:pPr>
      <w:bookmarkStart w:id="6" w:name="_Toc12875"/>
      <w:bookmarkStart w:id="7" w:name="_Toc11891"/>
      <w:r>
        <w:rPr>
          <w:rFonts w:hint="eastAsia" w:ascii="宋体" w:hAnsi="宋体" w:cs="宋体"/>
          <w:b/>
          <w:color w:val="333333"/>
          <w:kern w:val="0"/>
          <w:sz w:val="24"/>
        </w:rPr>
        <w:t>一、招标条件</w:t>
      </w:r>
    </w:p>
    <w:p w14:paraId="13D951DB">
      <w:pPr>
        <w:wordWrap w:val="0"/>
        <w:spacing w:line="480" w:lineRule="exact"/>
        <w:ind w:right="-92" w:rightChars="-44" w:firstLine="480" w:firstLineChars="200"/>
        <w:jc w:val="left"/>
      </w:pPr>
      <w:r>
        <w:rPr>
          <w:rFonts w:hint="eastAsia" w:ascii="宋体" w:hAnsi="宋体" w:cs="宋体"/>
          <w:color w:val="333333"/>
          <w:kern w:val="0"/>
          <w:sz w:val="24"/>
          <w:lang w:eastAsia="zh-CN"/>
        </w:rPr>
        <w:t>灵宝市全民所有自然资源资产清查项目</w:t>
      </w:r>
      <w:r>
        <w:rPr>
          <w:rFonts w:hint="eastAsia" w:ascii="宋体" w:hAnsi="宋体" w:cs="宋体"/>
          <w:color w:val="333333"/>
          <w:kern w:val="0"/>
          <w:sz w:val="24"/>
        </w:rPr>
        <w:t>已由相关部门批准，资金来源为财政资金，采购人为灵宝市自然资源和规划局，采购代理机构为天寻国际工程咨询有限公司。该项目已具备采购条件，现对该项目进行竞争性磋商采购，欢迎符合相关条件的供应商参加投标。</w:t>
      </w:r>
    </w:p>
    <w:p w14:paraId="64A2C60A">
      <w:pPr>
        <w:wordWrap w:val="0"/>
        <w:spacing w:line="480" w:lineRule="exact"/>
        <w:ind w:firstLine="482" w:firstLineChars="200"/>
        <w:jc w:val="left"/>
        <w:outlineLvl w:val="1"/>
      </w:pPr>
      <w:r>
        <w:rPr>
          <w:rFonts w:hint="eastAsia" w:ascii="宋体" w:hAnsi="宋体" w:cs="宋体"/>
          <w:b/>
          <w:color w:val="333333"/>
          <w:kern w:val="0"/>
          <w:sz w:val="24"/>
        </w:rPr>
        <w:t>二、项目概况</w:t>
      </w:r>
    </w:p>
    <w:p w14:paraId="2993A664">
      <w:pPr>
        <w:wordWrap w:val="0"/>
        <w:spacing w:line="480" w:lineRule="exact"/>
        <w:ind w:right="-92" w:rightChars="-44" w:firstLine="480" w:firstLineChars="200"/>
        <w:jc w:val="left"/>
        <w:rPr>
          <w:rFonts w:hint="eastAsia" w:eastAsia="宋体"/>
          <w:lang w:eastAsia="zh-CN"/>
        </w:rPr>
      </w:pPr>
      <w:r>
        <w:rPr>
          <w:rFonts w:hint="eastAsia" w:ascii="宋体" w:hAnsi="宋体" w:cs="宋体"/>
          <w:color w:val="333333"/>
          <w:kern w:val="0"/>
          <w:sz w:val="24"/>
        </w:rPr>
        <w:t>1、项目名称：</w:t>
      </w:r>
      <w:r>
        <w:rPr>
          <w:rFonts w:hint="eastAsia" w:ascii="宋体" w:hAnsi="宋体" w:cs="宋体"/>
          <w:color w:val="333333"/>
          <w:kern w:val="0"/>
          <w:sz w:val="24"/>
          <w:lang w:eastAsia="zh-CN"/>
        </w:rPr>
        <w:t>灵宝市全民所有自然资源资产清查项目</w:t>
      </w:r>
    </w:p>
    <w:p w14:paraId="6BF0408A">
      <w:pPr>
        <w:wordWrap w:val="0"/>
        <w:spacing w:line="480" w:lineRule="exact"/>
        <w:ind w:right="-92" w:rightChars="-44" w:firstLine="480" w:firstLineChars="200"/>
        <w:jc w:val="left"/>
        <w:rPr>
          <w:rFonts w:hint="eastAsia" w:ascii="宋体" w:hAnsi="宋体" w:cs="宋体"/>
          <w:color w:val="333333"/>
          <w:kern w:val="0"/>
          <w:sz w:val="24"/>
        </w:rPr>
      </w:pPr>
      <w:r>
        <w:rPr>
          <w:rFonts w:hint="eastAsia" w:ascii="宋体" w:hAnsi="宋体" w:cs="宋体"/>
          <w:color w:val="333333"/>
          <w:kern w:val="0"/>
          <w:sz w:val="24"/>
        </w:rPr>
        <w:t>2、项目编号：灵宝竞磋采购-2025-</w:t>
      </w:r>
      <w:r>
        <w:rPr>
          <w:rFonts w:hint="eastAsia" w:ascii="宋体" w:hAnsi="宋体" w:cs="宋体"/>
          <w:color w:val="333333"/>
          <w:kern w:val="0"/>
          <w:sz w:val="24"/>
          <w:lang w:val="en-US" w:eastAsia="zh-CN"/>
        </w:rPr>
        <w:t>8</w:t>
      </w:r>
      <w:r>
        <w:rPr>
          <w:rFonts w:hint="eastAsia" w:ascii="宋体" w:hAnsi="宋体" w:cs="宋体"/>
          <w:color w:val="333333"/>
          <w:kern w:val="0"/>
          <w:sz w:val="24"/>
        </w:rPr>
        <w:t>；LBGZ[2025]021-ZC017</w:t>
      </w:r>
    </w:p>
    <w:p w14:paraId="715F315C">
      <w:pPr>
        <w:wordWrap w:val="0"/>
        <w:spacing w:line="480" w:lineRule="exact"/>
        <w:ind w:right="-92" w:rightChars="-44" w:firstLine="480" w:firstLineChars="200"/>
        <w:jc w:val="left"/>
        <w:rPr>
          <w:rFonts w:ascii="宋体" w:hAnsi="宋体" w:cs="宋体"/>
          <w:color w:val="333333"/>
          <w:kern w:val="0"/>
          <w:sz w:val="24"/>
          <w:highlight w:val="none"/>
        </w:rPr>
      </w:pPr>
      <w:r>
        <w:rPr>
          <w:rFonts w:hint="eastAsia" w:ascii="宋体" w:hAnsi="宋体" w:cs="宋体"/>
          <w:color w:val="333333"/>
          <w:kern w:val="0"/>
          <w:sz w:val="24"/>
          <w:highlight w:val="none"/>
        </w:rPr>
        <w:t>3、招标内容：本项目主要包括：1、制定工作方案；2、资料收集与分析；3、实物量清查；4、价值量核算；5、使用权状况调查；6、统一时点更新；7、数据库建设；8、成果内业校检；9、协助做好上级部门抽查核查；10、成果编绘；11、实物量清查调查；12、价值量外业校检；13、成果论证预检和验收；具体内容详见磋商文件；</w:t>
      </w:r>
    </w:p>
    <w:p w14:paraId="1A959CC0">
      <w:pPr>
        <w:wordWrap w:val="0"/>
        <w:spacing w:line="480" w:lineRule="exact"/>
        <w:ind w:right="-92" w:rightChars="-44" w:firstLine="480" w:firstLineChars="200"/>
        <w:jc w:val="left"/>
        <w:rPr>
          <w:highlight w:val="none"/>
        </w:rPr>
      </w:pPr>
      <w:r>
        <w:rPr>
          <w:rFonts w:hint="eastAsia" w:ascii="宋体" w:hAnsi="宋体" w:cs="宋体"/>
          <w:color w:val="333333"/>
          <w:kern w:val="0"/>
          <w:sz w:val="24"/>
          <w:highlight w:val="none"/>
        </w:rPr>
        <w:t>4、服务周期：按照河南省自然资源厅要求完成并提交成果。</w:t>
      </w:r>
    </w:p>
    <w:p w14:paraId="0F39EE31">
      <w:pPr>
        <w:wordWrap w:val="0"/>
        <w:spacing w:line="480" w:lineRule="exact"/>
        <w:ind w:right="-92" w:rightChars="-44" w:firstLine="480" w:firstLineChars="200"/>
        <w:jc w:val="left"/>
        <w:rPr>
          <w:highlight w:val="none"/>
        </w:rPr>
      </w:pPr>
      <w:r>
        <w:rPr>
          <w:rFonts w:hint="eastAsia" w:ascii="宋体" w:hAnsi="宋体" w:cs="宋体"/>
          <w:color w:val="333333"/>
          <w:kern w:val="0"/>
          <w:sz w:val="24"/>
          <w:highlight w:val="none"/>
        </w:rPr>
        <w:t>5、质量要求：符合国家、地方及行业相关规范和标准</w:t>
      </w:r>
    </w:p>
    <w:p w14:paraId="034E1864">
      <w:pPr>
        <w:wordWrap w:val="0"/>
        <w:spacing w:line="480" w:lineRule="exact"/>
        <w:ind w:right="-92" w:rightChars="-44" w:firstLine="480" w:firstLineChars="200"/>
        <w:jc w:val="left"/>
        <w:rPr>
          <w:highlight w:val="none"/>
        </w:rPr>
      </w:pPr>
      <w:r>
        <w:rPr>
          <w:rFonts w:hint="eastAsia" w:ascii="宋体" w:hAnsi="宋体" w:cs="宋体"/>
          <w:color w:val="333333"/>
          <w:kern w:val="0"/>
          <w:sz w:val="24"/>
          <w:highlight w:val="none"/>
        </w:rPr>
        <w:t>6、服务地点：灵宝市</w:t>
      </w:r>
    </w:p>
    <w:p w14:paraId="29870B30">
      <w:pPr>
        <w:wordWrap w:val="0"/>
        <w:spacing w:line="480" w:lineRule="exact"/>
        <w:ind w:right="-92" w:rightChars="-44" w:firstLine="480" w:firstLineChars="200"/>
        <w:jc w:val="left"/>
        <w:rPr>
          <w:highlight w:val="none"/>
        </w:rPr>
      </w:pPr>
      <w:r>
        <w:rPr>
          <w:rFonts w:hint="eastAsia" w:ascii="宋体" w:hAnsi="宋体" w:cs="宋体"/>
          <w:color w:val="333333"/>
          <w:kern w:val="0"/>
          <w:sz w:val="24"/>
          <w:highlight w:val="none"/>
        </w:rPr>
        <w:t>7、采购预算：</w:t>
      </w:r>
      <w:r>
        <w:rPr>
          <w:rFonts w:hint="eastAsia" w:ascii="宋体" w:hAnsi="宋体" w:cs="宋体"/>
          <w:color w:val="333333"/>
          <w:kern w:val="0"/>
          <w:sz w:val="24"/>
          <w:highlight w:val="none"/>
          <w:lang w:val="en-US" w:eastAsia="zh-CN"/>
        </w:rPr>
        <w:t>1010000.00</w:t>
      </w:r>
      <w:r>
        <w:rPr>
          <w:rFonts w:hint="eastAsia" w:ascii="宋体" w:hAnsi="宋体" w:cs="宋体"/>
          <w:color w:val="333333"/>
          <w:kern w:val="0"/>
          <w:sz w:val="24"/>
          <w:highlight w:val="none"/>
        </w:rPr>
        <w:t>元</w:t>
      </w:r>
    </w:p>
    <w:p w14:paraId="400BFD1A">
      <w:pPr>
        <w:wordWrap w:val="0"/>
        <w:spacing w:line="480" w:lineRule="exact"/>
        <w:ind w:right="-92" w:rightChars="-44" w:firstLine="480" w:firstLineChars="200"/>
        <w:jc w:val="left"/>
        <w:rPr>
          <w:highlight w:val="none"/>
        </w:rPr>
      </w:pPr>
      <w:r>
        <w:rPr>
          <w:rFonts w:hint="eastAsia" w:ascii="宋体" w:hAnsi="宋体" w:cs="宋体"/>
          <w:color w:val="333333"/>
          <w:kern w:val="0"/>
          <w:sz w:val="24"/>
          <w:highlight w:val="none"/>
        </w:rPr>
        <w:t>8、资金来源：财政资金</w:t>
      </w:r>
    </w:p>
    <w:p w14:paraId="52E21749">
      <w:pPr>
        <w:wordWrap w:val="0"/>
        <w:spacing w:line="480" w:lineRule="exact"/>
        <w:ind w:right="-92" w:rightChars="-44" w:firstLine="480" w:firstLineChars="200"/>
        <w:jc w:val="left"/>
        <w:rPr>
          <w:highlight w:val="none"/>
        </w:rPr>
      </w:pPr>
      <w:r>
        <w:rPr>
          <w:rFonts w:hint="eastAsia" w:ascii="宋体" w:hAnsi="宋体" w:cs="宋体"/>
          <w:color w:val="333333"/>
          <w:kern w:val="0"/>
          <w:sz w:val="24"/>
          <w:highlight w:val="none"/>
        </w:rPr>
        <w:t>9、标段划分：本项目共分为一个标段</w:t>
      </w:r>
    </w:p>
    <w:p w14:paraId="3BAB8A9F">
      <w:pPr>
        <w:wordWrap w:val="0"/>
        <w:spacing w:line="480" w:lineRule="exact"/>
        <w:ind w:right="-92" w:rightChars="-44" w:firstLine="480" w:firstLineChars="200"/>
        <w:jc w:val="left"/>
        <w:rPr>
          <w:highlight w:val="none"/>
        </w:rPr>
      </w:pPr>
      <w:r>
        <w:rPr>
          <w:rFonts w:hint="eastAsia" w:ascii="宋体" w:hAnsi="宋体" w:cs="宋体"/>
          <w:color w:val="333333"/>
          <w:kern w:val="0"/>
          <w:sz w:val="24"/>
          <w:highlight w:val="none"/>
        </w:rPr>
        <w:t>10、落实政府采购政策满足的资格要求：促进中小企业和监狱企业发展扶持政策、政府强制采购节能产品及环境标志产品优先采购。</w:t>
      </w:r>
    </w:p>
    <w:p w14:paraId="7866BE8A">
      <w:pPr>
        <w:wordWrap w:val="0"/>
        <w:spacing w:line="480" w:lineRule="exact"/>
        <w:ind w:firstLine="482" w:firstLineChars="200"/>
        <w:jc w:val="left"/>
        <w:outlineLvl w:val="1"/>
        <w:rPr>
          <w:highlight w:val="none"/>
        </w:rPr>
      </w:pPr>
      <w:r>
        <w:rPr>
          <w:rFonts w:hint="eastAsia" w:ascii="宋体" w:hAnsi="宋体" w:cs="宋体"/>
          <w:b/>
          <w:color w:val="333333"/>
          <w:kern w:val="0"/>
          <w:sz w:val="24"/>
          <w:highlight w:val="none"/>
        </w:rPr>
        <w:t>三、投标人资格要求 </w:t>
      </w:r>
    </w:p>
    <w:p w14:paraId="65C46B6A">
      <w:pPr>
        <w:wordWrap w:val="0"/>
        <w:spacing w:line="480" w:lineRule="exact"/>
        <w:ind w:firstLine="480" w:firstLineChars="200"/>
        <w:jc w:val="left"/>
        <w:rPr>
          <w:highlight w:val="none"/>
        </w:rPr>
      </w:pPr>
      <w:r>
        <w:rPr>
          <w:rFonts w:hint="eastAsia" w:ascii="宋体" w:hAnsi="宋体" w:cs="宋体"/>
          <w:color w:val="333333"/>
          <w:kern w:val="0"/>
          <w:sz w:val="24"/>
          <w:highlight w:val="none"/>
        </w:rPr>
        <w:t>1、符合并响应《中华人民共和国政府采购法》的第二十二条的规定；</w:t>
      </w:r>
    </w:p>
    <w:p w14:paraId="6EA25A37">
      <w:pPr>
        <w:wordWrap w:val="0"/>
        <w:spacing w:line="480" w:lineRule="exact"/>
        <w:ind w:firstLine="480" w:firstLineChars="200"/>
        <w:jc w:val="left"/>
        <w:rPr>
          <w:highlight w:val="none"/>
        </w:rPr>
      </w:pPr>
      <w:r>
        <w:rPr>
          <w:rFonts w:hint="eastAsia" w:ascii="宋体" w:hAnsi="宋体" w:cs="宋体"/>
          <w:color w:val="333333"/>
          <w:kern w:val="0"/>
          <w:sz w:val="24"/>
          <w:highlight w:val="none"/>
        </w:rPr>
        <w:t>（1）具有独立承担民事责任能力；</w:t>
      </w:r>
    </w:p>
    <w:p w14:paraId="3C3477E6">
      <w:pPr>
        <w:wordWrap w:val="0"/>
        <w:spacing w:line="480" w:lineRule="exact"/>
        <w:ind w:firstLine="480" w:firstLineChars="200"/>
        <w:jc w:val="left"/>
        <w:rPr>
          <w:highlight w:val="none"/>
        </w:rPr>
      </w:pPr>
      <w:r>
        <w:rPr>
          <w:rFonts w:hint="eastAsia" w:ascii="宋体" w:hAnsi="宋体" w:cs="宋体"/>
          <w:color w:val="333333"/>
          <w:kern w:val="0"/>
          <w:sz w:val="24"/>
          <w:highlight w:val="none"/>
        </w:rPr>
        <w:t>（2）具有良好的商业信誉和健全的财务会计制度；</w:t>
      </w:r>
    </w:p>
    <w:p w14:paraId="02AA4CC2">
      <w:pPr>
        <w:wordWrap w:val="0"/>
        <w:spacing w:line="480" w:lineRule="exact"/>
        <w:ind w:firstLine="480" w:firstLineChars="200"/>
        <w:jc w:val="left"/>
        <w:rPr>
          <w:highlight w:val="none"/>
        </w:rPr>
      </w:pPr>
      <w:r>
        <w:rPr>
          <w:rFonts w:hint="eastAsia" w:ascii="宋体" w:hAnsi="宋体" w:cs="宋体"/>
          <w:color w:val="333333"/>
          <w:kern w:val="0"/>
          <w:sz w:val="24"/>
          <w:highlight w:val="none"/>
        </w:rPr>
        <w:t>（3）具有履行合同所必需的设备和专业技术能力；</w:t>
      </w:r>
    </w:p>
    <w:p w14:paraId="632E6C43">
      <w:pPr>
        <w:wordWrap w:val="0"/>
        <w:spacing w:line="480" w:lineRule="exact"/>
        <w:ind w:firstLine="480" w:firstLineChars="200"/>
        <w:jc w:val="left"/>
        <w:rPr>
          <w:highlight w:val="none"/>
        </w:rPr>
      </w:pPr>
      <w:r>
        <w:rPr>
          <w:rFonts w:hint="eastAsia" w:ascii="宋体" w:hAnsi="宋体" w:cs="宋体"/>
          <w:color w:val="333333"/>
          <w:kern w:val="0"/>
          <w:sz w:val="24"/>
          <w:highlight w:val="none"/>
        </w:rPr>
        <w:t>（4）有依法缴纳税收和社会保障资金的良好记录；</w:t>
      </w:r>
    </w:p>
    <w:p w14:paraId="2438BD4B">
      <w:pPr>
        <w:wordWrap w:val="0"/>
        <w:spacing w:line="480" w:lineRule="exact"/>
        <w:ind w:firstLine="480" w:firstLineChars="200"/>
        <w:jc w:val="left"/>
        <w:rPr>
          <w:rFonts w:ascii="宋体" w:hAnsi="宋体" w:cs="宋体"/>
          <w:color w:val="333333"/>
          <w:kern w:val="0"/>
          <w:sz w:val="24"/>
          <w:highlight w:val="none"/>
        </w:rPr>
      </w:pPr>
      <w:r>
        <w:rPr>
          <w:rFonts w:hint="eastAsia" w:ascii="宋体" w:hAnsi="宋体" w:cs="宋体"/>
          <w:color w:val="333333"/>
          <w:kern w:val="0"/>
          <w:sz w:val="24"/>
          <w:highlight w:val="none"/>
        </w:rPr>
        <w:t>（5）参加政府采购活动前三年内，在经营活动中没有重大违法记录；</w:t>
      </w:r>
    </w:p>
    <w:p w14:paraId="720E5BE6">
      <w:pPr>
        <w:wordWrap w:val="0"/>
        <w:spacing w:line="480" w:lineRule="exact"/>
        <w:ind w:firstLine="480" w:firstLineChars="200"/>
        <w:jc w:val="left"/>
        <w:rPr>
          <w:highlight w:val="none"/>
        </w:rPr>
      </w:pPr>
      <w:r>
        <w:rPr>
          <w:rFonts w:hint="eastAsia" w:ascii="宋体" w:hAnsi="宋体" w:cs="宋体"/>
          <w:color w:val="333333"/>
          <w:kern w:val="0"/>
          <w:sz w:val="24"/>
          <w:highlight w:val="none"/>
        </w:rPr>
        <w:t>2、供应商具有独立法人资格，具有合法有效的营业执照、税务登记证、组织机构代码证（三证合一的仅提供营业执照、事业单位需提供事业单位法人证书）；</w:t>
      </w:r>
    </w:p>
    <w:p w14:paraId="693FF608">
      <w:pPr>
        <w:wordWrap w:val="0"/>
        <w:spacing w:line="480" w:lineRule="exact"/>
        <w:ind w:firstLine="480" w:firstLineChars="200"/>
        <w:jc w:val="left"/>
        <w:rPr>
          <w:rFonts w:hint="eastAsia" w:ascii="宋体" w:hAnsi="宋体" w:cs="宋体"/>
          <w:color w:val="333333"/>
          <w:kern w:val="0"/>
          <w:sz w:val="24"/>
          <w:highlight w:val="none"/>
        </w:rPr>
      </w:pPr>
      <w:r>
        <w:rPr>
          <w:rFonts w:hint="eastAsia" w:ascii="宋体" w:hAnsi="宋体" w:cs="宋体"/>
          <w:color w:val="333333"/>
          <w:kern w:val="0"/>
          <w:sz w:val="24"/>
          <w:highlight w:val="none"/>
        </w:rPr>
        <w:t>3、供应商须具备土地规划乙级及以上资质证书（如因国家机构改革或发证单位原因而暂停审批资质证书，对已到期的土地规划资质企业须提供相关证明材料或原发证单位提供的延期通知或声明），拟派项目负责人须具有中级及以上职称，且为本单位人员（提供职称证原件扫描件及</w:t>
      </w:r>
      <w:r>
        <w:rPr>
          <w:rFonts w:hint="eastAsia" w:ascii="宋体" w:hAnsi="宋体" w:cs="宋体"/>
          <w:color w:val="333333"/>
          <w:kern w:val="0"/>
          <w:sz w:val="24"/>
          <w:highlight w:val="none"/>
          <w:lang w:val="en-US" w:eastAsia="zh-CN"/>
        </w:rPr>
        <w:t>2024年任意一个月</w:t>
      </w:r>
      <w:r>
        <w:rPr>
          <w:rFonts w:hint="eastAsia" w:ascii="宋体" w:hAnsi="宋体" w:cs="宋体"/>
          <w:color w:val="333333"/>
          <w:kern w:val="0"/>
          <w:sz w:val="24"/>
          <w:highlight w:val="none"/>
        </w:rPr>
        <w:t>社保缴纳证明）；</w:t>
      </w:r>
    </w:p>
    <w:p w14:paraId="0BD6FCC5">
      <w:pPr>
        <w:wordWrap w:val="0"/>
        <w:spacing w:line="480" w:lineRule="exact"/>
        <w:ind w:firstLine="480" w:firstLineChars="200"/>
        <w:jc w:val="left"/>
        <w:rPr>
          <w:highlight w:val="none"/>
        </w:rPr>
      </w:pPr>
      <w:r>
        <w:rPr>
          <w:rFonts w:hint="eastAsia" w:ascii="宋体" w:hAnsi="宋体" w:cs="宋体"/>
          <w:color w:val="333333"/>
          <w:kern w:val="0"/>
          <w:sz w:val="24"/>
          <w:highlight w:val="none"/>
        </w:rPr>
        <w:t>4、根据《关于在政府采购活动中查询及使用信用记录有关问题的通知》(财库[2016]125号)的规定，对列入失信被执行人、重大税收违法失信主体【查询渠道：“信用中国”网站（www.creditchina.gov.cn）】、政府采购严重违法失信行为记录名单【查询渠道：中国政府采购网（www.ccgp.gov.cn）】的供应商，拒绝参与本项目政府采购活动；（查询时间自公告发布之日起，开标时间前截止）；</w:t>
      </w:r>
    </w:p>
    <w:p w14:paraId="09D7FEF3">
      <w:pPr>
        <w:wordWrap w:val="0"/>
        <w:spacing w:line="480" w:lineRule="exact"/>
        <w:ind w:firstLine="480" w:firstLineChars="200"/>
        <w:jc w:val="left"/>
        <w:rPr>
          <w:highlight w:val="none"/>
        </w:rPr>
      </w:pPr>
      <w:r>
        <w:rPr>
          <w:rFonts w:hint="eastAsia" w:ascii="宋体" w:hAnsi="宋体" w:cs="宋体"/>
          <w:color w:val="333333"/>
          <w:kern w:val="0"/>
          <w:sz w:val="24"/>
          <w:highlight w:val="none"/>
        </w:rPr>
        <w:t>5、参加政府采购活动近3年内无商业贿赂、不正当竞争行为、骗取中标、严重违约及重大质量等问题并出具承诺书；</w:t>
      </w:r>
    </w:p>
    <w:p w14:paraId="72D39A87">
      <w:pPr>
        <w:wordWrap w:val="0"/>
        <w:spacing w:line="480" w:lineRule="exact"/>
        <w:ind w:firstLine="480" w:firstLineChars="200"/>
        <w:jc w:val="left"/>
        <w:rPr>
          <w:rFonts w:hint="eastAsia" w:ascii="宋体" w:hAnsi="宋体" w:cs="宋体"/>
          <w:color w:val="333333"/>
          <w:kern w:val="0"/>
          <w:sz w:val="24"/>
          <w:highlight w:val="none"/>
        </w:rPr>
      </w:pPr>
      <w:r>
        <w:rPr>
          <w:rFonts w:hint="eastAsia" w:ascii="宋体" w:hAnsi="宋体" w:cs="宋体"/>
          <w:color w:val="333333"/>
          <w:kern w:val="0"/>
          <w:sz w:val="24"/>
          <w:highlight w:val="none"/>
        </w:rPr>
        <w:t>6、企业出具无行贿犯罪记录在中国裁判文书网自行查询或自行承诺（查询对象为企业、法定代表人）；</w:t>
      </w:r>
    </w:p>
    <w:p w14:paraId="03DB0062">
      <w:pPr>
        <w:wordWrap w:val="0"/>
        <w:spacing w:line="480" w:lineRule="exact"/>
        <w:ind w:firstLine="480" w:firstLineChars="200"/>
        <w:jc w:val="left"/>
        <w:rPr>
          <w:rFonts w:hint="eastAsia" w:ascii="宋体" w:hAnsi="宋体" w:cs="宋体"/>
          <w:color w:val="333333"/>
          <w:kern w:val="0"/>
          <w:sz w:val="24"/>
          <w:highlight w:val="none"/>
        </w:rPr>
      </w:pPr>
      <w:r>
        <w:rPr>
          <w:rFonts w:hint="eastAsia" w:ascii="宋体" w:hAnsi="宋体" w:cs="宋体"/>
          <w:color w:val="333333"/>
          <w:kern w:val="0"/>
          <w:sz w:val="24"/>
          <w:highlight w:val="none"/>
          <w:lang w:val="en-US" w:eastAsia="zh-CN"/>
        </w:rPr>
        <w:t>7、</w:t>
      </w:r>
      <w:r>
        <w:rPr>
          <w:rFonts w:hint="eastAsia" w:ascii="宋体" w:hAnsi="宋体" w:cs="宋体"/>
          <w:color w:val="333333"/>
          <w:kern w:val="0"/>
          <w:sz w:val="24"/>
          <w:highlight w:val="none"/>
        </w:rPr>
        <w:t>单位负责人为同一人或者存在直接控股、管理关系的不同供应商，不得参加同一合同项下的政府采购活动【提供“国家企业信用信息公示系统”中查询打印的相关材料（需包含公司基础信息、股东及出资信息)</w:t>
      </w:r>
      <w:r>
        <w:rPr>
          <w:rFonts w:hint="eastAsia" w:ascii="宋体" w:hAnsi="宋体" w:cs="宋体"/>
          <w:color w:val="333333"/>
          <w:kern w:val="0"/>
          <w:sz w:val="24"/>
          <w:highlight w:val="none"/>
          <w:lang w:eastAsia="zh-CN"/>
        </w:rPr>
        <w:t>，</w:t>
      </w:r>
      <w:r>
        <w:rPr>
          <w:rFonts w:hint="eastAsia" w:ascii="宋体" w:hAnsi="宋体" w:cs="宋体"/>
          <w:color w:val="333333"/>
          <w:kern w:val="0"/>
          <w:sz w:val="24"/>
          <w:highlight w:val="none"/>
        </w:rPr>
        <w:t>事业单位需出具承诺书】。</w:t>
      </w:r>
    </w:p>
    <w:p w14:paraId="4178F8C3">
      <w:pPr>
        <w:wordWrap w:val="0"/>
        <w:spacing w:line="480" w:lineRule="exact"/>
        <w:ind w:firstLine="480" w:firstLineChars="200"/>
        <w:jc w:val="left"/>
        <w:rPr>
          <w:highlight w:val="none"/>
        </w:rPr>
      </w:pPr>
      <w:r>
        <w:rPr>
          <w:rFonts w:hint="eastAsia" w:ascii="宋体" w:hAnsi="宋体" w:cs="宋体"/>
          <w:color w:val="333333"/>
          <w:kern w:val="0"/>
          <w:sz w:val="24"/>
          <w:highlight w:val="none"/>
          <w:lang w:val="en-US" w:eastAsia="zh-CN"/>
        </w:rPr>
        <w:t>8</w:t>
      </w:r>
      <w:r>
        <w:rPr>
          <w:rFonts w:hint="eastAsia" w:ascii="宋体" w:hAnsi="宋体" w:cs="宋体"/>
          <w:color w:val="333333"/>
          <w:kern w:val="0"/>
          <w:sz w:val="24"/>
          <w:highlight w:val="none"/>
        </w:rPr>
        <w:t xml:space="preserve">、本次招标不接受联合体投标； </w:t>
      </w:r>
    </w:p>
    <w:p w14:paraId="1529C67E">
      <w:pPr>
        <w:wordWrap w:val="0"/>
        <w:spacing w:line="480" w:lineRule="exact"/>
        <w:ind w:firstLine="480" w:firstLineChars="200"/>
        <w:jc w:val="left"/>
        <w:rPr>
          <w:highlight w:val="none"/>
        </w:rPr>
      </w:pPr>
      <w:r>
        <w:rPr>
          <w:rFonts w:hint="eastAsia" w:ascii="宋体" w:hAnsi="宋体" w:cs="宋体"/>
          <w:color w:val="333333"/>
          <w:kern w:val="0"/>
          <w:sz w:val="24"/>
          <w:highlight w:val="none"/>
          <w:lang w:val="en-US" w:eastAsia="zh-CN"/>
        </w:rPr>
        <w:t>9</w:t>
      </w:r>
      <w:r>
        <w:rPr>
          <w:rFonts w:hint="eastAsia" w:ascii="宋体" w:hAnsi="宋体" w:cs="宋体"/>
          <w:color w:val="333333"/>
          <w:kern w:val="0"/>
          <w:sz w:val="24"/>
          <w:highlight w:val="none"/>
        </w:rPr>
        <w:t>、本次招标实行资格后审，资格审查的具体要求见磋商文件。</w:t>
      </w:r>
    </w:p>
    <w:p w14:paraId="15EA1E50">
      <w:pPr>
        <w:wordWrap w:val="0"/>
        <w:spacing w:line="480" w:lineRule="exact"/>
        <w:ind w:firstLine="482" w:firstLineChars="200"/>
        <w:jc w:val="left"/>
        <w:outlineLvl w:val="1"/>
        <w:rPr>
          <w:highlight w:val="none"/>
        </w:rPr>
      </w:pPr>
      <w:r>
        <w:rPr>
          <w:rFonts w:hint="eastAsia" w:ascii="宋体" w:hAnsi="宋体" w:cs="宋体"/>
          <w:b/>
          <w:color w:val="333333"/>
          <w:kern w:val="0"/>
          <w:sz w:val="24"/>
          <w:highlight w:val="none"/>
        </w:rPr>
        <w:t>四、磋商文件获取方式</w:t>
      </w:r>
    </w:p>
    <w:p w14:paraId="38C99D76">
      <w:pPr>
        <w:wordWrap w:val="0"/>
        <w:spacing w:line="480" w:lineRule="exact"/>
        <w:ind w:right="-92" w:rightChars="-44" w:firstLine="480" w:firstLineChars="200"/>
        <w:jc w:val="left"/>
        <w:rPr>
          <w:rFonts w:ascii="宋体" w:hAnsi="宋体" w:cs="宋体"/>
          <w:color w:val="333333"/>
          <w:kern w:val="0"/>
          <w:sz w:val="24"/>
        </w:rPr>
      </w:pPr>
      <w:r>
        <w:rPr>
          <w:rFonts w:hint="eastAsia" w:ascii="宋体" w:hAnsi="宋体" w:cs="宋体"/>
          <w:color w:val="333333"/>
          <w:kern w:val="0"/>
          <w:sz w:val="24"/>
          <w:highlight w:val="none"/>
        </w:rPr>
        <w:t>1、磋商文件获取方式：本项目没有报名环节，投标人凭CA数字证</w:t>
      </w:r>
      <w:r>
        <w:rPr>
          <w:rFonts w:hint="eastAsia" w:ascii="宋体" w:hAnsi="宋体" w:cs="宋体"/>
          <w:color w:val="333333"/>
          <w:kern w:val="0"/>
          <w:sz w:val="24"/>
        </w:rPr>
        <w:t>书通过三门峡市公共资源交易中心网（网址：</w:t>
      </w:r>
      <w:r>
        <w:rPr>
          <w:rFonts w:hint="eastAsia" w:ascii="宋体" w:hAnsi="宋体" w:eastAsia="宋体" w:cs="宋体"/>
          <w:sz w:val="24"/>
          <w:szCs w:val="24"/>
        </w:rPr>
        <w:t>http://gzjy.smx.gov.cn/</w:t>
      </w:r>
      <w:r>
        <w:rPr>
          <w:rFonts w:hint="eastAsia" w:ascii="宋体" w:hAnsi="宋体" w:cs="宋体"/>
          <w:color w:val="333333"/>
          <w:kern w:val="0"/>
          <w:sz w:val="24"/>
        </w:rPr>
        <w:t>），点击交易平台选择“市场主体登录”，在所参与项目右侧点击参与投标，即可直接下载本项目招标文件。办理CA证书：http://gzjy.smx.gov.cn/fwzn/004003/20201019/a8fae6a0-baed-499b-bb50-8ecc8828a2ca.html</w:t>
      </w:r>
    </w:p>
    <w:p w14:paraId="4E42DF63">
      <w:pPr>
        <w:wordWrap w:val="0"/>
        <w:spacing w:line="480" w:lineRule="exact"/>
        <w:ind w:right="-92" w:rightChars="-44" w:firstLine="480" w:firstLineChars="200"/>
        <w:jc w:val="left"/>
        <w:rPr>
          <w:rFonts w:ascii="宋体" w:hAnsi="宋体" w:cs="宋体"/>
          <w:color w:val="333333"/>
          <w:kern w:val="0"/>
          <w:sz w:val="24"/>
        </w:rPr>
      </w:pPr>
      <w:r>
        <w:rPr>
          <w:rFonts w:hint="eastAsia" w:ascii="宋体" w:hAnsi="宋体" w:cs="宋体"/>
          <w:color w:val="333333"/>
          <w:kern w:val="0"/>
          <w:sz w:val="24"/>
        </w:rPr>
        <w:t>2、磋商文件下载时间：202</w:t>
      </w:r>
      <w:r>
        <w:rPr>
          <w:rFonts w:hint="eastAsia" w:ascii="宋体" w:hAnsi="宋体" w:cs="宋体"/>
          <w:color w:val="333333"/>
          <w:kern w:val="0"/>
          <w:sz w:val="24"/>
          <w:lang w:val="en-US" w:eastAsia="zh-CN"/>
        </w:rPr>
        <w:t>5</w:t>
      </w:r>
      <w:r>
        <w:rPr>
          <w:rFonts w:hint="eastAsia" w:ascii="宋体" w:hAnsi="宋体" w:cs="宋体"/>
          <w:color w:val="333333"/>
          <w:kern w:val="0"/>
          <w:sz w:val="24"/>
        </w:rPr>
        <w:t>年</w:t>
      </w:r>
      <w:r>
        <w:rPr>
          <w:rFonts w:hint="eastAsia" w:ascii="宋体" w:hAnsi="宋体" w:cs="宋体"/>
          <w:color w:val="333333"/>
          <w:kern w:val="0"/>
          <w:sz w:val="24"/>
          <w:lang w:val="en-US" w:eastAsia="zh-CN"/>
        </w:rPr>
        <w:t>02</w:t>
      </w:r>
      <w:r>
        <w:rPr>
          <w:rFonts w:hint="eastAsia" w:ascii="宋体" w:hAnsi="宋体" w:cs="宋体"/>
          <w:color w:val="333333"/>
          <w:kern w:val="0"/>
          <w:sz w:val="24"/>
        </w:rPr>
        <w:t>月</w:t>
      </w:r>
      <w:r>
        <w:rPr>
          <w:rFonts w:hint="eastAsia" w:ascii="宋体" w:hAnsi="宋体" w:cs="宋体"/>
          <w:color w:val="333333"/>
          <w:kern w:val="0"/>
          <w:sz w:val="24"/>
          <w:lang w:val="en-US" w:eastAsia="zh-CN"/>
        </w:rPr>
        <w:t>19</w:t>
      </w:r>
      <w:r>
        <w:rPr>
          <w:rFonts w:hint="eastAsia" w:ascii="宋体" w:hAnsi="宋体" w:cs="宋体"/>
          <w:color w:val="333333"/>
          <w:kern w:val="0"/>
          <w:sz w:val="24"/>
        </w:rPr>
        <w:t>日至202</w:t>
      </w:r>
      <w:r>
        <w:rPr>
          <w:rFonts w:hint="eastAsia" w:ascii="宋体" w:hAnsi="宋体" w:cs="宋体"/>
          <w:color w:val="333333"/>
          <w:kern w:val="0"/>
          <w:sz w:val="24"/>
          <w:lang w:val="en-US" w:eastAsia="zh-CN"/>
        </w:rPr>
        <w:t>5</w:t>
      </w:r>
      <w:r>
        <w:rPr>
          <w:rFonts w:hint="eastAsia" w:ascii="宋体" w:hAnsi="宋体" w:cs="宋体"/>
          <w:color w:val="333333"/>
          <w:kern w:val="0"/>
          <w:sz w:val="24"/>
        </w:rPr>
        <w:t>年</w:t>
      </w:r>
      <w:r>
        <w:rPr>
          <w:rFonts w:hint="eastAsia" w:ascii="宋体" w:hAnsi="宋体" w:cs="宋体"/>
          <w:color w:val="333333"/>
          <w:kern w:val="0"/>
          <w:sz w:val="24"/>
          <w:lang w:val="en-US" w:eastAsia="zh-CN"/>
        </w:rPr>
        <w:t>3</w:t>
      </w:r>
      <w:r>
        <w:rPr>
          <w:rFonts w:hint="eastAsia" w:ascii="宋体" w:hAnsi="宋体" w:cs="宋体"/>
          <w:color w:val="333333"/>
          <w:kern w:val="0"/>
          <w:sz w:val="24"/>
        </w:rPr>
        <w:t>月</w:t>
      </w:r>
      <w:r>
        <w:rPr>
          <w:rFonts w:hint="eastAsia" w:ascii="宋体" w:hAnsi="宋体" w:cs="宋体"/>
          <w:color w:val="333333"/>
          <w:kern w:val="0"/>
          <w:sz w:val="24"/>
          <w:lang w:val="en-US" w:eastAsia="zh-CN"/>
        </w:rPr>
        <w:t>4</w:t>
      </w:r>
      <w:r>
        <w:rPr>
          <w:rFonts w:hint="eastAsia" w:ascii="宋体" w:hAnsi="宋体" w:cs="宋体"/>
          <w:color w:val="333333"/>
          <w:kern w:val="0"/>
          <w:sz w:val="24"/>
        </w:rPr>
        <w:t>日08 时</w:t>
      </w:r>
      <w:r>
        <w:rPr>
          <w:rFonts w:hint="eastAsia" w:ascii="宋体" w:hAnsi="宋体" w:cs="宋体"/>
          <w:color w:val="333333"/>
          <w:kern w:val="0"/>
          <w:sz w:val="24"/>
          <w:lang w:val="en-US" w:eastAsia="zh-CN"/>
        </w:rPr>
        <w:t>4</w:t>
      </w:r>
      <w:r>
        <w:rPr>
          <w:rFonts w:hint="eastAsia" w:ascii="宋体" w:hAnsi="宋体" w:cs="宋体"/>
          <w:color w:val="333333"/>
          <w:kern w:val="0"/>
          <w:sz w:val="24"/>
        </w:rPr>
        <w:t>0分。</w:t>
      </w:r>
    </w:p>
    <w:p w14:paraId="446FF4E5">
      <w:pPr>
        <w:wordWrap w:val="0"/>
        <w:spacing w:line="480" w:lineRule="exact"/>
        <w:ind w:right="-92" w:rightChars="-44" w:firstLine="480" w:firstLineChars="200"/>
        <w:jc w:val="left"/>
        <w:rPr>
          <w:rFonts w:ascii="宋体" w:hAnsi="宋体" w:cs="宋体"/>
          <w:color w:val="333333"/>
          <w:kern w:val="0"/>
          <w:sz w:val="24"/>
        </w:rPr>
      </w:pPr>
      <w:r>
        <w:rPr>
          <w:rFonts w:hint="eastAsia" w:ascii="宋体" w:hAnsi="宋体" w:cs="宋体"/>
          <w:color w:val="333333"/>
          <w:kern w:val="0"/>
          <w:sz w:val="24"/>
        </w:rPr>
        <w:t>注：开标当日，投标人无需到开标现场参加开标会议，投标人应当在投标截止时间前，登陆不见面开标大厅选择登陆三门峡市公共资源电子招投标系统进行登陆（网</w:t>
      </w:r>
      <w:r>
        <w:rPr>
          <w:rFonts w:hint="eastAsia" w:ascii="宋体" w:hAnsi="宋体" w:cs="宋体"/>
          <w:color w:val="333333"/>
          <w:spacing w:val="-2"/>
          <w:shd w:val="clear" w:color="auto" w:fill="FFFFFF"/>
        </w:rPr>
        <w:t>址为</w:t>
      </w:r>
      <w:r>
        <w:rPr>
          <w:rFonts w:hint="eastAsia" w:ascii="宋体" w:hAnsi="宋体" w:eastAsia="宋体" w:cs="宋体"/>
          <w:sz w:val="24"/>
          <w:szCs w:val="24"/>
        </w:rPr>
        <w:t>http://120.194.249.36:10094/BidOpening/bidopeninghallaction/hall/login</w:t>
      </w:r>
      <w:r>
        <w:rPr>
          <w:rFonts w:hint="eastAsia" w:ascii="宋体" w:hAnsi="宋体" w:cs="宋体"/>
          <w:color w:val="333333"/>
          <w:spacing w:val="-2"/>
          <w:shd w:val="clear" w:color="auto" w:fill="FFFFFF"/>
        </w:rPr>
        <w:t>）,在线准时</w:t>
      </w:r>
      <w:r>
        <w:rPr>
          <w:rFonts w:hint="eastAsia" w:ascii="宋体" w:hAnsi="宋体" w:cs="宋体"/>
          <w:color w:val="333333"/>
          <w:kern w:val="0"/>
          <w:sz w:val="24"/>
        </w:rPr>
        <w:t>参加开标活动并进行投标文件解密等。每位投标人的解密时间为开标时间起30分钟内完成。因投标人原因未能解密、解密失败或解密超时的将被拒绝。</w:t>
      </w:r>
    </w:p>
    <w:p w14:paraId="3EC7F1D6">
      <w:pPr>
        <w:wordWrap w:val="0"/>
        <w:spacing w:line="480" w:lineRule="exact"/>
        <w:ind w:right="-92" w:rightChars="-44" w:firstLine="480" w:firstLineChars="200"/>
        <w:jc w:val="left"/>
        <w:rPr>
          <w:rFonts w:ascii="宋体" w:hAnsi="宋体" w:cs="宋体"/>
          <w:color w:val="333333"/>
          <w:kern w:val="0"/>
          <w:sz w:val="24"/>
        </w:rPr>
      </w:pPr>
      <w:r>
        <w:rPr>
          <w:rFonts w:hint="eastAsia" w:ascii="宋体" w:hAnsi="宋体" w:cs="宋体"/>
          <w:color w:val="333333"/>
          <w:kern w:val="0"/>
          <w:sz w:val="24"/>
        </w:rPr>
        <w:t>3、根据《关于进一步加强公共资源交易管理持续优化营商环境的通知》（三公管办〔2020〕2号）文件的要求,磋商文件费用不再收取。</w:t>
      </w:r>
    </w:p>
    <w:p w14:paraId="405894C4">
      <w:pPr>
        <w:wordWrap w:val="0"/>
        <w:spacing w:line="480" w:lineRule="exact"/>
        <w:ind w:right="-92" w:rightChars="-44" w:firstLine="480" w:firstLineChars="200"/>
        <w:jc w:val="left"/>
        <w:rPr>
          <w:rFonts w:ascii="宋体" w:hAnsi="宋体" w:cs="宋体"/>
          <w:color w:val="333333"/>
          <w:kern w:val="0"/>
          <w:sz w:val="24"/>
        </w:rPr>
      </w:pPr>
      <w:r>
        <w:rPr>
          <w:rFonts w:hint="eastAsia" w:ascii="宋体" w:hAnsi="宋体" w:cs="宋体"/>
          <w:color w:val="333333"/>
          <w:kern w:val="0"/>
          <w:sz w:val="24"/>
          <w:lang w:val="en-US" w:eastAsia="zh-CN"/>
        </w:rPr>
        <w:t>4、</w:t>
      </w:r>
      <w:r>
        <w:rPr>
          <w:rFonts w:hint="eastAsia" w:ascii="宋体" w:hAnsi="宋体" w:cs="宋体"/>
          <w:color w:val="333333"/>
          <w:kern w:val="0"/>
          <w:sz w:val="24"/>
        </w:rPr>
        <w:t>本项目实行资格后审，审查内容以投标截止时间前在三门峡市公共资源交易系统上传的投标文件的信息为准。其上传资料真实性由供应商自行承担，否则由此造成应得分而未得分或资格审查不合格等情况的，由投标供应商承担责任。</w:t>
      </w:r>
    </w:p>
    <w:p w14:paraId="338D6731">
      <w:pPr>
        <w:wordWrap w:val="0"/>
        <w:spacing w:line="480" w:lineRule="exact"/>
        <w:ind w:right="-92" w:rightChars="-44" w:firstLine="482" w:firstLineChars="200"/>
        <w:jc w:val="left"/>
        <w:outlineLvl w:val="1"/>
        <w:rPr>
          <w:rFonts w:ascii="宋体" w:hAnsi="宋体" w:cs="宋体"/>
          <w:b/>
          <w:color w:val="333333"/>
          <w:kern w:val="0"/>
          <w:sz w:val="24"/>
        </w:rPr>
      </w:pPr>
      <w:r>
        <w:rPr>
          <w:rFonts w:hint="eastAsia" w:ascii="宋体" w:hAnsi="宋体" w:cs="宋体"/>
          <w:b/>
          <w:color w:val="333333"/>
          <w:kern w:val="0"/>
          <w:sz w:val="24"/>
          <w:lang w:val="en-US" w:eastAsia="zh-CN"/>
        </w:rPr>
        <w:t>五</w:t>
      </w:r>
      <w:r>
        <w:rPr>
          <w:rFonts w:hint="eastAsia" w:ascii="宋体" w:hAnsi="宋体" w:cs="宋体"/>
          <w:b/>
          <w:color w:val="333333"/>
          <w:kern w:val="0"/>
          <w:sz w:val="24"/>
        </w:rPr>
        <w:t>、投标保证金</w:t>
      </w:r>
    </w:p>
    <w:p w14:paraId="728DB00F">
      <w:pPr>
        <w:wordWrap w:val="0"/>
        <w:spacing w:line="480" w:lineRule="exact"/>
        <w:ind w:right="-92" w:rightChars="-44" w:firstLine="480" w:firstLineChars="200"/>
        <w:jc w:val="left"/>
        <w:rPr>
          <w:rFonts w:ascii="宋体" w:hAnsi="宋体" w:cs="宋体"/>
          <w:color w:val="333333"/>
          <w:kern w:val="0"/>
          <w:sz w:val="24"/>
        </w:rPr>
      </w:pPr>
      <w:r>
        <w:rPr>
          <w:rFonts w:hint="eastAsia" w:ascii="宋体" w:hAnsi="宋体" w:cs="宋体"/>
          <w:color w:val="333333"/>
          <w:kern w:val="0"/>
          <w:sz w:val="24"/>
        </w:rPr>
        <w:t>按照《河南省财政厅关于优化政府采购营商环境有关问题的通知》（豫财购[2019]4号文）的要求本项目不再收取投标保证金。</w:t>
      </w:r>
    </w:p>
    <w:p w14:paraId="78CFDD87">
      <w:pPr>
        <w:wordWrap w:val="0"/>
        <w:spacing w:line="480" w:lineRule="exact"/>
        <w:ind w:right="-92" w:rightChars="-44" w:firstLine="482" w:firstLineChars="200"/>
        <w:jc w:val="left"/>
        <w:outlineLvl w:val="1"/>
        <w:rPr>
          <w:rFonts w:ascii="宋体" w:hAnsi="宋体" w:cs="宋体"/>
          <w:b/>
          <w:color w:val="333333"/>
          <w:kern w:val="0"/>
          <w:sz w:val="24"/>
        </w:rPr>
      </w:pPr>
      <w:r>
        <w:rPr>
          <w:rFonts w:hint="eastAsia" w:ascii="宋体" w:hAnsi="宋体" w:cs="宋体"/>
          <w:b/>
          <w:color w:val="333333"/>
          <w:kern w:val="0"/>
          <w:sz w:val="24"/>
          <w:lang w:val="en-US" w:eastAsia="zh-CN"/>
        </w:rPr>
        <w:t>六</w:t>
      </w:r>
      <w:r>
        <w:rPr>
          <w:rFonts w:hint="eastAsia" w:ascii="宋体" w:hAnsi="宋体" w:cs="宋体"/>
          <w:b/>
          <w:color w:val="333333"/>
          <w:kern w:val="0"/>
          <w:sz w:val="24"/>
        </w:rPr>
        <w:t>、开标时间和地点</w:t>
      </w:r>
    </w:p>
    <w:p w14:paraId="5C252C66">
      <w:pPr>
        <w:wordWrap w:val="0"/>
        <w:spacing w:line="480" w:lineRule="exact"/>
        <w:ind w:right="-92" w:rightChars="-44" w:firstLine="480" w:firstLineChars="200"/>
        <w:jc w:val="left"/>
        <w:rPr>
          <w:rFonts w:ascii="宋体" w:hAnsi="宋体" w:cs="宋体"/>
          <w:color w:val="333333"/>
          <w:kern w:val="0"/>
          <w:sz w:val="24"/>
        </w:rPr>
      </w:pPr>
      <w:r>
        <w:rPr>
          <w:rFonts w:hint="eastAsia" w:ascii="宋体" w:hAnsi="宋体" w:cs="宋体"/>
          <w:color w:val="333333"/>
          <w:kern w:val="0"/>
          <w:sz w:val="24"/>
        </w:rPr>
        <w:t>1、磋商响应文件递交截止时间（开标时间）：202</w:t>
      </w:r>
      <w:r>
        <w:rPr>
          <w:rFonts w:hint="eastAsia" w:ascii="宋体" w:hAnsi="宋体" w:cs="宋体"/>
          <w:color w:val="333333"/>
          <w:kern w:val="0"/>
          <w:sz w:val="24"/>
          <w:lang w:val="en-US" w:eastAsia="zh-CN"/>
        </w:rPr>
        <w:t>5</w:t>
      </w:r>
      <w:r>
        <w:rPr>
          <w:rFonts w:hint="eastAsia" w:ascii="宋体" w:hAnsi="宋体" w:cs="宋体"/>
          <w:color w:val="333333"/>
          <w:kern w:val="0"/>
          <w:sz w:val="24"/>
        </w:rPr>
        <w:t>年</w:t>
      </w:r>
      <w:r>
        <w:rPr>
          <w:rFonts w:hint="eastAsia" w:ascii="宋体" w:hAnsi="宋体" w:cs="宋体"/>
          <w:color w:val="333333"/>
          <w:kern w:val="0"/>
          <w:sz w:val="24"/>
          <w:lang w:val="en-US" w:eastAsia="zh-CN"/>
        </w:rPr>
        <w:t>3</w:t>
      </w:r>
      <w:r>
        <w:rPr>
          <w:rFonts w:hint="eastAsia" w:ascii="宋体" w:hAnsi="宋体" w:cs="宋体"/>
          <w:color w:val="333333"/>
          <w:kern w:val="0"/>
          <w:sz w:val="24"/>
        </w:rPr>
        <w:t>月</w:t>
      </w:r>
      <w:r>
        <w:rPr>
          <w:rFonts w:hint="eastAsia" w:ascii="宋体" w:hAnsi="宋体" w:cs="宋体"/>
          <w:color w:val="333333"/>
          <w:kern w:val="0"/>
          <w:sz w:val="24"/>
          <w:lang w:val="en-US" w:eastAsia="zh-CN"/>
        </w:rPr>
        <w:t>4</w:t>
      </w:r>
      <w:r>
        <w:rPr>
          <w:rFonts w:hint="eastAsia" w:ascii="宋体" w:hAnsi="宋体" w:cs="宋体"/>
          <w:color w:val="333333"/>
          <w:kern w:val="0"/>
          <w:sz w:val="24"/>
        </w:rPr>
        <w:t>日08 时</w:t>
      </w:r>
      <w:r>
        <w:rPr>
          <w:rFonts w:hint="eastAsia" w:ascii="宋体" w:hAnsi="宋体" w:cs="宋体"/>
          <w:color w:val="333333"/>
          <w:kern w:val="0"/>
          <w:sz w:val="24"/>
          <w:lang w:val="en-US" w:eastAsia="zh-CN"/>
        </w:rPr>
        <w:t>4</w:t>
      </w:r>
      <w:r>
        <w:rPr>
          <w:rFonts w:hint="eastAsia" w:ascii="宋体" w:hAnsi="宋体" w:cs="宋体"/>
          <w:color w:val="333333"/>
          <w:kern w:val="0"/>
          <w:sz w:val="24"/>
        </w:rPr>
        <w:t>0分（北京时间）</w:t>
      </w:r>
    </w:p>
    <w:p w14:paraId="2CE6F638">
      <w:pPr>
        <w:wordWrap w:val="0"/>
        <w:spacing w:line="480" w:lineRule="exact"/>
        <w:ind w:right="-92" w:rightChars="-44" w:firstLine="480" w:firstLineChars="200"/>
        <w:jc w:val="left"/>
        <w:rPr>
          <w:rFonts w:ascii="宋体" w:hAnsi="宋体" w:cs="宋体"/>
          <w:color w:val="333333"/>
          <w:kern w:val="0"/>
          <w:sz w:val="24"/>
        </w:rPr>
      </w:pPr>
      <w:r>
        <w:rPr>
          <w:rFonts w:hint="eastAsia" w:ascii="宋体" w:hAnsi="宋体" w:cs="宋体"/>
          <w:color w:val="333333"/>
          <w:kern w:val="0"/>
          <w:sz w:val="24"/>
        </w:rPr>
        <w:t>2、开标地点：灵宝市公共资源交易中心开标</w:t>
      </w:r>
      <w:r>
        <w:rPr>
          <w:rFonts w:hint="eastAsia" w:ascii="宋体" w:hAnsi="宋体" w:cs="宋体"/>
          <w:color w:val="333333"/>
          <w:kern w:val="0"/>
          <w:sz w:val="24"/>
          <w:lang w:val="en-US" w:eastAsia="zh-CN"/>
        </w:rPr>
        <w:t>一</w:t>
      </w:r>
      <w:r>
        <w:rPr>
          <w:rFonts w:hint="eastAsia" w:ascii="宋体" w:hAnsi="宋体" w:cs="宋体"/>
          <w:color w:val="333333"/>
          <w:kern w:val="0"/>
          <w:sz w:val="24"/>
        </w:rPr>
        <w:t>室（灵宝市金城大道信用合作联社12楼）</w:t>
      </w:r>
    </w:p>
    <w:p w14:paraId="4577DACC">
      <w:pPr>
        <w:wordWrap w:val="0"/>
        <w:spacing w:line="480" w:lineRule="exact"/>
        <w:ind w:right="-92" w:rightChars="-44" w:firstLine="482" w:firstLineChars="200"/>
        <w:jc w:val="left"/>
        <w:outlineLvl w:val="1"/>
        <w:rPr>
          <w:rFonts w:ascii="宋体" w:hAnsi="宋体" w:cs="宋体"/>
          <w:b/>
          <w:color w:val="333333"/>
          <w:kern w:val="0"/>
          <w:sz w:val="24"/>
        </w:rPr>
      </w:pPr>
      <w:r>
        <w:rPr>
          <w:rFonts w:hint="eastAsia" w:ascii="宋体" w:hAnsi="宋体" w:cs="宋体"/>
          <w:b/>
          <w:color w:val="333333"/>
          <w:kern w:val="0"/>
          <w:sz w:val="24"/>
          <w:lang w:val="en-US" w:eastAsia="zh-CN"/>
        </w:rPr>
        <w:t>七</w:t>
      </w:r>
      <w:r>
        <w:rPr>
          <w:rFonts w:hint="eastAsia" w:ascii="宋体" w:hAnsi="宋体" w:cs="宋体"/>
          <w:b/>
          <w:color w:val="333333"/>
          <w:kern w:val="0"/>
          <w:sz w:val="24"/>
        </w:rPr>
        <w:t>、发布媒体</w:t>
      </w:r>
    </w:p>
    <w:p w14:paraId="47ABA06B">
      <w:pPr>
        <w:wordWrap w:val="0"/>
        <w:spacing w:line="480" w:lineRule="exact"/>
        <w:ind w:right="-92" w:rightChars="-44" w:firstLine="480" w:firstLineChars="200"/>
        <w:jc w:val="left"/>
        <w:rPr>
          <w:rFonts w:ascii="宋体" w:hAnsi="宋体" w:cs="宋体"/>
          <w:color w:val="333333"/>
          <w:kern w:val="0"/>
          <w:sz w:val="24"/>
        </w:rPr>
      </w:pPr>
      <w:r>
        <w:rPr>
          <w:rFonts w:hint="eastAsia" w:ascii="宋体" w:hAnsi="宋体" w:cs="宋体"/>
          <w:color w:val="333333"/>
          <w:kern w:val="0"/>
          <w:sz w:val="24"/>
        </w:rPr>
        <w:t>本次磋商公告同时在《河南省政府采购网》、《中国</w:t>
      </w:r>
      <w:r>
        <w:rPr>
          <w:rFonts w:hint="eastAsia" w:ascii="宋体" w:hAnsi="宋体" w:cs="宋体"/>
          <w:color w:val="333333"/>
          <w:kern w:val="0"/>
          <w:sz w:val="24"/>
          <w:lang w:val="en-US" w:eastAsia="zh-CN"/>
        </w:rPr>
        <w:t>招标投标公共服务平台</w:t>
      </w:r>
      <w:r>
        <w:rPr>
          <w:rFonts w:hint="eastAsia" w:ascii="宋体" w:hAnsi="宋体" w:cs="宋体"/>
          <w:color w:val="333333"/>
          <w:kern w:val="0"/>
          <w:sz w:val="24"/>
        </w:rPr>
        <w:t>》、《三门峡市公共资源交易中心》上发布。</w:t>
      </w:r>
    </w:p>
    <w:p w14:paraId="6B42A71E">
      <w:pPr>
        <w:wordWrap w:val="0"/>
        <w:spacing w:line="480" w:lineRule="exact"/>
        <w:ind w:right="-92" w:rightChars="-44" w:firstLine="482" w:firstLineChars="200"/>
        <w:jc w:val="left"/>
        <w:outlineLvl w:val="1"/>
        <w:rPr>
          <w:rFonts w:ascii="宋体" w:hAnsi="宋体" w:cs="宋体"/>
          <w:b/>
          <w:color w:val="333333"/>
          <w:kern w:val="0"/>
          <w:sz w:val="24"/>
        </w:rPr>
      </w:pPr>
      <w:r>
        <w:rPr>
          <w:rFonts w:hint="eastAsia" w:ascii="宋体" w:hAnsi="宋体" w:cs="宋体"/>
          <w:b/>
          <w:color w:val="333333"/>
          <w:kern w:val="0"/>
          <w:sz w:val="24"/>
          <w:lang w:val="en-US" w:eastAsia="zh-CN"/>
        </w:rPr>
        <w:t>八</w:t>
      </w:r>
      <w:r>
        <w:rPr>
          <w:rFonts w:hint="eastAsia" w:ascii="宋体" w:hAnsi="宋体" w:cs="宋体"/>
          <w:b/>
          <w:color w:val="333333"/>
          <w:kern w:val="0"/>
          <w:sz w:val="24"/>
        </w:rPr>
        <w:t>、其他</w:t>
      </w:r>
    </w:p>
    <w:p w14:paraId="1335DA2D">
      <w:pPr>
        <w:wordWrap w:val="0"/>
        <w:spacing w:line="480" w:lineRule="exact"/>
        <w:ind w:right="-92" w:rightChars="-44" w:firstLine="480" w:firstLineChars="200"/>
        <w:jc w:val="left"/>
        <w:rPr>
          <w:rFonts w:ascii="宋体" w:hAnsi="宋体" w:cs="宋体"/>
          <w:color w:val="333333"/>
          <w:kern w:val="0"/>
          <w:sz w:val="24"/>
        </w:rPr>
      </w:pPr>
      <w:r>
        <w:rPr>
          <w:rFonts w:hint="eastAsia" w:ascii="宋体" w:hAnsi="宋体" w:cs="宋体"/>
          <w:color w:val="333333"/>
          <w:kern w:val="0"/>
          <w:sz w:val="24"/>
        </w:rPr>
        <w:t>1、投标人应仔细阅读操作手册，在本公告中要求的截止时间前完成网上投标等工作。因投标人操作不当等问题造成的无法下载磋商文件、无法投标等一切后果，由投标人自行承担。</w:t>
      </w:r>
    </w:p>
    <w:p w14:paraId="3AF8E74C">
      <w:pPr>
        <w:wordWrap w:val="0"/>
        <w:spacing w:line="480" w:lineRule="exact"/>
        <w:ind w:right="-92" w:rightChars="-44" w:firstLine="480" w:firstLineChars="200"/>
        <w:jc w:val="left"/>
        <w:rPr>
          <w:rFonts w:ascii="宋体" w:hAnsi="宋体" w:cs="宋体"/>
          <w:color w:val="333333"/>
          <w:kern w:val="0"/>
          <w:sz w:val="24"/>
        </w:rPr>
      </w:pPr>
      <w:r>
        <w:rPr>
          <w:rFonts w:hint="eastAsia" w:ascii="宋体" w:hAnsi="宋体" w:cs="宋体"/>
          <w:color w:val="333333"/>
          <w:kern w:val="0"/>
          <w:sz w:val="24"/>
        </w:rPr>
        <w:t>2、投标人递交的响应文件不论中标与否均不予退还。</w:t>
      </w:r>
    </w:p>
    <w:p w14:paraId="47645B25">
      <w:pPr>
        <w:wordWrap w:val="0"/>
        <w:spacing w:line="480" w:lineRule="exact"/>
        <w:ind w:right="-92" w:rightChars="-44" w:firstLine="480" w:firstLineChars="200"/>
        <w:jc w:val="left"/>
        <w:rPr>
          <w:rFonts w:ascii="宋体" w:hAnsi="宋体" w:cs="宋体"/>
          <w:color w:val="333333"/>
          <w:kern w:val="0"/>
          <w:sz w:val="24"/>
        </w:rPr>
      </w:pPr>
      <w:r>
        <w:rPr>
          <w:rFonts w:hint="eastAsia" w:ascii="宋体" w:hAnsi="宋体" w:cs="宋体"/>
          <w:color w:val="333333"/>
          <w:kern w:val="0"/>
          <w:sz w:val="24"/>
        </w:rPr>
        <w:t>3、招标人不组织投标人踏勘现场。</w:t>
      </w:r>
    </w:p>
    <w:p w14:paraId="4E82A11B">
      <w:pPr>
        <w:wordWrap w:val="0"/>
        <w:spacing w:line="480" w:lineRule="exact"/>
        <w:ind w:right="-92" w:rightChars="-44" w:firstLine="480" w:firstLineChars="200"/>
        <w:jc w:val="left"/>
        <w:rPr>
          <w:rFonts w:ascii="宋体" w:hAnsi="宋体" w:cs="宋体"/>
          <w:color w:val="333333"/>
          <w:kern w:val="0"/>
          <w:sz w:val="24"/>
        </w:rPr>
      </w:pPr>
      <w:r>
        <w:rPr>
          <w:rFonts w:hint="eastAsia" w:ascii="宋体" w:hAnsi="宋体" w:cs="宋体"/>
          <w:color w:val="333333"/>
          <w:kern w:val="0"/>
          <w:sz w:val="24"/>
        </w:rPr>
        <w:t>4、项目所有变更澄清都以网站公布为准，不再另行通知。</w:t>
      </w:r>
    </w:p>
    <w:p w14:paraId="5847411D">
      <w:pPr>
        <w:wordWrap w:val="0"/>
        <w:spacing w:line="480" w:lineRule="exact"/>
        <w:ind w:right="-92" w:rightChars="-44" w:firstLine="480" w:firstLineChars="200"/>
        <w:jc w:val="left"/>
        <w:rPr>
          <w:rFonts w:ascii="宋体" w:hAnsi="宋体" w:cs="宋体"/>
          <w:color w:val="333333"/>
          <w:kern w:val="0"/>
          <w:sz w:val="24"/>
        </w:rPr>
      </w:pPr>
      <w:r>
        <w:rPr>
          <w:rFonts w:hint="eastAsia" w:ascii="宋体" w:hAnsi="宋体" w:cs="宋体"/>
          <w:color w:val="333333"/>
          <w:kern w:val="0"/>
          <w:sz w:val="24"/>
        </w:rPr>
        <w:t>5、本项目资格评审和业绩以投标文件为准，投标人可使用电子营业执照。</w:t>
      </w:r>
    </w:p>
    <w:p w14:paraId="0D78E870">
      <w:pPr>
        <w:wordWrap w:val="0"/>
        <w:spacing w:line="480" w:lineRule="exact"/>
        <w:ind w:right="-92" w:rightChars="-44" w:firstLine="480" w:firstLineChars="200"/>
        <w:jc w:val="left"/>
        <w:rPr>
          <w:rFonts w:ascii="宋体" w:hAnsi="宋体" w:cs="宋体"/>
          <w:color w:val="333333"/>
          <w:kern w:val="0"/>
          <w:sz w:val="24"/>
        </w:rPr>
      </w:pPr>
      <w:r>
        <w:rPr>
          <w:rFonts w:hint="eastAsia" w:ascii="宋体" w:hAnsi="宋体" w:cs="宋体"/>
          <w:color w:val="333333"/>
          <w:kern w:val="0"/>
          <w:sz w:val="24"/>
        </w:rPr>
        <w:t>6、根据优化营商环境的要求，评标时以投标文件为准：</w:t>
      </w:r>
    </w:p>
    <w:p w14:paraId="44E29368">
      <w:pPr>
        <w:wordWrap w:val="0"/>
        <w:spacing w:line="480" w:lineRule="exact"/>
        <w:ind w:right="-92" w:rightChars="-44" w:firstLine="480" w:firstLineChars="200"/>
        <w:jc w:val="left"/>
        <w:rPr>
          <w:rFonts w:ascii="宋体" w:hAnsi="宋体" w:cs="宋体"/>
          <w:color w:val="333333"/>
          <w:kern w:val="0"/>
          <w:sz w:val="24"/>
        </w:rPr>
      </w:pPr>
      <w:r>
        <w:rPr>
          <w:rFonts w:hint="eastAsia" w:ascii="宋体" w:hAnsi="宋体" w:cs="宋体"/>
          <w:color w:val="333333"/>
          <w:kern w:val="0"/>
          <w:sz w:val="24"/>
        </w:rPr>
        <w:t>（1）资格评（预）审部分：资格评（预）</w:t>
      </w:r>
      <w:r>
        <w:rPr>
          <w:rFonts w:hint="eastAsia" w:ascii="宋体" w:hAnsi="宋体" w:cs="宋体"/>
          <w:color w:val="333333"/>
          <w:kern w:val="0"/>
          <w:sz w:val="24"/>
          <w:lang w:val="en-US" w:eastAsia="zh-CN"/>
        </w:rPr>
        <w:t>审</w:t>
      </w:r>
      <w:r>
        <w:rPr>
          <w:rFonts w:hint="eastAsia" w:ascii="宋体" w:hAnsi="宋体" w:cs="宋体"/>
          <w:color w:val="333333"/>
          <w:kern w:val="0"/>
          <w:sz w:val="24"/>
        </w:rPr>
        <w:t>以投标文件为准，其上传资料真实性由投标人自行承担。</w:t>
      </w:r>
    </w:p>
    <w:p w14:paraId="10737DC3">
      <w:pPr>
        <w:wordWrap w:val="0"/>
        <w:spacing w:line="480" w:lineRule="exact"/>
        <w:ind w:right="-92" w:rightChars="-44" w:firstLine="480" w:firstLineChars="200"/>
        <w:jc w:val="left"/>
        <w:rPr>
          <w:rFonts w:ascii="宋体" w:hAnsi="宋体" w:cs="宋体"/>
          <w:color w:val="333333"/>
          <w:kern w:val="0"/>
          <w:sz w:val="24"/>
        </w:rPr>
      </w:pPr>
      <w:r>
        <w:rPr>
          <w:rFonts w:hint="eastAsia" w:ascii="宋体" w:hAnsi="宋体" w:cs="宋体"/>
          <w:color w:val="333333"/>
          <w:kern w:val="0"/>
          <w:sz w:val="24"/>
        </w:rPr>
        <w:t>（2）评标打分部分：评标打分部分仍按照100分制原则进行，涉及到资格审查、企业荣誉、人员业绩、企业业绩等计分部分时，以投标单位自行上传到投标文件中的相应内容为准。</w:t>
      </w:r>
    </w:p>
    <w:p w14:paraId="1EE9D60A">
      <w:pPr>
        <w:wordWrap w:val="0"/>
        <w:spacing w:line="480" w:lineRule="exact"/>
        <w:ind w:right="-92" w:rightChars="-44" w:firstLine="480" w:firstLineChars="200"/>
        <w:jc w:val="left"/>
        <w:rPr>
          <w:rFonts w:ascii="宋体" w:hAnsi="宋体" w:cs="宋体"/>
          <w:color w:val="333333"/>
          <w:kern w:val="0"/>
          <w:sz w:val="24"/>
        </w:rPr>
      </w:pPr>
      <w:r>
        <w:rPr>
          <w:rFonts w:hint="eastAsia" w:ascii="宋体" w:hAnsi="宋体" w:cs="宋体"/>
          <w:color w:val="333333"/>
          <w:kern w:val="0"/>
          <w:sz w:val="24"/>
        </w:rPr>
        <w:t>（3）投标文件编制部分：在招标文件中要求投标人按照投标文件格式进行投标文件编制时，应明确将投标单位企业基本情况、资质情况、人员情况、财务情况、业绩情况编入投标文件，便于进行资格审查及评标打分。</w:t>
      </w:r>
    </w:p>
    <w:p w14:paraId="28B9EFF5">
      <w:pPr>
        <w:wordWrap w:val="0"/>
        <w:spacing w:line="480" w:lineRule="exact"/>
        <w:ind w:right="-92" w:rightChars="-44" w:firstLine="480" w:firstLineChars="200"/>
        <w:jc w:val="left"/>
        <w:rPr>
          <w:rFonts w:ascii="宋体" w:hAnsi="宋体" w:cs="宋体"/>
          <w:color w:val="333333"/>
          <w:kern w:val="0"/>
          <w:sz w:val="24"/>
        </w:rPr>
      </w:pPr>
      <w:r>
        <w:rPr>
          <w:rFonts w:hint="eastAsia" w:ascii="宋体" w:hAnsi="宋体" w:cs="宋体"/>
          <w:color w:val="333333"/>
          <w:kern w:val="0"/>
          <w:sz w:val="24"/>
        </w:rPr>
        <w:t>温馨提示：本项目为电子化、无纸化交易项目，开标时不再接受任何纸质资料，为保证您能投标成功，请需仔细阅读招标文件和三门峡市公共资源交易中心官网业务办理指南。</w:t>
      </w:r>
    </w:p>
    <w:p w14:paraId="49084CFC">
      <w:pPr>
        <w:wordWrap w:val="0"/>
        <w:spacing w:line="480" w:lineRule="exact"/>
        <w:ind w:right="-92" w:rightChars="-44" w:firstLine="482" w:firstLineChars="200"/>
        <w:jc w:val="left"/>
        <w:outlineLvl w:val="1"/>
        <w:rPr>
          <w:rFonts w:ascii="宋体" w:hAnsi="宋体" w:cs="宋体"/>
          <w:b/>
          <w:color w:val="333333"/>
          <w:kern w:val="0"/>
          <w:sz w:val="24"/>
        </w:rPr>
      </w:pPr>
      <w:r>
        <w:rPr>
          <w:rFonts w:hint="eastAsia" w:ascii="宋体" w:hAnsi="宋体" w:cs="宋体"/>
          <w:b/>
          <w:color w:val="333333"/>
          <w:kern w:val="0"/>
          <w:sz w:val="24"/>
          <w:lang w:val="en-US" w:eastAsia="zh-CN"/>
        </w:rPr>
        <w:t>九</w:t>
      </w:r>
      <w:r>
        <w:rPr>
          <w:rFonts w:hint="eastAsia" w:ascii="宋体" w:hAnsi="宋体" w:cs="宋体"/>
          <w:b/>
          <w:color w:val="333333"/>
          <w:kern w:val="0"/>
          <w:sz w:val="24"/>
        </w:rPr>
        <w:t>、联系方式</w:t>
      </w:r>
    </w:p>
    <w:p w14:paraId="458ECDA2">
      <w:pPr>
        <w:wordWrap w:val="0"/>
        <w:spacing w:line="480" w:lineRule="exact"/>
        <w:ind w:right="-92" w:rightChars="-44" w:firstLine="480" w:firstLineChars="200"/>
        <w:jc w:val="left"/>
        <w:rPr>
          <w:rFonts w:ascii="宋体" w:hAnsi="宋体" w:cs="宋体"/>
          <w:color w:val="333333"/>
          <w:kern w:val="0"/>
          <w:sz w:val="24"/>
        </w:rPr>
      </w:pPr>
      <w:r>
        <w:rPr>
          <w:rFonts w:hint="eastAsia" w:ascii="宋体" w:hAnsi="宋体" w:cs="宋体"/>
          <w:color w:val="333333"/>
          <w:kern w:val="0"/>
          <w:sz w:val="24"/>
        </w:rPr>
        <w:t>监督部门：灵宝市自然资源和规划局</w:t>
      </w:r>
    </w:p>
    <w:p w14:paraId="70298C16">
      <w:pPr>
        <w:wordWrap w:val="0"/>
        <w:spacing w:line="480" w:lineRule="exact"/>
        <w:ind w:right="-92" w:rightChars="-44" w:firstLine="480" w:firstLineChars="200"/>
        <w:jc w:val="left"/>
        <w:rPr>
          <w:rFonts w:ascii="宋体" w:hAnsi="宋体" w:cs="宋体"/>
          <w:color w:val="333333"/>
          <w:kern w:val="0"/>
          <w:sz w:val="24"/>
        </w:rPr>
      </w:pPr>
      <w:r>
        <w:rPr>
          <w:rFonts w:hint="eastAsia" w:ascii="宋体" w:hAnsi="宋体" w:cs="宋体"/>
          <w:color w:val="333333"/>
          <w:kern w:val="0"/>
          <w:sz w:val="24"/>
        </w:rPr>
        <w:t>联系电话：0398-8859785</w:t>
      </w:r>
    </w:p>
    <w:p w14:paraId="3EB5A6AE">
      <w:pPr>
        <w:wordWrap w:val="0"/>
        <w:spacing w:line="480" w:lineRule="exact"/>
        <w:ind w:right="-92" w:rightChars="-44" w:firstLine="480" w:firstLineChars="200"/>
        <w:jc w:val="left"/>
        <w:rPr>
          <w:rFonts w:ascii="宋体" w:hAnsi="宋体" w:cs="宋体"/>
          <w:color w:val="333333"/>
          <w:kern w:val="0"/>
          <w:sz w:val="24"/>
        </w:rPr>
      </w:pPr>
      <w:r>
        <w:rPr>
          <w:rFonts w:hint="eastAsia" w:ascii="宋体" w:hAnsi="宋体" w:cs="宋体"/>
          <w:color w:val="333333"/>
          <w:kern w:val="0"/>
          <w:sz w:val="24"/>
        </w:rPr>
        <w:t>监督部门：灵宝市财政局政府采购监督管理科</w:t>
      </w:r>
    </w:p>
    <w:p w14:paraId="1BA62E6D">
      <w:pPr>
        <w:wordWrap w:val="0"/>
        <w:spacing w:line="480" w:lineRule="exact"/>
        <w:ind w:right="-92" w:rightChars="-44" w:firstLine="480" w:firstLineChars="200"/>
        <w:jc w:val="left"/>
        <w:rPr>
          <w:rFonts w:ascii="宋体" w:hAnsi="宋体" w:cs="宋体"/>
          <w:color w:val="333333"/>
          <w:kern w:val="0"/>
          <w:sz w:val="24"/>
        </w:rPr>
      </w:pPr>
      <w:r>
        <w:rPr>
          <w:rFonts w:hint="eastAsia" w:ascii="宋体" w:hAnsi="宋体" w:cs="宋体"/>
          <w:color w:val="333333"/>
          <w:kern w:val="0"/>
          <w:sz w:val="24"/>
        </w:rPr>
        <w:t>联系电话：0398-8866965</w:t>
      </w:r>
    </w:p>
    <w:p w14:paraId="15EA6D5E">
      <w:pPr>
        <w:wordWrap w:val="0"/>
        <w:spacing w:line="480" w:lineRule="exact"/>
        <w:ind w:right="-92" w:rightChars="-44" w:firstLine="480" w:firstLineChars="200"/>
        <w:jc w:val="left"/>
        <w:rPr>
          <w:rFonts w:ascii="宋体" w:hAnsi="宋体" w:cs="宋体"/>
          <w:color w:val="333333"/>
          <w:kern w:val="0"/>
          <w:sz w:val="24"/>
        </w:rPr>
      </w:pPr>
      <w:r>
        <w:rPr>
          <w:rFonts w:hint="eastAsia" w:ascii="宋体" w:hAnsi="宋体" w:cs="宋体"/>
          <w:color w:val="333333"/>
          <w:kern w:val="0"/>
          <w:sz w:val="24"/>
        </w:rPr>
        <w:t>采购人：灵宝市自然资源和规划局</w:t>
      </w:r>
    </w:p>
    <w:p w14:paraId="7F3F24EF">
      <w:pPr>
        <w:wordWrap w:val="0"/>
        <w:spacing w:line="480" w:lineRule="exact"/>
        <w:ind w:right="-92" w:rightChars="-44" w:firstLine="480" w:firstLineChars="200"/>
        <w:jc w:val="left"/>
        <w:rPr>
          <w:rFonts w:ascii="宋体" w:hAnsi="宋体" w:cs="宋体"/>
          <w:color w:val="333333"/>
          <w:kern w:val="0"/>
          <w:sz w:val="24"/>
        </w:rPr>
      </w:pPr>
      <w:r>
        <w:rPr>
          <w:rFonts w:hint="eastAsia" w:ascii="宋体" w:hAnsi="宋体" w:cs="宋体"/>
          <w:color w:val="333333"/>
          <w:kern w:val="0"/>
          <w:sz w:val="24"/>
        </w:rPr>
        <w:t>地址：灵宝市函谷路56号</w:t>
      </w:r>
    </w:p>
    <w:p w14:paraId="792C7A79">
      <w:pPr>
        <w:wordWrap w:val="0"/>
        <w:spacing w:line="480" w:lineRule="exact"/>
        <w:ind w:right="-92" w:rightChars="-44" w:firstLine="480" w:firstLineChars="200"/>
        <w:jc w:val="left"/>
        <w:rPr>
          <w:rFonts w:hint="default" w:ascii="宋体" w:hAnsi="宋体" w:eastAsia="宋体" w:cs="宋体"/>
          <w:color w:val="333333"/>
          <w:kern w:val="0"/>
          <w:sz w:val="24"/>
          <w:highlight w:val="none"/>
          <w:lang w:val="en-US" w:eastAsia="zh-CN"/>
        </w:rPr>
      </w:pPr>
      <w:r>
        <w:rPr>
          <w:rFonts w:hint="eastAsia" w:ascii="宋体" w:hAnsi="宋体" w:cs="宋体"/>
          <w:color w:val="333333"/>
          <w:kern w:val="0"/>
          <w:sz w:val="24"/>
          <w:highlight w:val="none"/>
        </w:rPr>
        <w:t>联系人：</w:t>
      </w:r>
      <w:r>
        <w:rPr>
          <w:rFonts w:hint="eastAsia" w:ascii="宋体" w:hAnsi="宋体" w:cs="宋体"/>
          <w:color w:val="333333"/>
          <w:kern w:val="0"/>
          <w:sz w:val="24"/>
          <w:highlight w:val="none"/>
          <w:lang w:val="en-US" w:eastAsia="zh-CN"/>
        </w:rPr>
        <w:t>廖女士</w:t>
      </w:r>
    </w:p>
    <w:p w14:paraId="711A1903">
      <w:pPr>
        <w:wordWrap w:val="0"/>
        <w:spacing w:line="480" w:lineRule="exact"/>
        <w:ind w:right="-92" w:rightChars="-44" w:firstLine="480" w:firstLineChars="200"/>
        <w:jc w:val="left"/>
        <w:rPr>
          <w:rFonts w:hint="default" w:ascii="宋体" w:hAnsi="宋体" w:eastAsia="宋体" w:cs="宋体"/>
          <w:color w:val="333333"/>
          <w:kern w:val="0"/>
          <w:sz w:val="24"/>
          <w:highlight w:val="none"/>
          <w:lang w:val="en-US" w:eastAsia="zh-CN"/>
        </w:rPr>
      </w:pPr>
      <w:r>
        <w:rPr>
          <w:rFonts w:hint="eastAsia" w:ascii="宋体" w:hAnsi="宋体" w:cs="宋体"/>
          <w:color w:val="333333"/>
          <w:kern w:val="0"/>
          <w:sz w:val="24"/>
          <w:highlight w:val="none"/>
        </w:rPr>
        <w:t>联系电话：</w:t>
      </w:r>
      <w:r>
        <w:rPr>
          <w:rFonts w:hint="eastAsia" w:ascii="宋体" w:hAnsi="宋体" w:cs="宋体"/>
          <w:color w:val="333333"/>
          <w:kern w:val="0"/>
          <w:sz w:val="24"/>
          <w:highlight w:val="none"/>
          <w:lang w:val="en-US" w:eastAsia="zh-CN"/>
        </w:rPr>
        <w:t>13700746991</w:t>
      </w:r>
    </w:p>
    <w:p w14:paraId="7631FE82">
      <w:pPr>
        <w:wordWrap w:val="0"/>
        <w:spacing w:line="480" w:lineRule="exact"/>
        <w:ind w:right="-92" w:rightChars="-44" w:firstLine="480" w:firstLineChars="200"/>
        <w:jc w:val="left"/>
        <w:rPr>
          <w:rFonts w:hint="eastAsia" w:ascii="宋体" w:hAnsi="宋体" w:cs="宋体"/>
          <w:color w:val="333333"/>
          <w:kern w:val="0"/>
          <w:sz w:val="24"/>
        </w:rPr>
      </w:pPr>
      <w:r>
        <w:rPr>
          <w:rFonts w:hint="eastAsia" w:ascii="宋体" w:hAnsi="宋体" w:cs="宋体"/>
          <w:color w:val="333333"/>
          <w:kern w:val="0"/>
          <w:sz w:val="24"/>
        </w:rPr>
        <w:t>代理机构</w:t>
      </w:r>
      <w:r>
        <w:rPr>
          <w:rFonts w:hint="eastAsia" w:ascii="宋体" w:hAnsi="宋体" w:cs="宋体"/>
          <w:color w:val="000000"/>
          <w:sz w:val="24"/>
          <w:szCs w:val="24"/>
        </w:rPr>
        <w:t>：</w:t>
      </w:r>
      <w:r>
        <w:rPr>
          <w:rFonts w:hint="eastAsia" w:ascii="宋体" w:hAnsi="宋体" w:cs="宋体"/>
          <w:color w:val="333333"/>
          <w:kern w:val="0"/>
          <w:sz w:val="24"/>
        </w:rPr>
        <w:t>天寻国际工程咨询有限公司</w:t>
      </w:r>
    </w:p>
    <w:p w14:paraId="0D7BA025">
      <w:pPr>
        <w:wordWrap w:val="0"/>
        <w:spacing w:line="480" w:lineRule="exact"/>
        <w:ind w:right="-92" w:rightChars="-44" w:firstLine="480" w:firstLineChars="200"/>
        <w:jc w:val="left"/>
        <w:rPr>
          <w:rFonts w:hint="eastAsia" w:ascii="宋体" w:hAnsi="宋体" w:cs="宋体"/>
          <w:color w:val="333333"/>
          <w:kern w:val="0"/>
          <w:sz w:val="24"/>
        </w:rPr>
      </w:pPr>
      <w:r>
        <w:rPr>
          <w:rFonts w:hint="eastAsia" w:ascii="宋体" w:hAnsi="宋体" w:cs="宋体"/>
          <w:color w:val="333333"/>
          <w:kern w:val="0"/>
          <w:sz w:val="24"/>
        </w:rPr>
        <w:t>地址：河南省安阳市文峰区文峰大道与兴泰路交叉口西北角财富公馆西单元25楼</w:t>
      </w:r>
    </w:p>
    <w:p w14:paraId="3A624BA9">
      <w:pPr>
        <w:wordWrap w:val="0"/>
        <w:spacing w:line="480" w:lineRule="exact"/>
        <w:ind w:right="-92" w:rightChars="-44" w:firstLine="480" w:firstLineChars="200"/>
        <w:jc w:val="left"/>
        <w:rPr>
          <w:rFonts w:hint="eastAsia" w:ascii="宋体" w:hAnsi="宋体" w:cs="宋体"/>
          <w:color w:val="333333"/>
          <w:kern w:val="0"/>
          <w:sz w:val="24"/>
          <w:highlight w:val="none"/>
        </w:rPr>
      </w:pPr>
      <w:r>
        <w:rPr>
          <w:rFonts w:hint="eastAsia" w:ascii="宋体" w:hAnsi="宋体" w:cs="宋体"/>
          <w:color w:val="333333"/>
          <w:kern w:val="0"/>
          <w:sz w:val="24"/>
          <w:highlight w:val="none"/>
        </w:rPr>
        <w:t>联系人：赵先生</w:t>
      </w:r>
    </w:p>
    <w:p w14:paraId="537E8DAA">
      <w:pPr>
        <w:wordWrap w:val="0"/>
        <w:spacing w:line="480" w:lineRule="exact"/>
        <w:ind w:right="-92" w:rightChars="-44" w:firstLine="480" w:firstLineChars="200"/>
        <w:jc w:val="left"/>
        <w:rPr>
          <w:rFonts w:hint="default" w:ascii="宋体" w:hAnsi="宋体" w:eastAsia="宋体" w:cs="宋体"/>
          <w:color w:val="333333"/>
          <w:kern w:val="0"/>
          <w:sz w:val="24"/>
          <w:highlight w:val="none"/>
          <w:lang w:val="en-US" w:eastAsia="zh-CN"/>
        </w:rPr>
      </w:pPr>
      <w:r>
        <w:rPr>
          <w:rFonts w:hint="eastAsia" w:ascii="宋体" w:hAnsi="宋体" w:cs="宋体"/>
          <w:color w:val="333333"/>
          <w:kern w:val="0"/>
          <w:sz w:val="24"/>
          <w:highlight w:val="none"/>
        </w:rPr>
        <w:t>联系电话：</w:t>
      </w:r>
      <w:r>
        <w:rPr>
          <w:rFonts w:hint="eastAsia" w:ascii="宋体" w:hAnsi="宋体" w:cs="宋体"/>
          <w:color w:val="333333"/>
          <w:kern w:val="0"/>
          <w:sz w:val="24"/>
          <w:highlight w:val="none"/>
          <w:lang w:val="en-US" w:eastAsia="zh-CN"/>
        </w:rPr>
        <w:t>17803988887</w:t>
      </w:r>
    </w:p>
    <w:p w14:paraId="5981522A">
      <w:pPr>
        <w:wordWrap w:val="0"/>
        <w:spacing w:line="480" w:lineRule="exact"/>
        <w:ind w:right="-92" w:rightChars="-44" w:firstLine="480" w:firstLineChars="200"/>
        <w:jc w:val="left"/>
        <w:rPr>
          <w:rFonts w:hint="eastAsia" w:ascii="宋体" w:hAnsi="宋体" w:cs="宋体"/>
          <w:color w:val="333333"/>
          <w:kern w:val="0"/>
          <w:sz w:val="24"/>
        </w:rPr>
      </w:pPr>
      <w:r>
        <w:rPr>
          <w:rFonts w:hint="eastAsia" w:ascii="宋体" w:hAnsi="宋体" w:cs="宋体"/>
          <w:color w:val="333333"/>
          <w:kern w:val="0"/>
          <w:sz w:val="24"/>
        </w:rPr>
        <w:br w:type="page"/>
      </w:r>
    </w:p>
    <w:p w14:paraId="61D4B03B">
      <w:pPr>
        <w:pStyle w:val="3"/>
        <w:rPr>
          <w:rFonts w:ascii="宋体" w:hAnsi="宋体" w:cs="宋体"/>
          <w:b w:val="0"/>
          <w:bCs/>
          <w:color w:val="000000"/>
          <w:sz w:val="24"/>
          <w:szCs w:val="24"/>
        </w:rPr>
      </w:pPr>
      <w:r>
        <w:rPr>
          <w:rFonts w:hint="eastAsia" w:ascii="宋体" w:hAnsi="宋体" w:cs="宋体"/>
          <w:bCs/>
          <w:color w:val="000000"/>
          <w:szCs w:val="32"/>
        </w:rPr>
        <w:t>第二章  供应商须知</w:t>
      </w:r>
      <w:bookmarkEnd w:id="6"/>
      <w:bookmarkEnd w:id="7"/>
    </w:p>
    <w:p w14:paraId="1CC5F1E8">
      <w:pPr>
        <w:adjustRightInd w:val="0"/>
        <w:snapToGrid w:val="0"/>
        <w:spacing w:line="360" w:lineRule="auto"/>
        <w:rPr>
          <w:rFonts w:ascii="宋体" w:hAnsi="宋体" w:cs="宋体"/>
          <w:b/>
          <w:bCs/>
          <w:color w:val="000000"/>
          <w:sz w:val="24"/>
          <w:szCs w:val="24"/>
        </w:rPr>
      </w:pPr>
      <w:r>
        <w:rPr>
          <w:rFonts w:hint="eastAsia" w:ascii="宋体" w:hAnsi="宋体" w:cs="宋体"/>
          <w:b/>
          <w:bCs/>
          <w:color w:val="000000"/>
          <w:sz w:val="24"/>
          <w:szCs w:val="24"/>
        </w:rPr>
        <w:t>供应商须知前附表</w:t>
      </w:r>
    </w:p>
    <w:tbl>
      <w:tblPr>
        <w:tblStyle w:val="29"/>
        <w:tblW w:w="9910" w:type="dxa"/>
        <w:jc w:val="center"/>
        <w:tblLayout w:type="fixed"/>
        <w:tblCellMar>
          <w:top w:w="0" w:type="dxa"/>
          <w:left w:w="108" w:type="dxa"/>
          <w:bottom w:w="0" w:type="dxa"/>
          <w:right w:w="108" w:type="dxa"/>
        </w:tblCellMar>
      </w:tblPr>
      <w:tblGrid>
        <w:gridCol w:w="1095"/>
        <w:gridCol w:w="1800"/>
        <w:gridCol w:w="7015"/>
      </w:tblGrid>
      <w:tr w14:paraId="4A0B1F24">
        <w:tblPrEx>
          <w:tblCellMar>
            <w:top w:w="0" w:type="dxa"/>
            <w:left w:w="108" w:type="dxa"/>
            <w:bottom w:w="0" w:type="dxa"/>
            <w:right w:w="108" w:type="dxa"/>
          </w:tblCellMar>
        </w:tblPrEx>
        <w:trPr>
          <w:trHeight w:val="463"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14:paraId="6A764EE0">
            <w:pPr>
              <w:adjustRightInd w:val="0"/>
              <w:snapToGrid w:val="0"/>
              <w:spacing w:line="360" w:lineRule="auto"/>
              <w:jc w:val="center"/>
              <w:rPr>
                <w:rFonts w:ascii="宋体" w:hAnsi="宋体" w:cs="宋体"/>
                <w:b/>
                <w:bCs/>
                <w:color w:val="000000"/>
                <w:spacing w:val="11"/>
                <w:sz w:val="24"/>
                <w:szCs w:val="24"/>
              </w:rPr>
            </w:pPr>
            <w:r>
              <w:rPr>
                <w:rFonts w:hint="eastAsia" w:ascii="宋体" w:hAnsi="宋体" w:cs="宋体"/>
                <w:b/>
                <w:bCs/>
                <w:color w:val="000000"/>
                <w:spacing w:val="11"/>
                <w:sz w:val="24"/>
                <w:szCs w:val="24"/>
              </w:rPr>
              <w:t>条款号</w:t>
            </w:r>
          </w:p>
        </w:tc>
        <w:tc>
          <w:tcPr>
            <w:tcW w:w="1800" w:type="dxa"/>
            <w:tcBorders>
              <w:top w:val="single" w:color="auto" w:sz="4" w:space="0"/>
              <w:left w:val="nil"/>
              <w:bottom w:val="single" w:color="auto" w:sz="4" w:space="0"/>
              <w:right w:val="single" w:color="auto" w:sz="4" w:space="0"/>
            </w:tcBorders>
            <w:vAlign w:val="center"/>
          </w:tcPr>
          <w:p w14:paraId="0BE7F4D3">
            <w:pPr>
              <w:adjustRightInd w:val="0"/>
              <w:snapToGrid w:val="0"/>
              <w:spacing w:line="360" w:lineRule="auto"/>
              <w:jc w:val="center"/>
              <w:rPr>
                <w:rFonts w:ascii="宋体" w:hAnsi="宋体" w:cs="宋体"/>
                <w:b/>
                <w:bCs/>
                <w:color w:val="000000"/>
                <w:spacing w:val="11"/>
                <w:sz w:val="24"/>
                <w:szCs w:val="24"/>
              </w:rPr>
            </w:pPr>
            <w:r>
              <w:rPr>
                <w:rFonts w:hint="eastAsia" w:ascii="宋体" w:hAnsi="宋体" w:cs="宋体"/>
                <w:b/>
                <w:bCs/>
                <w:color w:val="000000"/>
                <w:spacing w:val="11"/>
                <w:sz w:val="24"/>
                <w:szCs w:val="24"/>
              </w:rPr>
              <w:t>条 款 名 称</w:t>
            </w:r>
          </w:p>
        </w:tc>
        <w:tc>
          <w:tcPr>
            <w:tcW w:w="7015" w:type="dxa"/>
            <w:tcBorders>
              <w:top w:val="single" w:color="auto" w:sz="4" w:space="0"/>
              <w:left w:val="nil"/>
              <w:bottom w:val="single" w:color="auto" w:sz="4" w:space="0"/>
              <w:right w:val="single" w:color="auto" w:sz="4" w:space="0"/>
            </w:tcBorders>
            <w:vAlign w:val="center"/>
          </w:tcPr>
          <w:p w14:paraId="5CDB1F8C">
            <w:pPr>
              <w:adjustRightInd w:val="0"/>
              <w:snapToGrid w:val="0"/>
              <w:spacing w:line="360" w:lineRule="auto"/>
              <w:jc w:val="center"/>
              <w:rPr>
                <w:rFonts w:ascii="宋体" w:hAnsi="宋体" w:cs="宋体"/>
                <w:b/>
                <w:bCs/>
                <w:color w:val="000000"/>
                <w:spacing w:val="11"/>
                <w:sz w:val="24"/>
                <w:szCs w:val="24"/>
              </w:rPr>
            </w:pPr>
            <w:r>
              <w:rPr>
                <w:rFonts w:hint="eastAsia" w:ascii="宋体" w:hAnsi="宋体" w:cs="宋体"/>
                <w:b/>
                <w:bCs/>
                <w:color w:val="000000"/>
                <w:spacing w:val="11"/>
                <w:sz w:val="24"/>
                <w:szCs w:val="24"/>
              </w:rPr>
              <w:t>编 列 内 容</w:t>
            </w:r>
          </w:p>
        </w:tc>
      </w:tr>
      <w:tr w14:paraId="51AC834B">
        <w:tblPrEx>
          <w:tblCellMar>
            <w:top w:w="0" w:type="dxa"/>
            <w:left w:w="108" w:type="dxa"/>
            <w:bottom w:w="0" w:type="dxa"/>
            <w:right w:w="108" w:type="dxa"/>
          </w:tblCellMar>
        </w:tblPrEx>
        <w:trPr>
          <w:trHeight w:val="1346"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14:paraId="34ED0411">
            <w:pPr>
              <w:adjustRightInd w:val="0"/>
              <w:snapToGrid w:val="0"/>
              <w:spacing w:line="360" w:lineRule="auto"/>
              <w:jc w:val="center"/>
              <w:rPr>
                <w:rFonts w:ascii="宋体" w:hAnsi="宋体" w:cs="宋体"/>
                <w:color w:val="000000"/>
                <w:spacing w:val="11"/>
                <w:sz w:val="24"/>
                <w:szCs w:val="24"/>
              </w:rPr>
            </w:pPr>
            <w:r>
              <w:rPr>
                <w:rFonts w:hint="eastAsia" w:ascii="宋体" w:hAnsi="宋体" w:cs="宋体"/>
                <w:color w:val="000000"/>
                <w:spacing w:val="11"/>
                <w:sz w:val="24"/>
                <w:szCs w:val="24"/>
              </w:rPr>
              <w:t>1</w:t>
            </w:r>
          </w:p>
        </w:tc>
        <w:tc>
          <w:tcPr>
            <w:tcW w:w="1800" w:type="dxa"/>
            <w:tcBorders>
              <w:top w:val="single" w:color="auto" w:sz="4" w:space="0"/>
              <w:left w:val="nil"/>
              <w:bottom w:val="single" w:color="auto" w:sz="4" w:space="0"/>
              <w:right w:val="single" w:color="auto" w:sz="4" w:space="0"/>
            </w:tcBorders>
            <w:vAlign w:val="center"/>
          </w:tcPr>
          <w:p w14:paraId="16F1BA47">
            <w:pPr>
              <w:adjustRightInd w:val="0"/>
              <w:snapToGrid w:val="0"/>
              <w:spacing w:line="360" w:lineRule="auto"/>
              <w:jc w:val="center"/>
              <w:rPr>
                <w:rFonts w:ascii="宋体" w:hAnsi="宋体" w:cs="宋体"/>
                <w:color w:val="000000"/>
                <w:spacing w:val="11"/>
                <w:sz w:val="24"/>
                <w:szCs w:val="24"/>
              </w:rPr>
            </w:pPr>
            <w:r>
              <w:rPr>
                <w:rFonts w:hint="eastAsia" w:ascii="宋体" w:hAnsi="宋体" w:cs="宋体"/>
                <w:color w:val="000000"/>
                <w:spacing w:val="11"/>
                <w:sz w:val="24"/>
                <w:szCs w:val="24"/>
              </w:rPr>
              <w:t>采 购 人</w:t>
            </w:r>
          </w:p>
        </w:tc>
        <w:tc>
          <w:tcPr>
            <w:tcW w:w="7015" w:type="dxa"/>
            <w:tcBorders>
              <w:top w:val="single" w:color="auto" w:sz="4" w:space="0"/>
              <w:left w:val="nil"/>
              <w:bottom w:val="single" w:color="auto" w:sz="4" w:space="0"/>
              <w:right w:val="single" w:color="auto" w:sz="4" w:space="0"/>
            </w:tcBorders>
            <w:vAlign w:val="center"/>
          </w:tcPr>
          <w:p w14:paraId="76872E56">
            <w:pPr>
              <w:adjustRightInd w:val="0"/>
              <w:snapToGrid w:val="0"/>
              <w:spacing w:line="360" w:lineRule="auto"/>
              <w:jc w:val="left"/>
              <w:rPr>
                <w:rFonts w:ascii="宋体" w:hAnsi="宋体" w:cs="宋体"/>
                <w:color w:val="000000"/>
                <w:sz w:val="24"/>
                <w:szCs w:val="24"/>
              </w:rPr>
            </w:pPr>
            <w:r>
              <w:rPr>
                <w:rFonts w:hint="eastAsia" w:ascii="宋体" w:hAnsi="宋体" w:cs="宋体"/>
                <w:color w:val="000000"/>
                <w:sz w:val="24"/>
                <w:szCs w:val="24"/>
              </w:rPr>
              <w:t>采购人：灵宝市自然资源和规划局</w:t>
            </w:r>
          </w:p>
          <w:p w14:paraId="31199AE8">
            <w:pPr>
              <w:adjustRightInd w:val="0"/>
              <w:snapToGrid w:val="0"/>
              <w:spacing w:line="360" w:lineRule="auto"/>
              <w:jc w:val="left"/>
              <w:rPr>
                <w:rFonts w:ascii="宋体" w:hAnsi="宋体" w:cs="宋体"/>
                <w:color w:val="000000"/>
                <w:sz w:val="24"/>
                <w:szCs w:val="24"/>
              </w:rPr>
            </w:pPr>
            <w:r>
              <w:rPr>
                <w:rFonts w:hint="eastAsia" w:ascii="宋体" w:hAnsi="宋体" w:cs="宋体"/>
                <w:color w:val="000000"/>
                <w:sz w:val="24"/>
                <w:szCs w:val="24"/>
              </w:rPr>
              <w:t>地址：灵宝市函谷路56号</w:t>
            </w:r>
          </w:p>
          <w:p w14:paraId="21FE8612">
            <w:pPr>
              <w:adjustRightInd w:val="0"/>
              <w:snapToGrid w:val="0"/>
              <w:spacing w:line="360" w:lineRule="auto"/>
              <w:jc w:val="left"/>
              <w:rPr>
                <w:rFonts w:hint="eastAsia" w:ascii="宋体" w:hAnsi="宋体" w:cs="宋体"/>
                <w:color w:val="000000"/>
                <w:sz w:val="24"/>
                <w:szCs w:val="24"/>
              </w:rPr>
            </w:pPr>
            <w:r>
              <w:rPr>
                <w:rFonts w:hint="eastAsia" w:ascii="宋体" w:hAnsi="宋体" w:cs="宋体"/>
                <w:color w:val="000000"/>
                <w:sz w:val="24"/>
                <w:szCs w:val="24"/>
              </w:rPr>
              <w:t>联系人：廖女士</w:t>
            </w:r>
          </w:p>
          <w:p w14:paraId="19F038D9">
            <w:pPr>
              <w:adjustRightInd w:val="0"/>
              <w:snapToGrid w:val="0"/>
              <w:spacing w:line="360" w:lineRule="auto"/>
              <w:jc w:val="left"/>
              <w:rPr>
                <w:rFonts w:ascii="宋体" w:hAnsi="宋体" w:cs="宋体"/>
                <w:color w:val="000000"/>
                <w:sz w:val="24"/>
                <w:szCs w:val="24"/>
              </w:rPr>
            </w:pPr>
            <w:r>
              <w:rPr>
                <w:rFonts w:hint="eastAsia" w:ascii="宋体" w:hAnsi="宋体" w:cs="宋体"/>
                <w:color w:val="000000"/>
                <w:sz w:val="24"/>
                <w:szCs w:val="24"/>
              </w:rPr>
              <w:t>联系电话：13700746991</w:t>
            </w:r>
          </w:p>
        </w:tc>
      </w:tr>
      <w:tr w14:paraId="32C91221">
        <w:tblPrEx>
          <w:tblCellMar>
            <w:top w:w="0" w:type="dxa"/>
            <w:left w:w="108" w:type="dxa"/>
            <w:bottom w:w="0" w:type="dxa"/>
            <w:right w:w="108" w:type="dxa"/>
          </w:tblCellMar>
        </w:tblPrEx>
        <w:trPr>
          <w:trHeight w:val="1837"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14:paraId="01C45E16">
            <w:pPr>
              <w:adjustRightInd w:val="0"/>
              <w:snapToGrid w:val="0"/>
              <w:spacing w:line="360" w:lineRule="auto"/>
              <w:jc w:val="center"/>
              <w:rPr>
                <w:rFonts w:ascii="宋体" w:hAnsi="宋体" w:cs="宋体"/>
                <w:color w:val="000000"/>
                <w:spacing w:val="11"/>
                <w:sz w:val="24"/>
                <w:szCs w:val="24"/>
              </w:rPr>
            </w:pPr>
            <w:r>
              <w:rPr>
                <w:rFonts w:hint="eastAsia" w:ascii="宋体" w:hAnsi="宋体" w:cs="宋体"/>
                <w:color w:val="000000"/>
                <w:spacing w:val="11"/>
                <w:sz w:val="24"/>
                <w:szCs w:val="24"/>
              </w:rPr>
              <w:t>2</w:t>
            </w:r>
          </w:p>
        </w:tc>
        <w:tc>
          <w:tcPr>
            <w:tcW w:w="1800" w:type="dxa"/>
            <w:tcBorders>
              <w:top w:val="single" w:color="auto" w:sz="4" w:space="0"/>
              <w:left w:val="nil"/>
              <w:bottom w:val="single" w:color="auto" w:sz="4" w:space="0"/>
              <w:right w:val="single" w:color="auto" w:sz="4" w:space="0"/>
            </w:tcBorders>
            <w:vAlign w:val="center"/>
          </w:tcPr>
          <w:p w14:paraId="2265C1DF">
            <w:pPr>
              <w:adjustRightInd w:val="0"/>
              <w:snapToGrid w:val="0"/>
              <w:spacing w:line="360" w:lineRule="auto"/>
              <w:jc w:val="center"/>
              <w:rPr>
                <w:rFonts w:ascii="宋体" w:hAnsi="宋体" w:cs="宋体"/>
                <w:color w:val="000000"/>
                <w:spacing w:val="11"/>
                <w:sz w:val="24"/>
                <w:szCs w:val="24"/>
              </w:rPr>
            </w:pPr>
            <w:r>
              <w:rPr>
                <w:rFonts w:hint="eastAsia" w:ascii="宋体" w:hAnsi="宋体" w:cs="宋体"/>
                <w:color w:val="000000"/>
                <w:spacing w:val="11"/>
                <w:sz w:val="24"/>
                <w:szCs w:val="24"/>
              </w:rPr>
              <w:t>代理机构</w:t>
            </w:r>
          </w:p>
        </w:tc>
        <w:tc>
          <w:tcPr>
            <w:tcW w:w="7015" w:type="dxa"/>
            <w:tcBorders>
              <w:top w:val="single" w:color="auto" w:sz="4" w:space="0"/>
              <w:left w:val="nil"/>
              <w:bottom w:val="single" w:color="auto" w:sz="4" w:space="0"/>
              <w:right w:val="single" w:color="auto" w:sz="4" w:space="0"/>
            </w:tcBorders>
            <w:vAlign w:val="center"/>
          </w:tcPr>
          <w:p w14:paraId="438ED9B6">
            <w:pPr>
              <w:adjustRightInd w:val="0"/>
              <w:snapToGrid w:val="0"/>
              <w:spacing w:line="360" w:lineRule="auto"/>
              <w:jc w:val="left"/>
              <w:rPr>
                <w:rFonts w:hint="eastAsia" w:ascii="宋体" w:hAnsi="宋体" w:cs="宋体"/>
                <w:color w:val="000000"/>
                <w:spacing w:val="11"/>
                <w:sz w:val="24"/>
                <w:szCs w:val="24"/>
              </w:rPr>
            </w:pPr>
            <w:r>
              <w:rPr>
                <w:rFonts w:hint="eastAsia" w:ascii="宋体" w:hAnsi="宋体" w:cs="宋体"/>
                <w:color w:val="000000"/>
                <w:spacing w:val="11"/>
                <w:sz w:val="24"/>
                <w:szCs w:val="24"/>
              </w:rPr>
              <w:t>代理机构</w:t>
            </w:r>
            <w:r>
              <w:rPr>
                <w:rFonts w:hint="eastAsia" w:ascii="宋体" w:hAnsi="宋体" w:cs="宋体"/>
                <w:color w:val="000000"/>
                <w:sz w:val="24"/>
                <w:szCs w:val="24"/>
              </w:rPr>
              <w:t>：</w:t>
            </w:r>
            <w:r>
              <w:rPr>
                <w:rFonts w:hint="eastAsia" w:ascii="宋体" w:hAnsi="宋体" w:cs="宋体"/>
                <w:color w:val="000000"/>
                <w:spacing w:val="11"/>
                <w:sz w:val="24"/>
                <w:szCs w:val="24"/>
              </w:rPr>
              <w:t>天寻国际工程咨询有限公司</w:t>
            </w:r>
          </w:p>
          <w:p w14:paraId="758F03BE">
            <w:pPr>
              <w:adjustRightInd w:val="0"/>
              <w:snapToGrid w:val="0"/>
              <w:spacing w:line="360" w:lineRule="auto"/>
              <w:jc w:val="left"/>
              <w:rPr>
                <w:rFonts w:hint="eastAsia" w:ascii="宋体" w:hAnsi="宋体" w:cs="宋体"/>
                <w:color w:val="000000"/>
                <w:spacing w:val="11"/>
                <w:sz w:val="24"/>
                <w:szCs w:val="24"/>
              </w:rPr>
            </w:pPr>
            <w:r>
              <w:rPr>
                <w:rFonts w:hint="eastAsia" w:ascii="宋体" w:hAnsi="宋体" w:cs="宋体"/>
                <w:color w:val="000000"/>
                <w:spacing w:val="11"/>
                <w:sz w:val="24"/>
                <w:szCs w:val="24"/>
              </w:rPr>
              <w:t>地址：河南省安阳市文峰区文峰大道与兴泰路交叉口西北角财富公馆西单元25楼</w:t>
            </w:r>
          </w:p>
          <w:p w14:paraId="7CA36B23">
            <w:pPr>
              <w:adjustRightInd w:val="0"/>
              <w:snapToGrid w:val="0"/>
              <w:spacing w:line="360" w:lineRule="auto"/>
              <w:jc w:val="left"/>
              <w:rPr>
                <w:rFonts w:hint="eastAsia" w:ascii="宋体" w:hAnsi="宋体" w:cs="宋体"/>
                <w:color w:val="000000"/>
                <w:spacing w:val="11"/>
                <w:sz w:val="24"/>
                <w:szCs w:val="24"/>
              </w:rPr>
            </w:pPr>
            <w:r>
              <w:rPr>
                <w:rFonts w:hint="eastAsia" w:ascii="宋体" w:hAnsi="宋体" w:cs="宋体"/>
                <w:color w:val="000000"/>
                <w:spacing w:val="11"/>
                <w:sz w:val="24"/>
                <w:szCs w:val="24"/>
              </w:rPr>
              <w:t>联系人：赵先生</w:t>
            </w:r>
          </w:p>
          <w:p w14:paraId="5C2A94E7">
            <w:pPr>
              <w:adjustRightInd w:val="0"/>
              <w:snapToGrid w:val="0"/>
              <w:spacing w:line="360" w:lineRule="auto"/>
              <w:jc w:val="left"/>
              <w:rPr>
                <w:rFonts w:ascii="宋体" w:hAnsi="宋体" w:cs="宋体"/>
                <w:color w:val="000000"/>
                <w:spacing w:val="11"/>
                <w:sz w:val="24"/>
                <w:szCs w:val="24"/>
              </w:rPr>
            </w:pPr>
            <w:r>
              <w:rPr>
                <w:rFonts w:hint="eastAsia" w:ascii="宋体" w:hAnsi="宋体" w:cs="宋体"/>
                <w:color w:val="000000"/>
                <w:spacing w:val="11"/>
                <w:sz w:val="24"/>
                <w:szCs w:val="24"/>
              </w:rPr>
              <w:t>联系电话：17803988887</w:t>
            </w:r>
          </w:p>
        </w:tc>
      </w:tr>
      <w:tr w14:paraId="2FBEBC52">
        <w:tblPrEx>
          <w:tblCellMar>
            <w:top w:w="0" w:type="dxa"/>
            <w:left w:w="108" w:type="dxa"/>
            <w:bottom w:w="0" w:type="dxa"/>
            <w:right w:w="108" w:type="dxa"/>
          </w:tblCellMar>
        </w:tblPrEx>
        <w:trPr>
          <w:trHeight w:val="461"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14:paraId="0D3BD626">
            <w:pPr>
              <w:adjustRightInd w:val="0"/>
              <w:snapToGrid w:val="0"/>
              <w:spacing w:line="360" w:lineRule="auto"/>
              <w:jc w:val="center"/>
              <w:rPr>
                <w:rFonts w:ascii="宋体" w:hAnsi="宋体" w:cs="宋体"/>
                <w:color w:val="000000"/>
                <w:spacing w:val="11"/>
                <w:sz w:val="24"/>
                <w:szCs w:val="24"/>
              </w:rPr>
            </w:pPr>
            <w:r>
              <w:rPr>
                <w:rFonts w:hint="eastAsia" w:ascii="宋体" w:hAnsi="宋体" w:cs="宋体"/>
                <w:color w:val="000000"/>
                <w:spacing w:val="11"/>
                <w:sz w:val="24"/>
                <w:szCs w:val="24"/>
              </w:rPr>
              <w:t>3</w:t>
            </w:r>
          </w:p>
        </w:tc>
        <w:tc>
          <w:tcPr>
            <w:tcW w:w="1800" w:type="dxa"/>
            <w:tcBorders>
              <w:top w:val="single" w:color="auto" w:sz="4" w:space="0"/>
              <w:left w:val="nil"/>
              <w:bottom w:val="single" w:color="auto" w:sz="4" w:space="0"/>
              <w:right w:val="single" w:color="auto" w:sz="4" w:space="0"/>
            </w:tcBorders>
            <w:vAlign w:val="center"/>
          </w:tcPr>
          <w:p w14:paraId="4AA98607">
            <w:pPr>
              <w:adjustRightInd w:val="0"/>
              <w:snapToGrid w:val="0"/>
              <w:spacing w:line="360" w:lineRule="auto"/>
              <w:jc w:val="center"/>
              <w:rPr>
                <w:rFonts w:ascii="宋体" w:hAnsi="宋体" w:cs="宋体"/>
                <w:color w:val="000000"/>
                <w:spacing w:val="11"/>
                <w:sz w:val="24"/>
                <w:szCs w:val="24"/>
              </w:rPr>
            </w:pPr>
            <w:r>
              <w:rPr>
                <w:rFonts w:hint="eastAsia" w:ascii="宋体" w:hAnsi="宋体" w:cs="宋体"/>
                <w:color w:val="000000"/>
                <w:spacing w:val="11"/>
                <w:sz w:val="24"/>
                <w:szCs w:val="24"/>
              </w:rPr>
              <w:t>项目名称</w:t>
            </w:r>
          </w:p>
        </w:tc>
        <w:tc>
          <w:tcPr>
            <w:tcW w:w="7015" w:type="dxa"/>
            <w:tcBorders>
              <w:top w:val="single" w:color="auto" w:sz="4" w:space="0"/>
              <w:left w:val="nil"/>
              <w:bottom w:val="single" w:color="auto" w:sz="4" w:space="0"/>
              <w:right w:val="single" w:color="auto" w:sz="4" w:space="0"/>
            </w:tcBorders>
            <w:vAlign w:val="center"/>
          </w:tcPr>
          <w:p w14:paraId="7F381552">
            <w:pPr>
              <w:adjustRightInd w:val="0"/>
              <w:snapToGrid w:val="0"/>
              <w:spacing w:line="360" w:lineRule="auto"/>
              <w:ind w:left="1200" w:hanging="1200" w:hangingChars="500"/>
              <w:jc w:val="left"/>
              <w:rPr>
                <w:rFonts w:hint="eastAsia" w:ascii="宋体" w:hAnsi="宋体" w:eastAsia="宋体" w:cs="宋体"/>
                <w:kern w:val="21"/>
                <w:sz w:val="24"/>
                <w:szCs w:val="24"/>
                <w:lang w:eastAsia="zh-CN"/>
              </w:rPr>
            </w:pPr>
            <w:r>
              <w:rPr>
                <w:rFonts w:hint="eastAsia" w:ascii="宋体" w:hAnsi="宋体" w:cs="宋体"/>
                <w:kern w:val="21"/>
                <w:sz w:val="24"/>
                <w:szCs w:val="24"/>
                <w:lang w:eastAsia="zh-CN"/>
              </w:rPr>
              <w:t>灵宝市全民所有自然资源资产清查项目</w:t>
            </w:r>
          </w:p>
        </w:tc>
      </w:tr>
      <w:tr w14:paraId="646B6DC6">
        <w:tblPrEx>
          <w:tblCellMar>
            <w:top w:w="0" w:type="dxa"/>
            <w:left w:w="108" w:type="dxa"/>
            <w:bottom w:w="0" w:type="dxa"/>
            <w:right w:w="108" w:type="dxa"/>
          </w:tblCellMar>
        </w:tblPrEx>
        <w:trPr>
          <w:trHeight w:val="9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14:paraId="4B234D08">
            <w:pPr>
              <w:adjustRightInd w:val="0"/>
              <w:snapToGrid w:val="0"/>
              <w:spacing w:line="360" w:lineRule="auto"/>
              <w:jc w:val="center"/>
              <w:rPr>
                <w:rFonts w:ascii="宋体" w:hAnsi="宋体" w:cs="宋体"/>
                <w:color w:val="000000"/>
                <w:spacing w:val="11"/>
                <w:sz w:val="24"/>
                <w:szCs w:val="24"/>
              </w:rPr>
            </w:pPr>
            <w:r>
              <w:rPr>
                <w:rFonts w:hint="eastAsia" w:ascii="宋体" w:hAnsi="宋体" w:cs="宋体"/>
                <w:color w:val="000000"/>
                <w:spacing w:val="11"/>
                <w:sz w:val="24"/>
                <w:szCs w:val="24"/>
              </w:rPr>
              <w:t>4</w:t>
            </w:r>
          </w:p>
        </w:tc>
        <w:tc>
          <w:tcPr>
            <w:tcW w:w="1800" w:type="dxa"/>
            <w:tcBorders>
              <w:top w:val="single" w:color="auto" w:sz="4" w:space="0"/>
              <w:left w:val="nil"/>
              <w:bottom w:val="single" w:color="auto" w:sz="4" w:space="0"/>
              <w:right w:val="single" w:color="auto" w:sz="4" w:space="0"/>
            </w:tcBorders>
            <w:vAlign w:val="center"/>
          </w:tcPr>
          <w:p w14:paraId="35DD16C4">
            <w:pPr>
              <w:adjustRightInd w:val="0"/>
              <w:snapToGrid w:val="0"/>
              <w:spacing w:line="360" w:lineRule="auto"/>
              <w:jc w:val="center"/>
              <w:rPr>
                <w:rFonts w:ascii="宋体" w:hAnsi="宋体" w:cs="宋体"/>
                <w:color w:val="000000"/>
                <w:spacing w:val="11"/>
                <w:sz w:val="24"/>
                <w:szCs w:val="24"/>
              </w:rPr>
            </w:pPr>
            <w:r>
              <w:rPr>
                <w:rFonts w:hint="eastAsia" w:ascii="宋体" w:hAnsi="宋体" w:cs="宋体"/>
                <w:color w:val="000000"/>
                <w:spacing w:val="11"/>
                <w:sz w:val="24"/>
                <w:szCs w:val="24"/>
              </w:rPr>
              <w:t>资金来源</w:t>
            </w:r>
          </w:p>
        </w:tc>
        <w:tc>
          <w:tcPr>
            <w:tcW w:w="7015" w:type="dxa"/>
            <w:tcBorders>
              <w:top w:val="single" w:color="auto" w:sz="4" w:space="0"/>
              <w:left w:val="nil"/>
              <w:bottom w:val="single" w:color="auto" w:sz="4" w:space="0"/>
              <w:right w:val="single" w:color="auto" w:sz="4" w:space="0"/>
            </w:tcBorders>
            <w:vAlign w:val="center"/>
          </w:tcPr>
          <w:p w14:paraId="38049FAE">
            <w:pPr>
              <w:adjustRightInd w:val="0"/>
              <w:snapToGrid w:val="0"/>
              <w:spacing w:line="360" w:lineRule="auto"/>
              <w:jc w:val="left"/>
              <w:rPr>
                <w:rFonts w:ascii="宋体" w:hAnsi="宋体" w:cs="宋体"/>
                <w:color w:val="000000"/>
                <w:spacing w:val="11"/>
                <w:sz w:val="24"/>
                <w:szCs w:val="24"/>
              </w:rPr>
            </w:pPr>
            <w:r>
              <w:rPr>
                <w:rFonts w:hint="eastAsia" w:ascii="宋体" w:hAnsi="宋体" w:cs="宋体"/>
                <w:color w:val="000000"/>
                <w:spacing w:val="11"/>
                <w:sz w:val="24"/>
                <w:szCs w:val="24"/>
              </w:rPr>
              <w:t>财政资金</w:t>
            </w:r>
          </w:p>
        </w:tc>
      </w:tr>
      <w:tr w14:paraId="4712D463">
        <w:tblPrEx>
          <w:tblCellMar>
            <w:top w:w="0" w:type="dxa"/>
            <w:left w:w="108" w:type="dxa"/>
            <w:bottom w:w="0" w:type="dxa"/>
            <w:right w:w="108" w:type="dxa"/>
          </w:tblCellMar>
        </w:tblPrEx>
        <w:trPr>
          <w:trHeight w:val="555"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14:paraId="35A054E8">
            <w:pPr>
              <w:adjustRightInd w:val="0"/>
              <w:snapToGrid w:val="0"/>
              <w:spacing w:line="360" w:lineRule="auto"/>
              <w:jc w:val="center"/>
              <w:rPr>
                <w:rFonts w:ascii="宋体" w:hAnsi="宋体" w:cs="宋体"/>
                <w:color w:val="000000"/>
                <w:spacing w:val="11"/>
                <w:sz w:val="24"/>
                <w:szCs w:val="24"/>
              </w:rPr>
            </w:pPr>
            <w:r>
              <w:rPr>
                <w:rFonts w:hint="eastAsia" w:ascii="宋体" w:hAnsi="宋体" w:cs="宋体"/>
                <w:color w:val="000000"/>
                <w:spacing w:val="11"/>
                <w:sz w:val="24"/>
                <w:szCs w:val="24"/>
              </w:rPr>
              <w:t>5</w:t>
            </w:r>
          </w:p>
        </w:tc>
        <w:tc>
          <w:tcPr>
            <w:tcW w:w="1800" w:type="dxa"/>
            <w:tcBorders>
              <w:top w:val="single" w:color="auto" w:sz="4" w:space="0"/>
              <w:left w:val="nil"/>
              <w:bottom w:val="single" w:color="auto" w:sz="4" w:space="0"/>
              <w:right w:val="single" w:color="auto" w:sz="4" w:space="0"/>
            </w:tcBorders>
            <w:vAlign w:val="center"/>
          </w:tcPr>
          <w:p w14:paraId="4B72A37E">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招标内容</w:t>
            </w:r>
          </w:p>
        </w:tc>
        <w:tc>
          <w:tcPr>
            <w:tcW w:w="7015" w:type="dxa"/>
            <w:tcBorders>
              <w:top w:val="single" w:color="auto" w:sz="4" w:space="0"/>
              <w:left w:val="nil"/>
              <w:bottom w:val="single" w:color="auto" w:sz="4" w:space="0"/>
              <w:right w:val="single" w:color="auto" w:sz="4" w:space="0"/>
            </w:tcBorders>
            <w:vAlign w:val="center"/>
          </w:tcPr>
          <w:p w14:paraId="7AEFABEE">
            <w:pPr>
              <w:adjustRightInd w:val="0"/>
              <w:snapToGrid w:val="0"/>
              <w:spacing w:line="360" w:lineRule="auto"/>
              <w:jc w:val="left"/>
              <w:rPr>
                <w:rFonts w:ascii="宋体" w:hAnsi="宋体" w:cs="宋体"/>
                <w:kern w:val="21"/>
                <w:sz w:val="24"/>
                <w:szCs w:val="24"/>
              </w:rPr>
            </w:pPr>
            <w:r>
              <w:rPr>
                <w:rFonts w:hint="eastAsia" w:ascii="宋体" w:hAnsi="宋体" w:cs="宋体"/>
                <w:color w:val="000000"/>
                <w:spacing w:val="11"/>
                <w:sz w:val="24"/>
                <w:szCs w:val="24"/>
              </w:rPr>
              <w:t>本项目主要包括：1、制定工作方案；2、资料收集与分析；3、实物量清查；4、价值量核算；5、使用权状况调查；6、统一时点更新；7、数据库建设；8、成果内业校检；9、协助做好上级部门抽查核查；10、成果编绘；11、实物量清查调查；12、价值量外业校检；13、成果论证预检和验收；具体内容详见磋商文件；</w:t>
            </w:r>
          </w:p>
        </w:tc>
      </w:tr>
      <w:tr w14:paraId="45FEC99D">
        <w:tblPrEx>
          <w:tblCellMar>
            <w:top w:w="0" w:type="dxa"/>
            <w:left w:w="108" w:type="dxa"/>
            <w:bottom w:w="0" w:type="dxa"/>
            <w:right w:w="108" w:type="dxa"/>
          </w:tblCellMar>
        </w:tblPrEx>
        <w:trPr>
          <w:trHeight w:val="592"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14:paraId="3467A9E5">
            <w:pPr>
              <w:adjustRightInd w:val="0"/>
              <w:snapToGrid w:val="0"/>
              <w:spacing w:line="360" w:lineRule="auto"/>
              <w:jc w:val="center"/>
              <w:rPr>
                <w:rFonts w:ascii="宋体" w:hAnsi="宋体" w:cs="宋体"/>
                <w:kern w:val="21"/>
                <w:sz w:val="24"/>
                <w:szCs w:val="24"/>
              </w:rPr>
            </w:pPr>
            <w:r>
              <w:rPr>
                <w:rFonts w:hint="eastAsia" w:ascii="宋体" w:hAnsi="宋体" w:cs="宋体"/>
                <w:kern w:val="21"/>
                <w:sz w:val="24"/>
                <w:szCs w:val="24"/>
              </w:rPr>
              <w:t>6</w:t>
            </w:r>
          </w:p>
        </w:tc>
        <w:tc>
          <w:tcPr>
            <w:tcW w:w="1800" w:type="dxa"/>
            <w:tcBorders>
              <w:top w:val="single" w:color="auto" w:sz="4" w:space="0"/>
              <w:left w:val="nil"/>
              <w:bottom w:val="single" w:color="auto" w:sz="4" w:space="0"/>
              <w:right w:val="single" w:color="auto" w:sz="4" w:space="0"/>
            </w:tcBorders>
            <w:vAlign w:val="center"/>
          </w:tcPr>
          <w:p w14:paraId="5733D121">
            <w:pPr>
              <w:adjustRightInd w:val="0"/>
              <w:snapToGrid w:val="0"/>
              <w:spacing w:line="360" w:lineRule="auto"/>
              <w:ind w:firstLine="240" w:firstLineChars="100"/>
              <w:rPr>
                <w:rFonts w:ascii="宋体" w:hAnsi="宋体" w:cs="宋体"/>
                <w:kern w:val="21"/>
                <w:sz w:val="24"/>
                <w:szCs w:val="24"/>
              </w:rPr>
            </w:pPr>
            <w:r>
              <w:rPr>
                <w:rFonts w:hint="eastAsia" w:ascii="宋体" w:hAnsi="宋体" w:cs="宋体"/>
                <w:kern w:val="21"/>
                <w:sz w:val="24"/>
                <w:szCs w:val="24"/>
              </w:rPr>
              <w:t>服务周期</w:t>
            </w:r>
          </w:p>
        </w:tc>
        <w:tc>
          <w:tcPr>
            <w:tcW w:w="7015" w:type="dxa"/>
            <w:tcBorders>
              <w:top w:val="single" w:color="auto" w:sz="4" w:space="0"/>
              <w:left w:val="nil"/>
              <w:bottom w:val="single" w:color="auto" w:sz="4" w:space="0"/>
              <w:right w:val="single" w:color="auto" w:sz="4" w:space="0"/>
            </w:tcBorders>
            <w:vAlign w:val="center"/>
          </w:tcPr>
          <w:p w14:paraId="527459E9">
            <w:pPr>
              <w:adjustRightInd w:val="0"/>
              <w:snapToGrid w:val="0"/>
              <w:spacing w:line="360" w:lineRule="auto"/>
              <w:jc w:val="left"/>
              <w:rPr>
                <w:rFonts w:ascii="宋体" w:hAnsi="宋体" w:cs="宋体"/>
                <w:kern w:val="21"/>
                <w:sz w:val="24"/>
                <w:szCs w:val="24"/>
              </w:rPr>
            </w:pPr>
            <w:r>
              <w:rPr>
                <w:rFonts w:hint="eastAsia" w:ascii="宋体" w:hAnsi="宋体" w:cs="宋体"/>
                <w:kern w:val="21"/>
                <w:sz w:val="24"/>
                <w:szCs w:val="24"/>
              </w:rPr>
              <w:t>按照河南省自然资源厅要求完成并提交成果。</w:t>
            </w:r>
          </w:p>
        </w:tc>
      </w:tr>
      <w:tr w14:paraId="7DD0C9FC">
        <w:tblPrEx>
          <w:tblCellMar>
            <w:top w:w="0" w:type="dxa"/>
            <w:left w:w="108" w:type="dxa"/>
            <w:bottom w:w="0" w:type="dxa"/>
            <w:right w:w="108" w:type="dxa"/>
          </w:tblCellMar>
        </w:tblPrEx>
        <w:trPr>
          <w:trHeight w:val="634"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14:paraId="56EAEC26">
            <w:pPr>
              <w:adjustRightInd w:val="0"/>
              <w:snapToGrid w:val="0"/>
              <w:spacing w:line="360" w:lineRule="auto"/>
              <w:jc w:val="center"/>
              <w:rPr>
                <w:rFonts w:ascii="宋体" w:hAnsi="宋体" w:cs="宋体"/>
                <w:color w:val="000000"/>
                <w:spacing w:val="11"/>
                <w:sz w:val="24"/>
                <w:szCs w:val="24"/>
              </w:rPr>
            </w:pPr>
            <w:r>
              <w:rPr>
                <w:rFonts w:hint="eastAsia" w:ascii="宋体" w:hAnsi="宋体" w:cs="宋体"/>
                <w:color w:val="000000"/>
                <w:spacing w:val="11"/>
                <w:sz w:val="24"/>
                <w:szCs w:val="24"/>
              </w:rPr>
              <w:t>7</w:t>
            </w:r>
          </w:p>
        </w:tc>
        <w:tc>
          <w:tcPr>
            <w:tcW w:w="1800" w:type="dxa"/>
            <w:tcBorders>
              <w:top w:val="single" w:color="auto" w:sz="4" w:space="0"/>
              <w:left w:val="nil"/>
              <w:bottom w:val="single" w:color="auto" w:sz="4" w:space="0"/>
              <w:right w:val="single" w:color="auto" w:sz="4" w:space="0"/>
            </w:tcBorders>
            <w:vAlign w:val="center"/>
          </w:tcPr>
          <w:p w14:paraId="7E1A0B8F">
            <w:pPr>
              <w:adjustRightInd w:val="0"/>
              <w:snapToGrid w:val="0"/>
              <w:spacing w:line="360" w:lineRule="auto"/>
              <w:ind w:firstLine="262" w:firstLineChars="100"/>
              <w:rPr>
                <w:rFonts w:ascii="宋体" w:hAnsi="宋体" w:cs="宋体"/>
                <w:spacing w:val="11"/>
                <w:sz w:val="24"/>
                <w:szCs w:val="24"/>
              </w:rPr>
            </w:pPr>
            <w:r>
              <w:rPr>
                <w:rFonts w:hint="eastAsia" w:ascii="宋体" w:hAnsi="宋体" w:cs="宋体"/>
                <w:spacing w:val="11"/>
                <w:sz w:val="24"/>
                <w:szCs w:val="24"/>
              </w:rPr>
              <w:t>质量要求</w:t>
            </w:r>
          </w:p>
        </w:tc>
        <w:tc>
          <w:tcPr>
            <w:tcW w:w="7015" w:type="dxa"/>
            <w:tcBorders>
              <w:top w:val="single" w:color="auto" w:sz="4" w:space="0"/>
              <w:left w:val="nil"/>
              <w:bottom w:val="single" w:color="auto" w:sz="4" w:space="0"/>
              <w:right w:val="single" w:color="auto" w:sz="4" w:space="0"/>
            </w:tcBorders>
            <w:vAlign w:val="center"/>
          </w:tcPr>
          <w:p w14:paraId="663C515F">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符合国家、地方及行业相关规范和标准</w:t>
            </w:r>
          </w:p>
        </w:tc>
      </w:tr>
      <w:tr w14:paraId="35B2AF6D">
        <w:tblPrEx>
          <w:tblCellMar>
            <w:top w:w="0" w:type="dxa"/>
            <w:left w:w="108" w:type="dxa"/>
            <w:bottom w:w="0" w:type="dxa"/>
            <w:right w:w="108" w:type="dxa"/>
          </w:tblCellMar>
        </w:tblPrEx>
        <w:trPr>
          <w:trHeight w:val="57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14:paraId="31C8DEB1">
            <w:pPr>
              <w:adjustRightInd w:val="0"/>
              <w:snapToGrid w:val="0"/>
              <w:spacing w:line="360" w:lineRule="auto"/>
              <w:jc w:val="center"/>
              <w:rPr>
                <w:rFonts w:ascii="宋体" w:hAnsi="宋体" w:cs="宋体"/>
                <w:color w:val="000000"/>
                <w:spacing w:val="11"/>
                <w:sz w:val="24"/>
                <w:szCs w:val="24"/>
              </w:rPr>
            </w:pPr>
            <w:r>
              <w:rPr>
                <w:rFonts w:hint="eastAsia" w:ascii="宋体" w:hAnsi="宋体" w:cs="宋体"/>
                <w:color w:val="000000"/>
                <w:spacing w:val="11"/>
                <w:sz w:val="24"/>
                <w:szCs w:val="24"/>
              </w:rPr>
              <w:t>8</w:t>
            </w:r>
          </w:p>
        </w:tc>
        <w:tc>
          <w:tcPr>
            <w:tcW w:w="1800" w:type="dxa"/>
            <w:tcBorders>
              <w:top w:val="single" w:color="auto" w:sz="4" w:space="0"/>
              <w:left w:val="nil"/>
              <w:bottom w:val="single" w:color="auto" w:sz="4" w:space="0"/>
              <w:right w:val="single" w:color="auto" w:sz="4" w:space="0"/>
            </w:tcBorders>
            <w:vAlign w:val="center"/>
          </w:tcPr>
          <w:p w14:paraId="62E2757F">
            <w:pPr>
              <w:adjustRightInd w:val="0"/>
              <w:snapToGrid w:val="0"/>
              <w:spacing w:line="360" w:lineRule="auto"/>
              <w:ind w:firstLine="262" w:firstLineChars="100"/>
              <w:rPr>
                <w:rFonts w:ascii="宋体" w:hAnsi="宋体" w:cs="宋体"/>
                <w:color w:val="000000"/>
                <w:spacing w:val="11"/>
                <w:sz w:val="24"/>
                <w:szCs w:val="24"/>
              </w:rPr>
            </w:pPr>
            <w:r>
              <w:rPr>
                <w:rFonts w:hint="eastAsia" w:ascii="宋体" w:hAnsi="宋体" w:cs="宋体"/>
                <w:color w:val="000000"/>
                <w:spacing w:val="11"/>
                <w:sz w:val="24"/>
                <w:szCs w:val="24"/>
              </w:rPr>
              <w:t>服务地点</w:t>
            </w:r>
          </w:p>
        </w:tc>
        <w:tc>
          <w:tcPr>
            <w:tcW w:w="7015" w:type="dxa"/>
            <w:tcBorders>
              <w:top w:val="single" w:color="auto" w:sz="4" w:space="0"/>
              <w:left w:val="nil"/>
              <w:bottom w:val="single" w:color="auto" w:sz="4" w:space="0"/>
              <w:right w:val="single" w:color="auto" w:sz="4" w:space="0"/>
            </w:tcBorders>
            <w:vAlign w:val="center"/>
          </w:tcPr>
          <w:p w14:paraId="74615E95">
            <w:pPr>
              <w:adjustRightInd w:val="0"/>
              <w:snapToGrid w:val="0"/>
              <w:spacing w:line="360" w:lineRule="auto"/>
              <w:rPr>
                <w:rFonts w:ascii="宋体" w:hAnsi="宋体" w:cs="宋体"/>
                <w:color w:val="000000"/>
                <w:spacing w:val="11"/>
                <w:sz w:val="24"/>
                <w:szCs w:val="24"/>
              </w:rPr>
            </w:pPr>
            <w:r>
              <w:rPr>
                <w:rFonts w:hint="eastAsia" w:ascii="宋体" w:hAnsi="宋体" w:cs="宋体"/>
                <w:color w:val="000000"/>
                <w:spacing w:val="11"/>
                <w:sz w:val="24"/>
                <w:szCs w:val="24"/>
              </w:rPr>
              <w:t>灵宝市</w:t>
            </w:r>
          </w:p>
        </w:tc>
      </w:tr>
      <w:tr w14:paraId="2D0FECB7">
        <w:tblPrEx>
          <w:tblCellMar>
            <w:top w:w="0" w:type="dxa"/>
            <w:left w:w="108" w:type="dxa"/>
            <w:bottom w:w="0" w:type="dxa"/>
            <w:right w:w="108" w:type="dxa"/>
          </w:tblCellMar>
        </w:tblPrEx>
        <w:trPr>
          <w:trHeight w:val="57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14:paraId="6ABDF35C">
            <w:pPr>
              <w:adjustRightInd w:val="0"/>
              <w:snapToGrid w:val="0"/>
              <w:spacing w:line="360" w:lineRule="auto"/>
              <w:jc w:val="center"/>
              <w:rPr>
                <w:rFonts w:ascii="宋体" w:hAnsi="宋体" w:cs="宋体"/>
                <w:color w:val="000000"/>
                <w:spacing w:val="11"/>
                <w:sz w:val="24"/>
                <w:szCs w:val="24"/>
              </w:rPr>
            </w:pPr>
            <w:r>
              <w:rPr>
                <w:rFonts w:hint="eastAsia" w:ascii="宋体" w:hAnsi="宋体" w:cs="宋体"/>
                <w:color w:val="000000"/>
                <w:spacing w:val="11"/>
                <w:sz w:val="24"/>
                <w:szCs w:val="24"/>
              </w:rPr>
              <w:t>9</w:t>
            </w:r>
          </w:p>
        </w:tc>
        <w:tc>
          <w:tcPr>
            <w:tcW w:w="1800" w:type="dxa"/>
            <w:tcBorders>
              <w:top w:val="single" w:color="auto" w:sz="4" w:space="0"/>
              <w:left w:val="nil"/>
              <w:bottom w:val="single" w:color="auto" w:sz="4" w:space="0"/>
              <w:right w:val="single" w:color="auto" w:sz="4" w:space="0"/>
            </w:tcBorders>
            <w:vAlign w:val="center"/>
          </w:tcPr>
          <w:p w14:paraId="1AC873EE">
            <w:pPr>
              <w:adjustRightInd w:val="0"/>
              <w:snapToGrid w:val="0"/>
              <w:spacing w:line="360" w:lineRule="auto"/>
              <w:ind w:firstLine="262" w:firstLineChars="100"/>
              <w:rPr>
                <w:rFonts w:ascii="宋体" w:hAnsi="宋体" w:cs="宋体"/>
                <w:color w:val="000000"/>
                <w:spacing w:val="11"/>
                <w:sz w:val="24"/>
                <w:szCs w:val="24"/>
              </w:rPr>
            </w:pPr>
            <w:r>
              <w:rPr>
                <w:rFonts w:hint="eastAsia" w:ascii="宋体" w:hAnsi="宋体" w:cs="宋体"/>
                <w:color w:val="000000"/>
                <w:spacing w:val="11"/>
                <w:sz w:val="24"/>
                <w:szCs w:val="24"/>
              </w:rPr>
              <w:t>付款方式</w:t>
            </w:r>
          </w:p>
        </w:tc>
        <w:tc>
          <w:tcPr>
            <w:tcW w:w="7015" w:type="dxa"/>
            <w:tcBorders>
              <w:top w:val="single" w:color="auto" w:sz="4" w:space="0"/>
              <w:left w:val="nil"/>
              <w:bottom w:val="single" w:color="auto" w:sz="4" w:space="0"/>
              <w:right w:val="single" w:color="auto" w:sz="4" w:space="0"/>
            </w:tcBorders>
            <w:vAlign w:val="center"/>
          </w:tcPr>
          <w:p w14:paraId="2C9D1FBD">
            <w:pPr>
              <w:adjustRightInd w:val="0"/>
              <w:snapToGrid w:val="0"/>
              <w:spacing w:line="360" w:lineRule="auto"/>
              <w:rPr>
                <w:rFonts w:ascii="宋体" w:hAnsi="宋体" w:cs="宋体"/>
                <w:color w:val="000000"/>
                <w:spacing w:val="11"/>
                <w:sz w:val="24"/>
                <w:szCs w:val="24"/>
              </w:rPr>
            </w:pPr>
            <w:r>
              <w:rPr>
                <w:rFonts w:hint="eastAsia" w:ascii="宋体" w:hAnsi="宋体" w:cs="宋体"/>
                <w:color w:val="000000"/>
                <w:sz w:val="24"/>
                <w:szCs w:val="24"/>
              </w:rPr>
              <w:t>中标后合同中约定</w:t>
            </w:r>
          </w:p>
        </w:tc>
      </w:tr>
      <w:tr w14:paraId="0EDFC5C5">
        <w:tblPrEx>
          <w:tblCellMar>
            <w:top w:w="0" w:type="dxa"/>
            <w:left w:w="108" w:type="dxa"/>
            <w:bottom w:w="0" w:type="dxa"/>
            <w:right w:w="108" w:type="dxa"/>
          </w:tblCellMar>
        </w:tblPrEx>
        <w:trPr>
          <w:trHeight w:val="57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14:paraId="78E3F29B">
            <w:pPr>
              <w:adjustRightInd w:val="0"/>
              <w:snapToGrid w:val="0"/>
              <w:spacing w:line="360" w:lineRule="auto"/>
              <w:jc w:val="center"/>
              <w:rPr>
                <w:rFonts w:ascii="宋体" w:hAnsi="宋体" w:cs="宋体"/>
                <w:color w:val="000000"/>
                <w:spacing w:val="11"/>
                <w:sz w:val="24"/>
                <w:szCs w:val="24"/>
              </w:rPr>
            </w:pPr>
            <w:r>
              <w:rPr>
                <w:rFonts w:hint="eastAsia" w:ascii="宋体" w:hAnsi="宋体" w:cs="宋体"/>
                <w:color w:val="000000"/>
                <w:spacing w:val="11"/>
                <w:sz w:val="24"/>
                <w:szCs w:val="24"/>
              </w:rPr>
              <w:t>10</w:t>
            </w:r>
          </w:p>
        </w:tc>
        <w:tc>
          <w:tcPr>
            <w:tcW w:w="1800" w:type="dxa"/>
            <w:tcBorders>
              <w:top w:val="single" w:color="auto" w:sz="4" w:space="0"/>
              <w:left w:val="nil"/>
              <w:bottom w:val="single" w:color="auto" w:sz="4" w:space="0"/>
              <w:right w:val="single" w:color="auto" w:sz="4" w:space="0"/>
            </w:tcBorders>
            <w:vAlign w:val="center"/>
          </w:tcPr>
          <w:p w14:paraId="0ADF02DD">
            <w:pPr>
              <w:adjustRightInd w:val="0"/>
              <w:snapToGrid w:val="0"/>
              <w:spacing w:line="360" w:lineRule="auto"/>
              <w:rPr>
                <w:rFonts w:ascii="宋体" w:hAnsi="宋体" w:cs="宋体"/>
                <w:spacing w:val="11"/>
                <w:sz w:val="24"/>
                <w:szCs w:val="24"/>
              </w:rPr>
            </w:pPr>
          </w:p>
          <w:p w14:paraId="2300E9DB">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供应商资质条件、能力和信誉</w:t>
            </w:r>
          </w:p>
        </w:tc>
        <w:tc>
          <w:tcPr>
            <w:tcW w:w="7015" w:type="dxa"/>
            <w:tcBorders>
              <w:top w:val="single" w:color="auto" w:sz="4" w:space="0"/>
              <w:left w:val="nil"/>
              <w:bottom w:val="single" w:color="auto" w:sz="4" w:space="0"/>
              <w:right w:val="single" w:color="auto" w:sz="4" w:space="0"/>
            </w:tcBorders>
            <w:vAlign w:val="center"/>
          </w:tcPr>
          <w:p w14:paraId="29FA3C40">
            <w:pPr>
              <w:adjustRightInd w:val="0"/>
              <w:snapToGrid w:val="0"/>
              <w:spacing w:line="360" w:lineRule="auto"/>
              <w:jc w:val="left"/>
              <w:rPr>
                <w:rFonts w:hint="eastAsia" w:ascii="宋体" w:hAnsi="宋体" w:cs="宋体"/>
                <w:kern w:val="21"/>
                <w:sz w:val="24"/>
                <w:szCs w:val="24"/>
              </w:rPr>
            </w:pPr>
            <w:r>
              <w:rPr>
                <w:rFonts w:hint="eastAsia" w:cs="宋体"/>
                <w:szCs w:val="24"/>
              </w:rPr>
              <w:t>1</w:t>
            </w:r>
            <w:r>
              <w:rPr>
                <w:rFonts w:hint="eastAsia" w:ascii="宋体" w:hAnsi="宋体" w:cs="宋体"/>
                <w:kern w:val="21"/>
                <w:sz w:val="24"/>
                <w:szCs w:val="24"/>
              </w:rPr>
              <w:t>、符合并响应《中华人民共和国政府采购法》的第二十二条的规定；</w:t>
            </w:r>
          </w:p>
          <w:p w14:paraId="7CD29979">
            <w:pPr>
              <w:adjustRightInd w:val="0"/>
              <w:snapToGrid w:val="0"/>
              <w:spacing w:line="360" w:lineRule="auto"/>
              <w:jc w:val="left"/>
              <w:rPr>
                <w:rFonts w:hint="eastAsia" w:ascii="宋体" w:hAnsi="宋体" w:cs="宋体"/>
                <w:kern w:val="21"/>
                <w:sz w:val="24"/>
                <w:szCs w:val="24"/>
              </w:rPr>
            </w:pPr>
            <w:r>
              <w:rPr>
                <w:rFonts w:hint="eastAsia" w:ascii="宋体" w:hAnsi="宋体" w:cs="宋体"/>
                <w:kern w:val="21"/>
                <w:sz w:val="24"/>
                <w:szCs w:val="24"/>
              </w:rPr>
              <w:t>（1）具有独立承担民事责任能力；</w:t>
            </w:r>
          </w:p>
          <w:p w14:paraId="40119D6A">
            <w:pPr>
              <w:adjustRightInd w:val="0"/>
              <w:snapToGrid w:val="0"/>
              <w:spacing w:line="360" w:lineRule="auto"/>
              <w:jc w:val="left"/>
              <w:rPr>
                <w:rFonts w:hint="eastAsia" w:ascii="宋体" w:hAnsi="宋体" w:cs="宋体"/>
                <w:kern w:val="21"/>
                <w:sz w:val="24"/>
                <w:szCs w:val="24"/>
              </w:rPr>
            </w:pPr>
            <w:r>
              <w:rPr>
                <w:rFonts w:hint="eastAsia" w:ascii="宋体" w:hAnsi="宋体" w:cs="宋体"/>
                <w:kern w:val="21"/>
                <w:sz w:val="24"/>
                <w:szCs w:val="24"/>
              </w:rPr>
              <w:t>（2）具有良好的商业信誉和健全的财务会计制度；</w:t>
            </w:r>
          </w:p>
          <w:p w14:paraId="4A97C9EA">
            <w:pPr>
              <w:adjustRightInd w:val="0"/>
              <w:snapToGrid w:val="0"/>
              <w:spacing w:line="360" w:lineRule="auto"/>
              <w:jc w:val="left"/>
              <w:rPr>
                <w:rFonts w:hint="eastAsia" w:ascii="宋体" w:hAnsi="宋体" w:cs="宋体"/>
                <w:kern w:val="21"/>
                <w:sz w:val="24"/>
                <w:szCs w:val="24"/>
              </w:rPr>
            </w:pPr>
            <w:r>
              <w:rPr>
                <w:rFonts w:hint="eastAsia" w:ascii="宋体" w:hAnsi="宋体" w:cs="宋体"/>
                <w:kern w:val="21"/>
                <w:sz w:val="24"/>
                <w:szCs w:val="24"/>
              </w:rPr>
              <w:t>（3）具有履行合同所必需的设备和专业技术能力；</w:t>
            </w:r>
          </w:p>
          <w:p w14:paraId="1F2CB088">
            <w:pPr>
              <w:adjustRightInd w:val="0"/>
              <w:snapToGrid w:val="0"/>
              <w:spacing w:line="360" w:lineRule="auto"/>
              <w:jc w:val="left"/>
              <w:rPr>
                <w:rFonts w:hint="eastAsia" w:ascii="宋体" w:hAnsi="宋体" w:cs="宋体"/>
                <w:kern w:val="21"/>
                <w:sz w:val="24"/>
                <w:szCs w:val="24"/>
              </w:rPr>
            </w:pPr>
            <w:r>
              <w:rPr>
                <w:rFonts w:hint="eastAsia" w:ascii="宋体" w:hAnsi="宋体" w:cs="宋体"/>
                <w:kern w:val="21"/>
                <w:sz w:val="24"/>
                <w:szCs w:val="24"/>
              </w:rPr>
              <w:t>（4）有依法缴纳税收和社会保障资金的良好记录；</w:t>
            </w:r>
          </w:p>
          <w:p w14:paraId="569FF28F">
            <w:pPr>
              <w:adjustRightInd w:val="0"/>
              <w:snapToGrid w:val="0"/>
              <w:spacing w:line="360" w:lineRule="auto"/>
              <w:jc w:val="left"/>
              <w:rPr>
                <w:rFonts w:hint="eastAsia" w:ascii="宋体" w:hAnsi="宋体" w:cs="宋体"/>
                <w:kern w:val="21"/>
                <w:sz w:val="24"/>
                <w:szCs w:val="24"/>
              </w:rPr>
            </w:pPr>
            <w:r>
              <w:rPr>
                <w:rFonts w:hint="eastAsia" w:ascii="宋体" w:hAnsi="宋体" w:cs="宋体"/>
                <w:kern w:val="21"/>
                <w:sz w:val="24"/>
                <w:szCs w:val="24"/>
              </w:rPr>
              <w:t>（5）参加政府采购活动前三年内，在经营活动中没有重大违法记录；</w:t>
            </w:r>
          </w:p>
          <w:p w14:paraId="43EAE440">
            <w:pPr>
              <w:adjustRightInd w:val="0"/>
              <w:snapToGrid w:val="0"/>
              <w:spacing w:line="360" w:lineRule="auto"/>
              <w:jc w:val="left"/>
              <w:rPr>
                <w:rFonts w:hint="eastAsia" w:ascii="宋体" w:hAnsi="宋体" w:cs="宋体"/>
                <w:kern w:val="21"/>
                <w:sz w:val="24"/>
                <w:szCs w:val="24"/>
                <w:highlight w:val="none"/>
              </w:rPr>
            </w:pPr>
            <w:r>
              <w:rPr>
                <w:rFonts w:hint="eastAsia" w:ascii="宋体" w:hAnsi="宋体" w:cs="宋体"/>
                <w:kern w:val="21"/>
                <w:sz w:val="24"/>
                <w:szCs w:val="24"/>
              </w:rPr>
              <w:t>2、供应商具有独立法人资格，具有合法有效的营业执照、税务登记证</w:t>
            </w:r>
            <w:r>
              <w:rPr>
                <w:rFonts w:hint="eastAsia" w:ascii="宋体" w:hAnsi="宋体" w:cs="宋体"/>
                <w:kern w:val="21"/>
                <w:sz w:val="24"/>
                <w:szCs w:val="24"/>
                <w:highlight w:val="none"/>
              </w:rPr>
              <w:t>、组织机构代码证（三证合一的仅提供营业执照、事业单位需提供事业单位法人证书）；</w:t>
            </w:r>
          </w:p>
          <w:p w14:paraId="2A265343">
            <w:pPr>
              <w:adjustRightInd w:val="0"/>
              <w:snapToGrid w:val="0"/>
              <w:spacing w:line="360" w:lineRule="auto"/>
              <w:jc w:val="left"/>
              <w:rPr>
                <w:rFonts w:hint="eastAsia" w:ascii="宋体" w:hAnsi="宋体" w:cs="宋体"/>
                <w:kern w:val="21"/>
                <w:sz w:val="24"/>
                <w:szCs w:val="24"/>
                <w:highlight w:val="none"/>
              </w:rPr>
            </w:pPr>
            <w:r>
              <w:rPr>
                <w:rFonts w:hint="eastAsia" w:ascii="宋体" w:hAnsi="宋体" w:cs="宋体"/>
                <w:kern w:val="21"/>
                <w:sz w:val="24"/>
                <w:szCs w:val="24"/>
                <w:highlight w:val="none"/>
                <w:lang w:val="en-US" w:eastAsia="zh-CN"/>
              </w:rPr>
              <w:t>3、</w:t>
            </w:r>
            <w:r>
              <w:rPr>
                <w:rFonts w:hint="eastAsia" w:ascii="宋体" w:hAnsi="宋体" w:cs="宋体"/>
                <w:kern w:val="21"/>
                <w:sz w:val="24"/>
                <w:szCs w:val="24"/>
                <w:highlight w:val="none"/>
              </w:rPr>
              <w:t>供应商须具备土地规划乙级及以上资质证书（如因国家机构改革或发证单位原因而暂停审批资质证书，对已到期的土地规划资质企业须提供相关证明材料或原发证单位提供的延期通知或声明），拟派项目负责人须具有中级及以上职称，且为本单位人员（提供职称证原件扫描件及</w:t>
            </w:r>
            <w:r>
              <w:rPr>
                <w:rFonts w:hint="eastAsia" w:ascii="宋体" w:hAnsi="宋体" w:cs="宋体"/>
                <w:color w:val="333333"/>
                <w:kern w:val="0"/>
                <w:sz w:val="24"/>
                <w:highlight w:val="none"/>
                <w:lang w:val="en-US" w:eastAsia="zh-CN"/>
              </w:rPr>
              <w:t>2024年任意一个月</w:t>
            </w:r>
            <w:r>
              <w:rPr>
                <w:rFonts w:hint="eastAsia" w:ascii="宋体" w:hAnsi="宋体" w:cs="宋体"/>
                <w:color w:val="333333"/>
                <w:kern w:val="0"/>
                <w:sz w:val="24"/>
                <w:highlight w:val="none"/>
              </w:rPr>
              <w:t>社保缴纳证明）；</w:t>
            </w:r>
          </w:p>
          <w:p w14:paraId="5D4D8759">
            <w:pPr>
              <w:adjustRightInd w:val="0"/>
              <w:snapToGrid w:val="0"/>
              <w:spacing w:line="360" w:lineRule="auto"/>
              <w:jc w:val="left"/>
              <w:rPr>
                <w:rFonts w:hint="eastAsia" w:ascii="宋体" w:hAnsi="宋体" w:cs="宋体"/>
                <w:kern w:val="21"/>
                <w:sz w:val="24"/>
                <w:szCs w:val="24"/>
                <w:highlight w:val="none"/>
              </w:rPr>
            </w:pPr>
            <w:r>
              <w:rPr>
                <w:rFonts w:hint="eastAsia" w:ascii="宋体" w:hAnsi="宋体" w:cs="宋体"/>
                <w:kern w:val="21"/>
                <w:sz w:val="24"/>
                <w:szCs w:val="24"/>
                <w:highlight w:val="none"/>
              </w:rPr>
              <w:t>4、根据《关于在政府采购活动中查询及使用信用记录有关问题的通知》(财库[2016]125号)的规定，对列入失信被执行人、重大税收违法失信主体【查询渠道：“信用中国”网站（www.creditchina.gov.cn）】、政府采购严重违法失信行为记录名单【查询渠道：中国政府采购网（www.ccgp.gov.cn）】的供应商，拒绝参与本项目政府采购活动；（查询时间自公告发布之日起，开标时间前截止）；</w:t>
            </w:r>
          </w:p>
          <w:p w14:paraId="7CCDBA67">
            <w:pPr>
              <w:adjustRightInd w:val="0"/>
              <w:snapToGrid w:val="0"/>
              <w:spacing w:line="360" w:lineRule="auto"/>
              <w:jc w:val="left"/>
              <w:rPr>
                <w:rFonts w:hint="eastAsia" w:ascii="宋体" w:hAnsi="宋体" w:cs="宋体"/>
                <w:kern w:val="21"/>
                <w:sz w:val="24"/>
                <w:szCs w:val="24"/>
                <w:highlight w:val="none"/>
              </w:rPr>
            </w:pPr>
            <w:r>
              <w:rPr>
                <w:rFonts w:hint="eastAsia" w:ascii="宋体" w:hAnsi="宋体" w:cs="宋体"/>
                <w:kern w:val="21"/>
                <w:sz w:val="24"/>
                <w:szCs w:val="24"/>
                <w:highlight w:val="none"/>
              </w:rPr>
              <w:t>5、参加政府采购活动近3年内无商业贿赂、不正当竞争行为、骗取中标、严重违约及重大质量等问题并出具承诺书；</w:t>
            </w:r>
          </w:p>
          <w:p w14:paraId="672ECF99">
            <w:pPr>
              <w:adjustRightInd w:val="0"/>
              <w:snapToGrid w:val="0"/>
              <w:spacing w:line="360" w:lineRule="auto"/>
              <w:jc w:val="left"/>
              <w:rPr>
                <w:rFonts w:hint="eastAsia" w:ascii="宋体" w:hAnsi="宋体" w:cs="宋体"/>
                <w:kern w:val="21"/>
                <w:sz w:val="24"/>
                <w:szCs w:val="24"/>
                <w:highlight w:val="none"/>
              </w:rPr>
            </w:pPr>
            <w:r>
              <w:rPr>
                <w:rFonts w:hint="eastAsia" w:ascii="宋体" w:hAnsi="宋体" w:cs="宋体"/>
                <w:kern w:val="21"/>
                <w:sz w:val="24"/>
                <w:szCs w:val="24"/>
                <w:highlight w:val="none"/>
              </w:rPr>
              <w:t>6、企业出具无行贿犯罪记录在中国裁判文书网自行查询或自行承诺（查询对象为企业、法定代表人）；</w:t>
            </w:r>
          </w:p>
          <w:p w14:paraId="04583975">
            <w:pPr>
              <w:adjustRightInd w:val="0"/>
              <w:snapToGrid w:val="0"/>
              <w:spacing w:line="360" w:lineRule="auto"/>
              <w:jc w:val="left"/>
              <w:rPr>
                <w:rFonts w:hint="eastAsia" w:ascii="宋体" w:hAnsi="宋体" w:cs="宋体"/>
                <w:kern w:val="21"/>
                <w:sz w:val="24"/>
                <w:szCs w:val="24"/>
                <w:highlight w:val="none"/>
              </w:rPr>
            </w:pPr>
            <w:r>
              <w:rPr>
                <w:rFonts w:hint="eastAsia" w:ascii="宋体" w:hAnsi="宋体" w:cs="宋体"/>
                <w:kern w:val="21"/>
                <w:sz w:val="24"/>
                <w:szCs w:val="24"/>
                <w:highlight w:val="none"/>
              </w:rPr>
              <w:t>7、单位负责人为同一人或者存在直接控股、管理关系的不同供应商，不得参加同一合同项下的政府采购活动【提供“国家企业信用信息公示系统”中查询打印的相关材料（需包含公司基础信息、股东及出资信息)</w:t>
            </w:r>
            <w:r>
              <w:rPr>
                <w:rFonts w:hint="eastAsia" w:ascii="宋体" w:hAnsi="宋体" w:cs="宋体"/>
                <w:kern w:val="21"/>
                <w:sz w:val="24"/>
                <w:szCs w:val="24"/>
                <w:highlight w:val="none"/>
                <w:lang w:eastAsia="zh-CN"/>
              </w:rPr>
              <w:t>，事业单位需</w:t>
            </w:r>
            <w:r>
              <w:rPr>
                <w:rFonts w:hint="eastAsia" w:ascii="宋体" w:hAnsi="宋体" w:cs="宋体"/>
                <w:color w:val="333333"/>
                <w:kern w:val="0"/>
                <w:sz w:val="24"/>
                <w:highlight w:val="none"/>
              </w:rPr>
              <w:t>出具承诺书</w:t>
            </w:r>
            <w:r>
              <w:rPr>
                <w:rFonts w:hint="eastAsia" w:ascii="宋体" w:hAnsi="宋体" w:cs="宋体"/>
                <w:kern w:val="21"/>
                <w:sz w:val="24"/>
                <w:szCs w:val="24"/>
                <w:highlight w:val="none"/>
              </w:rPr>
              <w:t>】。</w:t>
            </w:r>
          </w:p>
          <w:p w14:paraId="1D120F88">
            <w:pPr>
              <w:adjustRightInd w:val="0"/>
              <w:snapToGrid w:val="0"/>
              <w:spacing w:line="360" w:lineRule="auto"/>
              <w:jc w:val="left"/>
              <w:rPr>
                <w:rFonts w:hint="eastAsia" w:ascii="宋体" w:hAnsi="宋体" w:cs="宋体"/>
                <w:kern w:val="21"/>
                <w:sz w:val="24"/>
                <w:szCs w:val="24"/>
              </w:rPr>
            </w:pPr>
            <w:r>
              <w:rPr>
                <w:rFonts w:hint="eastAsia" w:ascii="宋体" w:hAnsi="宋体" w:cs="宋体"/>
                <w:kern w:val="21"/>
                <w:sz w:val="24"/>
                <w:szCs w:val="24"/>
              </w:rPr>
              <w:t xml:space="preserve">8、本次招标不接受联合体投标； </w:t>
            </w:r>
          </w:p>
          <w:p w14:paraId="131C7C83">
            <w:pPr>
              <w:adjustRightInd w:val="0"/>
              <w:snapToGrid w:val="0"/>
              <w:spacing w:line="360" w:lineRule="auto"/>
              <w:jc w:val="left"/>
              <w:rPr>
                <w:rFonts w:cs="宋体"/>
                <w:szCs w:val="24"/>
              </w:rPr>
            </w:pPr>
            <w:r>
              <w:rPr>
                <w:rFonts w:hint="eastAsia" w:ascii="宋体" w:hAnsi="宋体" w:cs="宋体"/>
                <w:kern w:val="21"/>
                <w:sz w:val="24"/>
                <w:szCs w:val="24"/>
              </w:rPr>
              <w:t>9、本次招标实行资格后审，资格审查的具体要求见磋商文件。</w:t>
            </w:r>
          </w:p>
        </w:tc>
      </w:tr>
      <w:tr w14:paraId="09ACCE23">
        <w:tblPrEx>
          <w:tblCellMar>
            <w:top w:w="0" w:type="dxa"/>
            <w:left w:w="108" w:type="dxa"/>
            <w:bottom w:w="0" w:type="dxa"/>
            <w:right w:w="108" w:type="dxa"/>
          </w:tblCellMar>
        </w:tblPrEx>
        <w:trPr>
          <w:trHeight w:val="57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14:paraId="64AE5A8A">
            <w:pPr>
              <w:adjustRightInd w:val="0"/>
              <w:snapToGrid w:val="0"/>
              <w:spacing w:line="360" w:lineRule="auto"/>
              <w:jc w:val="center"/>
              <w:rPr>
                <w:rFonts w:ascii="宋体" w:hAnsi="宋体" w:cs="宋体"/>
                <w:color w:val="000000"/>
                <w:spacing w:val="11"/>
                <w:sz w:val="24"/>
                <w:szCs w:val="24"/>
              </w:rPr>
            </w:pPr>
            <w:r>
              <w:rPr>
                <w:rFonts w:hint="eastAsia" w:ascii="宋体" w:hAnsi="宋体" w:cs="宋体"/>
                <w:color w:val="000000"/>
                <w:spacing w:val="11"/>
                <w:sz w:val="24"/>
                <w:szCs w:val="24"/>
              </w:rPr>
              <w:t>11</w:t>
            </w:r>
          </w:p>
        </w:tc>
        <w:tc>
          <w:tcPr>
            <w:tcW w:w="1800" w:type="dxa"/>
            <w:tcBorders>
              <w:top w:val="single" w:color="auto" w:sz="4" w:space="0"/>
              <w:left w:val="nil"/>
              <w:bottom w:val="single" w:color="auto" w:sz="4" w:space="0"/>
              <w:right w:val="single" w:color="auto" w:sz="4" w:space="0"/>
            </w:tcBorders>
            <w:vAlign w:val="center"/>
          </w:tcPr>
          <w:p w14:paraId="5680785A">
            <w:pPr>
              <w:adjustRightInd w:val="0"/>
              <w:snapToGrid w:val="0"/>
              <w:spacing w:line="360" w:lineRule="auto"/>
              <w:rPr>
                <w:rFonts w:ascii="宋体" w:hAnsi="宋体" w:cs="宋体"/>
                <w:color w:val="000000"/>
                <w:spacing w:val="11"/>
                <w:sz w:val="24"/>
                <w:szCs w:val="24"/>
              </w:rPr>
            </w:pPr>
            <w:r>
              <w:rPr>
                <w:rFonts w:hint="eastAsia" w:ascii="宋体" w:hAnsi="宋体" w:cs="宋体"/>
                <w:color w:val="000000"/>
                <w:spacing w:val="11"/>
                <w:sz w:val="24"/>
                <w:szCs w:val="24"/>
              </w:rPr>
              <w:t>是否接受联合体投标</w:t>
            </w:r>
          </w:p>
        </w:tc>
        <w:tc>
          <w:tcPr>
            <w:tcW w:w="7015" w:type="dxa"/>
            <w:tcBorders>
              <w:top w:val="single" w:color="auto" w:sz="4" w:space="0"/>
              <w:left w:val="nil"/>
              <w:bottom w:val="single" w:color="auto" w:sz="4" w:space="0"/>
              <w:right w:val="single" w:color="auto" w:sz="4" w:space="0"/>
            </w:tcBorders>
            <w:vAlign w:val="center"/>
          </w:tcPr>
          <w:p w14:paraId="5C073EE3">
            <w:pPr>
              <w:adjustRightInd w:val="0"/>
              <w:snapToGrid w:val="0"/>
              <w:spacing w:line="360" w:lineRule="auto"/>
              <w:rPr>
                <w:rFonts w:ascii="宋体" w:hAnsi="宋体" w:cs="宋体"/>
                <w:color w:val="000000"/>
                <w:spacing w:val="11"/>
                <w:sz w:val="24"/>
                <w:szCs w:val="24"/>
              </w:rPr>
            </w:pPr>
            <w:r>
              <w:rPr>
                <w:rFonts w:hint="eastAsia" w:ascii="宋体" w:hAnsi="宋体" w:cs="宋体"/>
                <w:color w:val="000000"/>
                <w:spacing w:val="11"/>
                <w:sz w:val="24"/>
                <w:szCs w:val="24"/>
              </w:rPr>
              <w:t>不接受</w:t>
            </w:r>
          </w:p>
        </w:tc>
      </w:tr>
      <w:tr w14:paraId="332600A2">
        <w:tblPrEx>
          <w:tblCellMar>
            <w:top w:w="0" w:type="dxa"/>
            <w:left w:w="108" w:type="dxa"/>
            <w:bottom w:w="0" w:type="dxa"/>
            <w:right w:w="108" w:type="dxa"/>
          </w:tblCellMar>
        </w:tblPrEx>
        <w:trPr>
          <w:trHeight w:val="57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14:paraId="061F4C36">
            <w:pPr>
              <w:adjustRightInd w:val="0"/>
              <w:snapToGrid w:val="0"/>
              <w:spacing w:line="360" w:lineRule="auto"/>
              <w:jc w:val="center"/>
              <w:rPr>
                <w:rFonts w:ascii="宋体" w:hAnsi="宋体" w:cs="宋体"/>
                <w:color w:val="000000"/>
                <w:spacing w:val="11"/>
                <w:sz w:val="24"/>
                <w:szCs w:val="24"/>
              </w:rPr>
            </w:pPr>
            <w:r>
              <w:rPr>
                <w:rFonts w:hint="eastAsia" w:ascii="宋体" w:hAnsi="宋体" w:cs="宋体"/>
                <w:color w:val="000000"/>
                <w:spacing w:val="11"/>
                <w:sz w:val="24"/>
                <w:szCs w:val="24"/>
              </w:rPr>
              <w:t>12</w:t>
            </w:r>
          </w:p>
        </w:tc>
        <w:tc>
          <w:tcPr>
            <w:tcW w:w="1800" w:type="dxa"/>
            <w:tcBorders>
              <w:top w:val="single" w:color="auto" w:sz="4" w:space="0"/>
              <w:left w:val="nil"/>
              <w:bottom w:val="single" w:color="auto" w:sz="4" w:space="0"/>
              <w:right w:val="single" w:color="auto" w:sz="4" w:space="0"/>
            </w:tcBorders>
            <w:vAlign w:val="center"/>
          </w:tcPr>
          <w:p w14:paraId="0FC977EA">
            <w:pPr>
              <w:adjustRightInd w:val="0"/>
              <w:snapToGrid w:val="0"/>
              <w:spacing w:line="360" w:lineRule="auto"/>
              <w:rPr>
                <w:rFonts w:ascii="宋体" w:hAnsi="宋体" w:cs="宋体"/>
                <w:color w:val="000000"/>
                <w:spacing w:val="11"/>
                <w:sz w:val="24"/>
                <w:szCs w:val="24"/>
              </w:rPr>
            </w:pPr>
            <w:r>
              <w:rPr>
                <w:rFonts w:hint="eastAsia" w:ascii="宋体" w:hAnsi="宋体" w:cs="宋体"/>
                <w:color w:val="000000"/>
                <w:spacing w:val="11"/>
                <w:sz w:val="24"/>
                <w:szCs w:val="24"/>
              </w:rPr>
              <w:t>磋商预备会</w:t>
            </w:r>
          </w:p>
        </w:tc>
        <w:tc>
          <w:tcPr>
            <w:tcW w:w="7015" w:type="dxa"/>
            <w:tcBorders>
              <w:top w:val="single" w:color="auto" w:sz="4" w:space="0"/>
              <w:left w:val="nil"/>
              <w:bottom w:val="single" w:color="auto" w:sz="4" w:space="0"/>
              <w:right w:val="single" w:color="auto" w:sz="4" w:space="0"/>
            </w:tcBorders>
            <w:vAlign w:val="center"/>
          </w:tcPr>
          <w:p w14:paraId="79352969">
            <w:pPr>
              <w:adjustRightInd w:val="0"/>
              <w:snapToGrid w:val="0"/>
              <w:spacing w:line="360" w:lineRule="auto"/>
              <w:rPr>
                <w:rFonts w:ascii="宋体" w:hAnsi="宋体" w:cs="宋体"/>
                <w:color w:val="000000"/>
                <w:sz w:val="24"/>
                <w:szCs w:val="24"/>
              </w:rPr>
            </w:pPr>
            <w:r>
              <w:rPr>
                <w:rFonts w:hint="eastAsia" w:ascii="宋体" w:hAnsi="宋体" w:cs="宋体"/>
                <w:color w:val="000000"/>
                <w:spacing w:val="11"/>
                <w:sz w:val="24"/>
                <w:szCs w:val="24"/>
              </w:rPr>
              <w:t>不召开</w:t>
            </w:r>
          </w:p>
        </w:tc>
      </w:tr>
      <w:tr w14:paraId="58BCD4B0">
        <w:tblPrEx>
          <w:tblCellMar>
            <w:top w:w="0" w:type="dxa"/>
            <w:left w:w="108" w:type="dxa"/>
            <w:bottom w:w="0" w:type="dxa"/>
            <w:right w:w="108" w:type="dxa"/>
          </w:tblCellMar>
        </w:tblPrEx>
        <w:trPr>
          <w:trHeight w:val="57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14:paraId="5D5CE119">
            <w:pPr>
              <w:adjustRightInd w:val="0"/>
              <w:snapToGrid w:val="0"/>
              <w:spacing w:line="360" w:lineRule="auto"/>
              <w:jc w:val="center"/>
              <w:rPr>
                <w:rFonts w:ascii="宋体" w:hAnsi="宋体" w:cs="宋体"/>
                <w:color w:val="000000"/>
                <w:spacing w:val="11"/>
                <w:sz w:val="24"/>
                <w:szCs w:val="24"/>
              </w:rPr>
            </w:pPr>
            <w:r>
              <w:rPr>
                <w:rFonts w:hint="eastAsia" w:ascii="宋体" w:hAnsi="宋体" w:cs="宋体"/>
                <w:color w:val="000000"/>
                <w:spacing w:val="11"/>
                <w:sz w:val="24"/>
                <w:szCs w:val="24"/>
              </w:rPr>
              <w:t>13</w:t>
            </w:r>
          </w:p>
        </w:tc>
        <w:tc>
          <w:tcPr>
            <w:tcW w:w="1800" w:type="dxa"/>
            <w:tcBorders>
              <w:top w:val="single" w:color="auto" w:sz="4" w:space="0"/>
              <w:left w:val="nil"/>
              <w:bottom w:val="single" w:color="auto" w:sz="4" w:space="0"/>
              <w:right w:val="single" w:color="auto" w:sz="4" w:space="0"/>
            </w:tcBorders>
            <w:vAlign w:val="center"/>
          </w:tcPr>
          <w:p w14:paraId="1D63292C">
            <w:pPr>
              <w:adjustRightInd w:val="0"/>
              <w:snapToGrid w:val="0"/>
              <w:spacing w:line="360" w:lineRule="auto"/>
              <w:rPr>
                <w:rFonts w:ascii="宋体" w:hAnsi="宋体" w:cs="宋体"/>
                <w:spacing w:val="11"/>
                <w:sz w:val="24"/>
                <w:szCs w:val="24"/>
              </w:rPr>
            </w:pPr>
            <w:r>
              <w:rPr>
                <w:rFonts w:hint="eastAsia" w:ascii="宋体" w:hAnsi="宋体" w:cs="宋体"/>
                <w:spacing w:val="11"/>
                <w:sz w:val="24"/>
                <w:szCs w:val="24"/>
              </w:rPr>
              <w:t>现场踏勘</w:t>
            </w:r>
          </w:p>
        </w:tc>
        <w:tc>
          <w:tcPr>
            <w:tcW w:w="7015" w:type="dxa"/>
            <w:tcBorders>
              <w:top w:val="single" w:color="auto" w:sz="4" w:space="0"/>
              <w:left w:val="nil"/>
              <w:bottom w:val="single" w:color="auto" w:sz="4" w:space="0"/>
              <w:right w:val="single" w:color="auto" w:sz="4" w:space="0"/>
            </w:tcBorders>
            <w:vAlign w:val="center"/>
          </w:tcPr>
          <w:p w14:paraId="3F181CF1">
            <w:pPr>
              <w:adjustRightInd w:val="0"/>
              <w:snapToGrid w:val="0"/>
              <w:spacing w:line="360" w:lineRule="auto"/>
              <w:rPr>
                <w:rFonts w:ascii="宋体" w:hAnsi="宋体" w:cs="宋体"/>
                <w:spacing w:val="11"/>
                <w:sz w:val="24"/>
                <w:szCs w:val="24"/>
              </w:rPr>
            </w:pPr>
            <w:r>
              <w:rPr>
                <w:rFonts w:hAnsi="宋体"/>
                <w:sz w:val="24"/>
              </w:rPr>
              <w:t>由</w:t>
            </w:r>
            <w:r>
              <w:rPr>
                <w:rFonts w:hint="eastAsia" w:hAnsi="宋体"/>
                <w:sz w:val="24"/>
              </w:rPr>
              <w:t>投标人或投标意向人根据需要自行组织</w:t>
            </w:r>
            <w:r>
              <w:rPr>
                <w:rFonts w:hAnsi="宋体"/>
                <w:sz w:val="24"/>
              </w:rPr>
              <w:t>现场踏勘</w:t>
            </w:r>
          </w:p>
        </w:tc>
      </w:tr>
      <w:tr w14:paraId="43C24942">
        <w:tblPrEx>
          <w:tblCellMar>
            <w:top w:w="0" w:type="dxa"/>
            <w:left w:w="108" w:type="dxa"/>
            <w:bottom w:w="0" w:type="dxa"/>
            <w:right w:w="108" w:type="dxa"/>
          </w:tblCellMar>
        </w:tblPrEx>
        <w:trPr>
          <w:trHeight w:val="67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14:paraId="6BE46CE8">
            <w:pPr>
              <w:adjustRightInd w:val="0"/>
              <w:snapToGrid w:val="0"/>
              <w:spacing w:line="360" w:lineRule="auto"/>
              <w:jc w:val="center"/>
              <w:rPr>
                <w:rFonts w:ascii="宋体" w:hAnsi="宋体" w:cs="宋体"/>
                <w:color w:val="000000"/>
                <w:spacing w:val="11"/>
                <w:sz w:val="24"/>
                <w:szCs w:val="24"/>
              </w:rPr>
            </w:pPr>
            <w:r>
              <w:rPr>
                <w:rFonts w:hint="eastAsia" w:ascii="宋体" w:hAnsi="宋体" w:cs="宋体"/>
                <w:color w:val="000000"/>
                <w:spacing w:val="11"/>
                <w:sz w:val="24"/>
                <w:szCs w:val="24"/>
              </w:rPr>
              <w:t>14</w:t>
            </w:r>
          </w:p>
        </w:tc>
        <w:tc>
          <w:tcPr>
            <w:tcW w:w="1800" w:type="dxa"/>
            <w:tcBorders>
              <w:top w:val="single" w:color="auto" w:sz="4" w:space="0"/>
              <w:left w:val="nil"/>
              <w:bottom w:val="single" w:color="auto" w:sz="4" w:space="0"/>
              <w:right w:val="single" w:color="auto" w:sz="4" w:space="0"/>
            </w:tcBorders>
            <w:vAlign w:val="center"/>
          </w:tcPr>
          <w:p w14:paraId="33013B13">
            <w:pPr>
              <w:adjustRightInd w:val="0"/>
              <w:snapToGrid w:val="0"/>
              <w:spacing w:line="360" w:lineRule="auto"/>
              <w:rPr>
                <w:rFonts w:ascii="宋体" w:hAnsi="宋体" w:cs="宋体"/>
                <w:color w:val="FF0000"/>
                <w:spacing w:val="11"/>
                <w:sz w:val="24"/>
                <w:szCs w:val="24"/>
              </w:rPr>
            </w:pPr>
            <w:r>
              <w:rPr>
                <w:rFonts w:hint="eastAsia" w:ascii="宋体" w:hAnsi="宋体" w:cs="宋体"/>
                <w:color w:val="000000"/>
                <w:spacing w:val="11"/>
                <w:sz w:val="24"/>
                <w:szCs w:val="24"/>
              </w:rPr>
              <w:t>供应商提出问题的截止时间</w:t>
            </w:r>
          </w:p>
        </w:tc>
        <w:tc>
          <w:tcPr>
            <w:tcW w:w="7015" w:type="dxa"/>
            <w:tcBorders>
              <w:top w:val="single" w:color="auto" w:sz="4" w:space="0"/>
              <w:left w:val="nil"/>
              <w:bottom w:val="single" w:color="auto" w:sz="4" w:space="0"/>
              <w:right w:val="single" w:color="auto" w:sz="4" w:space="0"/>
            </w:tcBorders>
            <w:vAlign w:val="center"/>
          </w:tcPr>
          <w:p w14:paraId="170D4C6D">
            <w:pPr>
              <w:adjustRightInd w:val="0"/>
              <w:snapToGrid w:val="0"/>
              <w:spacing w:line="360" w:lineRule="auto"/>
              <w:rPr>
                <w:rFonts w:ascii="宋体" w:hAnsi="宋体" w:cs="宋体"/>
                <w:color w:val="FF0000"/>
                <w:sz w:val="24"/>
                <w:szCs w:val="24"/>
              </w:rPr>
            </w:pPr>
            <w:r>
              <w:rPr>
                <w:rFonts w:hint="eastAsia" w:ascii="宋体" w:hAnsi="宋体" w:cs="宋体"/>
                <w:sz w:val="24"/>
                <w:szCs w:val="24"/>
              </w:rPr>
              <w:t>响应性文件递交截止时间5天前</w:t>
            </w:r>
          </w:p>
        </w:tc>
      </w:tr>
      <w:tr w14:paraId="4D143A3A">
        <w:tblPrEx>
          <w:tblCellMar>
            <w:top w:w="0" w:type="dxa"/>
            <w:left w:w="108" w:type="dxa"/>
            <w:bottom w:w="0" w:type="dxa"/>
            <w:right w:w="108" w:type="dxa"/>
          </w:tblCellMar>
        </w:tblPrEx>
        <w:trPr>
          <w:trHeight w:val="67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14:paraId="5CE86714">
            <w:pPr>
              <w:adjustRightInd w:val="0"/>
              <w:snapToGrid w:val="0"/>
              <w:spacing w:line="360" w:lineRule="auto"/>
              <w:jc w:val="center"/>
              <w:rPr>
                <w:rFonts w:ascii="宋体" w:hAnsi="宋体" w:cs="宋体"/>
                <w:color w:val="000000"/>
                <w:spacing w:val="11"/>
                <w:sz w:val="24"/>
                <w:szCs w:val="24"/>
              </w:rPr>
            </w:pPr>
            <w:r>
              <w:rPr>
                <w:rFonts w:hint="eastAsia" w:ascii="宋体" w:hAnsi="宋体" w:cs="宋体"/>
                <w:color w:val="000000"/>
                <w:spacing w:val="11"/>
                <w:sz w:val="24"/>
                <w:szCs w:val="24"/>
              </w:rPr>
              <w:t>15</w:t>
            </w:r>
          </w:p>
        </w:tc>
        <w:tc>
          <w:tcPr>
            <w:tcW w:w="1800" w:type="dxa"/>
            <w:tcBorders>
              <w:top w:val="single" w:color="auto" w:sz="4" w:space="0"/>
              <w:left w:val="nil"/>
              <w:bottom w:val="single" w:color="auto" w:sz="4" w:space="0"/>
              <w:right w:val="single" w:color="auto" w:sz="4" w:space="0"/>
            </w:tcBorders>
            <w:vAlign w:val="center"/>
          </w:tcPr>
          <w:p w14:paraId="0D3C3274">
            <w:pPr>
              <w:adjustRightInd w:val="0"/>
              <w:snapToGrid w:val="0"/>
              <w:spacing w:line="360" w:lineRule="auto"/>
              <w:rPr>
                <w:rFonts w:ascii="宋体" w:hAnsi="宋体" w:cs="宋体"/>
                <w:color w:val="000000"/>
                <w:spacing w:val="11"/>
                <w:sz w:val="24"/>
                <w:szCs w:val="24"/>
              </w:rPr>
            </w:pPr>
            <w:r>
              <w:rPr>
                <w:rFonts w:hint="eastAsia" w:ascii="宋体" w:hAnsi="宋体" w:cs="宋体"/>
                <w:color w:val="000000"/>
                <w:spacing w:val="11"/>
                <w:sz w:val="24"/>
                <w:szCs w:val="24"/>
              </w:rPr>
              <w:t>采购人书面澄清的时间</w:t>
            </w:r>
          </w:p>
        </w:tc>
        <w:tc>
          <w:tcPr>
            <w:tcW w:w="7015" w:type="dxa"/>
            <w:tcBorders>
              <w:top w:val="single" w:color="auto" w:sz="4" w:space="0"/>
              <w:left w:val="nil"/>
              <w:bottom w:val="single" w:color="auto" w:sz="4" w:space="0"/>
              <w:right w:val="single" w:color="auto" w:sz="4" w:space="0"/>
            </w:tcBorders>
            <w:vAlign w:val="center"/>
          </w:tcPr>
          <w:p w14:paraId="311F7F1F">
            <w:pPr>
              <w:adjustRightInd w:val="0"/>
              <w:snapToGrid w:val="0"/>
              <w:spacing w:line="360" w:lineRule="auto"/>
              <w:rPr>
                <w:rFonts w:ascii="宋体" w:hAnsi="宋体" w:cs="宋体"/>
                <w:color w:val="000000"/>
                <w:spacing w:val="11"/>
                <w:sz w:val="24"/>
                <w:szCs w:val="24"/>
              </w:rPr>
            </w:pPr>
            <w:r>
              <w:rPr>
                <w:rFonts w:hint="eastAsia" w:ascii="宋体" w:hAnsi="宋体" w:cs="宋体"/>
                <w:sz w:val="24"/>
                <w:szCs w:val="24"/>
              </w:rPr>
              <w:t>响应性文件递交截止时间5天前</w:t>
            </w:r>
          </w:p>
        </w:tc>
      </w:tr>
      <w:tr w14:paraId="3A7509CC">
        <w:tblPrEx>
          <w:tblCellMar>
            <w:top w:w="0" w:type="dxa"/>
            <w:left w:w="108" w:type="dxa"/>
            <w:bottom w:w="0" w:type="dxa"/>
            <w:right w:w="108" w:type="dxa"/>
          </w:tblCellMar>
        </w:tblPrEx>
        <w:trPr>
          <w:trHeight w:val="613"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14:paraId="2C6D3D8D">
            <w:pPr>
              <w:adjustRightInd w:val="0"/>
              <w:snapToGrid w:val="0"/>
              <w:spacing w:line="360" w:lineRule="auto"/>
              <w:jc w:val="center"/>
              <w:rPr>
                <w:rFonts w:ascii="宋体" w:hAnsi="宋体" w:cs="宋体"/>
                <w:color w:val="000000"/>
                <w:spacing w:val="11"/>
                <w:sz w:val="24"/>
                <w:szCs w:val="24"/>
              </w:rPr>
            </w:pPr>
            <w:r>
              <w:rPr>
                <w:rFonts w:hint="eastAsia" w:ascii="宋体" w:hAnsi="宋体" w:cs="宋体"/>
                <w:color w:val="000000"/>
                <w:spacing w:val="11"/>
                <w:sz w:val="24"/>
                <w:szCs w:val="24"/>
              </w:rPr>
              <w:t>16</w:t>
            </w:r>
          </w:p>
        </w:tc>
        <w:tc>
          <w:tcPr>
            <w:tcW w:w="1800" w:type="dxa"/>
            <w:tcBorders>
              <w:top w:val="single" w:color="auto" w:sz="4" w:space="0"/>
              <w:left w:val="nil"/>
              <w:bottom w:val="single" w:color="auto" w:sz="4" w:space="0"/>
              <w:right w:val="single" w:color="auto" w:sz="4" w:space="0"/>
            </w:tcBorders>
            <w:vAlign w:val="center"/>
          </w:tcPr>
          <w:p w14:paraId="5F9954BA">
            <w:pPr>
              <w:adjustRightInd w:val="0"/>
              <w:snapToGrid w:val="0"/>
              <w:spacing w:line="360" w:lineRule="auto"/>
              <w:rPr>
                <w:rFonts w:ascii="宋体" w:hAnsi="宋体" w:cs="宋体"/>
                <w:color w:val="000000"/>
                <w:spacing w:val="11"/>
                <w:sz w:val="24"/>
                <w:szCs w:val="24"/>
              </w:rPr>
            </w:pPr>
            <w:r>
              <w:rPr>
                <w:rFonts w:hint="eastAsia" w:ascii="宋体" w:hAnsi="宋体" w:cs="宋体"/>
                <w:color w:val="000000"/>
                <w:spacing w:val="11"/>
                <w:sz w:val="24"/>
                <w:szCs w:val="24"/>
              </w:rPr>
              <w:t>分包</w:t>
            </w:r>
          </w:p>
        </w:tc>
        <w:tc>
          <w:tcPr>
            <w:tcW w:w="7015" w:type="dxa"/>
            <w:tcBorders>
              <w:top w:val="single" w:color="auto" w:sz="4" w:space="0"/>
              <w:left w:val="nil"/>
              <w:bottom w:val="single" w:color="auto" w:sz="4" w:space="0"/>
              <w:right w:val="single" w:color="auto" w:sz="4" w:space="0"/>
            </w:tcBorders>
            <w:vAlign w:val="center"/>
          </w:tcPr>
          <w:p w14:paraId="42E290F5">
            <w:pPr>
              <w:adjustRightInd w:val="0"/>
              <w:snapToGrid w:val="0"/>
              <w:spacing w:line="360" w:lineRule="auto"/>
              <w:rPr>
                <w:rFonts w:ascii="宋体" w:hAnsi="宋体" w:cs="宋体"/>
                <w:color w:val="000000"/>
                <w:spacing w:val="11"/>
                <w:sz w:val="24"/>
                <w:szCs w:val="24"/>
              </w:rPr>
            </w:pPr>
            <w:r>
              <w:rPr>
                <w:rFonts w:hint="eastAsia" w:ascii="宋体" w:hAnsi="宋体" w:cs="宋体"/>
                <w:color w:val="000000"/>
                <w:spacing w:val="11"/>
                <w:sz w:val="24"/>
                <w:szCs w:val="24"/>
              </w:rPr>
              <w:t>不允许（转包、分包均不允许）</w:t>
            </w:r>
          </w:p>
        </w:tc>
      </w:tr>
      <w:tr w14:paraId="02811628">
        <w:tblPrEx>
          <w:tblCellMar>
            <w:top w:w="0" w:type="dxa"/>
            <w:left w:w="108" w:type="dxa"/>
            <w:bottom w:w="0" w:type="dxa"/>
            <w:right w:w="108" w:type="dxa"/>
          </w:tblCellMar>
        </w:tblPrEx>
        <w:trPr>
          <w:trHeight w:val="613"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14:paraId="742FDDE0">
            <w:pPr>
              <w:adjustRightInd w:val="0"/>
              <w:snapToGrid w:val="0"/>
              <w:spacing w:line="360" w:lineRule="auto"/>
              <w:jc w:val="center"/>
              <w:rPr>
                <w:rFonts w:ascii="宋体" w:hAnsi="宋体" w:cs="宋体"/>
                <w:color w:val="000000"/>
                <w:spacing w:val="11"/>
                <w:sz w:val="24"/>
                <w:szCs w:val="24"/>
              </w:rPr>
            </w:pPr>
            <w:r>
              <w:rPr>
                <w:rFonts w:hint="eastAsia" w:ascii="宋体" w:hAnsi="宋体" w:cs="宋体"/>
                <w:color w:val="000000"/>
                <w:spacing w:val="11"/>
                <w:sz w:val="24"/>
                <w:szCs w:val="24"/>
              </w:rPr>
              <w:t>17</w:t>
            </w:r>
          </w:p>
        </w:tc>
        <w:tc>
          <w:tcPr>
            <w:tcW w:w="1800" w:type="dxa"/>
            <w:tcBorders>
              <w:top w:val="single" w:color="auto" w:sz="4" w:space="0"/>
              <w:left w:val="nil"/>
              <w:bottom w:val="single" w:color="auto" w:sz="4" w:space="0"/>
              <w:right w:val="single" w:color="auto" w:sz="4" w:space="0"/>
            </w:tcBorders>
            <w:vAlign w:val="center"/>
          </w:tcPr>
          <w:p w14:paraId="7241ADA2">
            <w:pPr>
              <w:adjustRightInd w:val="0"/>
              <w:snapToGrid w:val="0"/>
              <w:spacing w:line="360" w:lineRule="auto"/>
              <w:rPr>
                <w:rFonts w:ascii="宋体" w:hAnsi="宋体" w:cs="宋体"/>
                <w:color w:val="000000"/>
                <w:spacing w:val="11"/>
                <w:sz w:val="24"/>
                <w:szCs w:val="24"/>
              </w:rPr>
            </w:pPr>
            <w:r>
              <w:rPr>
                <w:rFonts w:hint="eastAsia" w:ascii="宋体" w:hAnsi="宋体" w:cs="宋体"/>
                <w:color w:val="000000"/>
                <w:spacing w:val="11"/>
                <w:sz w:val="24"/>
                <w:szCs w:val="24"/>
              </w:rPr>
              <w:t>偏离</w:t>
            </w:r>
          </w:p>
        </w:tc>
        <w:tc>
          <w:tcPr>
            <w:tcW w:w="7015" w:type="dxa"/>
            <w:tcBorders>
              <w:top w:val="single" w:color="auto" w:sz="4" w:space="0"/>
              <w:left w:val="nil"/>
              <w:bottom w:val="single" w:color="auto" w:sz="4" w:space="0"/>
              <w:right w:val="single" w:color="auto" w:sz="4" w:space="0"/>
            </w:tcBorders>
            <w:vAlign w:val="center"/>
          </w:tcPr>
          <w:p w14:paraId="2EE2979E">
            <w:pPr>
              <w:adjustRightInd w:val="0"/>
              <w:snapToGrid w:val="0"/>
              <w:spacing w:line="360" w:lineRule="auto"/>
              <w:rPr>
                <w:rFonts w:ascii="宋体" w:hAnsi="宋体" w:cs="宋体"/>
                <w:color w:val="000000"/>
                <w:spacing w:val="11"/>
                <w:sz w:val="24"/>
                <w:szCs w:val="24"/>
              </w:rPr>
            </w:pPr>
            <w:r>
              <w:rPr>
                <w:rFonts w:hint="eastAsia" w:ascii="宋体" w:hAnsi="宋体" w:cs="宋体"/>
                <w:color w:val="000000"/>
                <w:spacing w:val="11"/>
                <w:sz w:val="24"/>
                <w:szCs w:val="24"/>
              </w:rPr>
              <w:t>不允许</w:t>
            </w:r>
          </w:p>
        </w:tc>
      </w:tr>
      <w:tr w14:paraId="7BEC90BB">
        <w:tblPrEx>
          <w:tblCellMar>
            <w:top w:w="0" w:type="dxa"/>
            <w:left w:w="108" w:type="dxa"/>
            <w:bottom w:w="0" w:type="dxa"/>
            <w:right w:w="108" w:type="dxa"/>
          </w:tblCellMar>
        </w:tblPrEx>
        <w:trPr>
          <w:trHeight w:val="607"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14:paraId="3CE07D39">
            <w:pPr>
              <w:adjustRightInd w:val="0"/>
              <w:snapToGrid w:val="0"/>
              <w:spacing w:line="360" w:lineRule="auto"/>
              <w:jc w:val="center"/>
              <w:rPr>
                <w:rFonts w:ascii="宋体" w:hAnsi="宋体" w:cs="宋体"/>
                <w:color w:val="000000"/>
                <w:spacing w:val="11"/>
                <w:sz w:val="24"/>
                <w:szCs w:val="24"/>
              </w:rPr>
            </w:pPr>
            <w:r>
              <w:rPr>
                <w:rFonts w:hint="eastAsia" w:ascii="宋体" w:hAnsi="宋体" w:cs="宋体"/>
                <w:color w:val="000000"/>
                <w:spacing w:val="11"/>
                <w:sz w:val="24"/>
                <w:szCs w:val="24"/>
              </w:rPr>
              <w:t>18</w:t>
            </w:r>
          </w:p>
        </w:tc>
        <w:tc>
          <w:tcPr>
            <w:tcW w:w="1800" w:type="dxa"/>
            <w:tcBorders>
              <w:top w:val="single" w:color="auto" w:sz="4" w:space="0"/>
              <w:left w:val="nil"/>
              <w:bottom w:val="single" w:color="auto" w:sz="4" w:space="0"/>
              <w:right w:val="single" w:color="auto" w:sz="4" w:space="0"/>
            </w:tcBorders>
            <w:vAlign w:val="center"/>
          </w:tcPr>
          <w:p w14:paraId="4962CA5E">
            <w:pPr>
              <w:adjustRightInd w:val="0"/>
              <w:snapToGrid w:val="0"/>
              <w:spacing w:line="360" w:lineRule="auto"/>
              <w:rPr>
                <w:rFonts w:ascii="宋体" w:hAnsi="宋体" w:cs="宋体"/>
                <w:color w:val="000000"/>
                <w:spacing w:val="11"/>
                <w:sz w:val="24"/>
                <w:szCs w:val="24"/>
              </w:rPr>
            </w:pPr>
            <w:r>
              <w:rPr>
                <w:rFonts w:hint="eastAsia" w:ascii="宋体" w:hAnsi="宋体" w:cs="宋体"/>
                <w:color w:val="000000"/>
                <w:spacing w:val="11"/>
                <w:sz w:val="24"/>
                <w:szCs w:val="24"/>
              </w:rPr>
              <w:t>构成磋商文件的其他材料</w:t>
            </w:r>
          </w:p>
        </w:tc>
        <w:tc>
          <w:tcPr>
            <w:tcW w:w="7015" w:type="dxa"/>
            <w:tcBorders>
              <w:top w:val="single" w:color="auto" w:sz="4" w:space="0"/>
              <w:left w:val="nil"/>
              <w:bottom w:val="single" w:color="auto" w:sz="4" w:space="0"/>
              <w:right w:val="single" w:color="auto" w:sz="4" w:space="0"/>
            </w:tcBorders>
            <w:vAlign w:val="center"/>
          </w:tcPr>
          <w:p w14:paraId="5058DF02">
            <w:pPr>
              <w:adjustRightInd w:val="0"/>
              <w:snapToGrid w:val="0"/>
              <w:spacing w:line="360" w:lineRule="auto"/>
              <w:rPr>
                <w:rFonts w:ascii="宋体" w:hAnsi="宋体" w:cs="宋体"/>
                <w:color w:val="000000"/>
                <w:spacing w:val="11"/>
                <w:sz w:val="24"/>
                <w:szCs w:val="24"/>
              </w:rPr>
            </w:pPr>
            <w:r>
              <w:rPr>
                <w:rFonts w:hint="eastAsia" w:ascii="宋体" w:hAnsi="宋体" w:cs="宋体"/>
                <w:color w:val="000000"/>
                <w:spacing w:val="11"/>
                <w:sz w:val="24"/>
                <w:szCs w:val="24"/>
              </w:rPr>
              <w:t>采购人在磋商期间发出的磋商文件修改、磋商答疑纪要及澄清</w:t>
            </w:r>
          </w:p>
        </w:tc>
      </w:tr>
      <w:tr w14:paraId="47C231F2">
        <w:tblPrEx>
          <w:tblCellMar>
            <w:top w:w="0" w:type="dxa"/>
            <w:left w:w="108" w:type="dxa"/>
            <w:bottom w:w="0" w:type="dxa"/>
            <w:right w:w="108" w:type="dxa"/>
          </w:tblCellMar>
        </w:tblPrEx>
        <w:trPr>
          <w:trHeight w:val="571"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14:paraId="3BCBAE5C">
            <w:pPr>
              <w:adjustRightInd w:val="0"/>
              <w:snapToGrid w:val="0"/>
              <w:spacing w:line="360" w:lineRule="auto"/>
              <w:jc w:val="center"/>
              <w:rPr>
                <w:rFonts w:ascii="宋体" w:hAnsi="宋体" w:cs="宋体"/>
                <w:color w:val="000000"/>
                <w:spacing w:val="11"/>
                <w:sz w:val="24"/>
                <w:szCs w:val="24"/>
              </w:rPr>
            </w:pPr>
            <w:r>
              <w:rPr>
                <w:rFonts w:hint="eastAsia" w:ascii="宋体" w:hAnsi="宋体" w:cs="宋体"/>
                <w:color w:val="000000"/>
                <w:spacing w:val="11"/>
                <w:sz w:val="24"/>
                <w:szCs w:val="24"/>
              </w:rPr>
              <w:t>19</w:t>
            </w:r>
          </w:p>
        </w:tc>
        <w:tc>
          <w:tcPr>
            <w:tcW w:w="1800" w:type="dxa"/>
            <w:tcBorders>
              <w:top w:val="single" w:color="auto" w:sz="4" w:space="0"/>
              <w:left w:val="nil"/>
              <w:bottom w:val="single" w:color="auto" w:sz="4" w:space="0"/>
              <w:right w:val="single" w:color="auto" w:sz="4" w:space="0"/>
            </w:tcBorders>
            <w:vAlign w:val="center"/>
          </w:tcPr>
          <w:p w14:paraId="01D56CDB">
            <w:pPr>
              <w:adjustRightInd w:val="0"/>
              <w:snapToGrid w:val="0"/>
              <w:spacing w:line="360" w:lineRule="auto"/>
              <w:rPr>
                <w:rFonts w:ascii="宋体" w:hAnsi="宋体" w:cs="宋体"/>
                <w:color w:val="000000"/>
                <w:spacing w:val="11"/>
                <w:sz w:val="24"/>
                <w:szCs w:val="24"/>
              </w:rPr>
            </w:pPr>
            <w:r>
              <w:rPr>
                <w:rFonts w:hint="eastAsia" w:ascii="宋体" w:hAnsi="宋体" w:cs="宋体"/>
                <w:color w:val="000000"/>
                <w:spacing w:val="11"/>
                <w:sz w:val="24"/>
                <w:szCs w:val="24"/>
              </w:rPr>
              <w:t>响应文件递交截止时间和地点</w:t>
            </w:r>
          </w:p>
        </w:tc>
        <w:tc>
          <w:tcPr>
            <w:tcW w:w="7015" w:type="dxa"/>
            <w:tcBorders>
              <w:top w:val="single" w:color="auto" w:sz="4" w:space="0"/>
              <w:left w:val="nil"/>
              <w:bottom w:val="single" w:color="auto" w:sz="4" w:space="0"/>
              <w:right w:val="single" w:color="auto" w:sz="4" w:space="0"/>
            </w:tcBorders>
            <w:vAlign w:val="center"/>
          </w:tcPr>
          <w:p w14:paraId="2B2E8EB5">
            <w:pPr>
              <w:adjustRightInd w:val="0"/>
              <w:snapToGrid w:val="0"/>
              <w:spacing w:line="360" w:lineRule="auto"/>
              <w:rPr>
                <w:rFonts w:ascii="宋体" w:hAnsi="宋体" w:cs="宋体"/>
                <w:color w:val="000000"/>
                <w:spacing w:val="11"/>
                <w:sz w:val="24"/>
                <w:szCs w:val="24"/>
              </w:rPr>
            </w:pPr>
            <w:r>
              <w:rPr>
                <w:rFonts w:hint="eastAsia" w:ascii="宋体" w:hAnsi="宋体" w:cs="宋体"/>
                <w:color w:val="000000"/>
                <w:spacing w:val="11"/>
                <w:sz w:val="24"/>
                <w:szCs w:val="24"/>
              </w:rPr>
              <w:t>截止时间：2025年3月</w:t>
            </w:r>
            <w:r>
              <w:rPr>
                <w:rFonts w:hint="eastAsia" w:ascii="宋体" w:hAnsi="宋体" w:cs="宋体"/>
                <w:color w:val="000000"/>
                <w:spacing w:val="11"/>
                <w:sz w:val="24"/>
                <w:szCs w:val="24"/>
                <w:lang w:val="en-US" w:eastAsia="zh-CN"/>
              </w:rPr>
              <w:t>4</w:t>
            </w:r>
            <w:r>
              <w:rPr>
                <w:rFonts w:hint="eastAsia" w:ascii="宋体" w:hAnsi="宋体" w:cs="宋体"/>
                <w:color w:val="000000"/>
                <w:spacing w:val="11"/>
                <w:sz w:val="24"/>
                <w:szCs w:val="24"/>
              </w:rPr>
              <w:t>日08 时</w:t>
            </w:r>
            <w:r>
              <w:rPr>
                <w:rFonts w:hint="eastAsia" w:ascii="宋体" w:hAnsi="宋体" w:cs="宋体"/>
                <w:color w:val="000000"/>
                <w:spacing w:val="11"/>
                <w:sz w:val="24"/>
                <w:szCs w:val="24"/>
                <w:lang w:val="en-US" w:eastAsia="zh-CN"/>
              </w:rPr>
              <w:t>4</w:t>
            </w:r>
            <w:r>
              <w:rPr>
                <w:rFonts w:hint="eastAsia" w:ascii="宋体" w:hAnsi="宋体" w:cs="宋体"/>
                <w:color w:val="000000"/>
                <w:spacing w:val="11"/>
                <w:sz w:val="24"/>
                <w:szCs w:val="24"/>
              </w:rPr>
              <w:t>0分</w:t>
            </w:r>
          </w:p>
          <w:p w14:paraId="5557E77C">
            <w:pPr>
              <w:adjustRightInd w:val="0"/>
              <w:snapToGrid w:val="0"/>
              <w:spacing w:line="360" w:lineRule="auto"/>
              <w:rPr>
                <w:rFonts w:ascii="宋体" w:hAnsi="宋体" w:cs="宋体"/>
                <w:color w:val="000000"/>
                <w:spacing w:val="11"/>
                <w:sz w:val="24"/>
                <w:szCs w:val="24"/>
              </w:rPr>
            </w:pPr>
            <w:r>
              <w:rPr>
                <w:rFonts w:hint="eastAsia" w:ascii="宋体" w:hAnsi="宋体" w:cs="宋体"/>
                <w:color w:val="000000"/>
                <w:spacing w:val="11"/>
                <w:sz w:val="24"/>
                <w:szCs w:val="24"/>
              </w:rPr>
              <w:t>地  点：灵宝市公共资源交易中心</w:t>
            </w:r>
            <w:r>
              <w:rPr>
                <w:rFonts w:hint="eastAsia" w:ascii="宋体" w:hAnsi="宋体" w:cs="宋体"/>
                <w:color w:val="000000"/>
                <w:spacing w:val="11"/>
                <w:sz w:val="24"/>
                <w:szCs w:val="24"/>
                <w:lang w:val="en-US" w:eastAsia="zh-CN"/>
              </w:rPr>
              <w:t>一</w:t>
            </w:r>
            <w:r>
              <w:rPr>
                <w:rFonts w:hint="eastAsia" w:ascii="宋体" w:hAnsi="宋体" w:cs="宋体"/>
                <w:color w:val="000000"/>
                <w:spacing w:val="11"/>
                <w:sz w:val="24"/>
                <w:szCs w:val="24"/>
              </w:rPr>
              <w:t>室</w:t>
            </w:r>
          </w:p>
        </w:tc>
      </w:tr>
      <w:tr w14:paraId="608B95B9">
        <w:tblPrEx>
          <w:tblCellMar>
            <w:top w:w="0" w:type="dxa"/>
            <w:left w:w="108" w:type="dxa"/>
            <w:bottom w:w="0" w:type="dxa"/>
            <w:right w:w="108" w:type="dxa"/>
          </w:tblCellMar>
        </w:tblPrEx>
        <w:trPr>
          <w:trHeight w:val="732"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14:paraId="0D3EC2D8">
            <w:pPr>
              <w:adjustRightInd w:val="0"/>
              <w:snapToGrid w:val="0"/>
              <w:spacing w:line="360" w:lineRule="auto"/>
              <w:jc w:val="center"/>
              <w:rPr>
                <w:rFonts w:ascii="宋体" w:hAnsi="宋体" w:cs="宋体"/>
                <w:color w:val="000000"/>
                <w:spacing w:val="11"/>
                <w:sz w:val="24"/>
                <w:szCs w:val="24"/>
              </w:rPr>
            </w:pPr>
            <w:r>
              <w:rPr>
                <w:rFonts w:hint="eastAsia" w:ascii="宋体" w:hAnsi="宋体" w:cs="宋体"/>
                <w:color w:val="000000"/>
                <w:spacing w:val="11"/>
                <w:sz w:val="24"/>
                <w:szCs w:val="24"/>
              </w:rPr>
              <w:t>20</w:t>
            </w:r>
          </w:p>
        </w:tc>
        <w:tc>
          <w:tcPr>
            <w:tcW w:w="1800" w:type="dxa"/>
            <w:tcBorders>
              <w:top w:val="single" w:color="auto" w:sz="4" w:space="0"/>
              <w:left w:val="nil"/>
              <w:bottom w:val="single" w:color="auto" w:sz="4" w:space="0"/>
              <w:right w:val="single" w:color="auto" w:sz="4" w:space="0"/>
            </w:tcBorders>
            <w:vAlign w:val="center"/>
          </w:tcPr>
          <w:p w14:paraId="1C017F08">
            <w:pPr>
              <w:adjustRightInd w:val="0"/>
              <w:snapToGrid w:val="0"/>
              <w:spacing w:line="360" w:lineRule="auto"/>
              <w:rPr>
                <w:rFonts w:ascii="宋体" w:hAnsi="宋体" w:cs="宋体"/>
                <w:color w:val="000000"/>
                <w:spacing w:val="11"/>
                <w:sz w:val="24"/>
                <w:szCs w:val="24"/>
              </w:rPr>
            </w:pPr>
            <w:r>
              <w:rPr>
                <w:rFonts w:hint="eastAsia" w:ascii="宋体" w:hAnsi="宋体" w:cs="宋体"/>
                <w:color w:val="000000"/>
                <w:spacing w:val="11"/>
                <w:sz w:val="24"/>
                <w:szCs w:val="24"/>
              </w:rPr>
              <w:t>供应商确认收到磋商文件澄清的时间</w:t>
            </w:r>
          </w:p>
        </w:tc>
        <w:tc>
          <w:tcPr>
            <w:tcW w:w="7015" w:type="dxa"/>
            <w:tcBorders>
              <w:top w:val="single" w:color="auto" w:sz="4" w:space="0"/>
              <w:left w:val="nil"/>
              <w:bottom w:val="single" w:color="auto" w:sz="4" w:space="0"/>
              <w:right w:val="single" w:color="auto" w:sz="4" w:space="0"/>
            </w:tcBorders>
            <w:vAlign w:val="center"/>
          </w:tcPr>
          <w:p w14:paraId="26811F8B">
            <w:pPr>
              <w:adjustRightInd w:val="0"/>
              <w:snapToGrid w:val="0"/>
              <w:spacing w:line="360" w:lineRule="auto"/>
              <w:rPr>
                <w:rFonts w:ascii="宋体" w:hAnsi="宋体" w:cs="宋体"/>
                <w:color w:val="000000"/>
                <w:spacing w:val="11"/>
                <w:sz w:val="24"/>
                <w:szCs w:val="24"/>
              </w:rPr>
            </w:pPr>
            <w:r>
              <w:rPr>
                <w:rFonts w:hint="eastAsia" w:ascii="宋体" w:hAnsi="宋体" w:cs="宋体"/>
                <w:color w:val="000000"/>
                <w:spacing w:val="11"/>
                <w:sz w:val="24"/>
                <w:szCs w:val="24"/>
              </w:rPr>
              <w:t>收到澄清后24小时内（以发出时间为准）</w:t>
            </w:r>
          </w:p>
        </w:tc>
      </w:tr>
      <w:tr w14:paraId="0A781C36">
        <w:tblPrEx>
          <w:tblCellMar>
            <w:top w:w="0" w:type="dxa"/>
            <w:left w:w="108" w:type="dxa"/>
            <w:bottom w:w="0" w:type="dxa"/>
            <w:right w:w="108" w:type="dxa"/>
          </w:tblCellMar>
        </w:tblPrEx>
        <w:trPr>
          <w:trHeight w:val="586"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14:paraId="5BCF5A1E">
            <w:pPr>
              <w:adjustRightInd w:val="0"/>
              <w:snapToGrid w:val="0"/>
              <w:spacing w:line="360" w:lineRule="auto"/>
              <w:jc w:val="center"/>
              <w:rPr>
                <w:rFonts w:ascii="宋体" w:hAnsi="宋体" w:cs="宋体"/>
                <w:color w:val="000000"/>
                <w:spacing w:val="11"/>
                <w:sz w:val="24"/>
                <w:szCs w:val="24"/>
              </w:rPr>
            </w:pPr>
            <w:r>
              <w:rPr>
                <w:rFonts w:hint="eastAsia" w:ascii="宋体" w:hAnsi="宋体" w:cs="宋体"/>
                <w:color w:val="000000"/>
                <w:spacing w:val="11"/>
                <w:sz w:val="24"/>
                <w:szCs w:val="24"/>
              </w:rPr>
              <w:t>21</w:t>
            </w:r>
          </w:p>
        </w:tc>
        <w:tc>
          <w:tcPr>
            <w:tcW w:w="1800" w:type="dxa"/>
            <w:tcBorders>
              <w:top w:val="single" w:color="auto" w:sz="4" w:space="0"/>
              <w:left w:val="nil"/>
              <w:bottom w:val="single" w:color="auto" w:sz="4" w:space="0"/>
              <w:right w:val="single" w:color="auto" w:sz="4" w:space="0"/>
            </w:tcBorders>
            <w:vAlign w:val="center"/>
          </w:tcPr>
          <w:p w14:paraId="68754B2A">
            <w:pPr>
              <w:adjustRightInd w:val="0"/>
              <w:snapToGrid w:val="0"/>
              <w:spacing w:line="360" w:lineRule="auto"/>
              <w:rPr>
                <w:rFonts w:ascii="宋体" w:hAnsi="宋体" w:cs="宋体"/>
                <w:color w:val="000000"/>
                <w:spacing w:val="11"/>
                <w:sz w:val="24"/>
                <w:szCs w:val="24"/>
              </w:rPr>
            </w:pPr>
            <w:r>
              <w:rPr>
                <w:rFonts w:hint="eastAsia" w:ascii="宋体" w:hAnsi="宋体" w:cs="宋体"/>
                <w:color w:val="000000"/>
                <w:spacing w:val="11"/>
                <w:sz w:val="24"/>
                <w:szCs w:val="24"/>
              </w:rPr>
              <w:t>供应商确认收到磋商文件修改的时间</w:t>
            </w:r>
          </w:p>
        </w:tc>
        <w:tc>
          <w:tcPr>
            <w:tcW w:w="7015" w:type="dxa"/>
            <w:tcBorders>
              <w:top w:val="single" w:color="auto" w:sz="4" w:space="0"/>
              <w:left w:val="nil"/>
              <w:bottom w:val="single" w:color="auto" w:sz="4" w:space="0"/>
              <w:right w:val="single" w:color="auto" w:sz="4" w:space="0"/>
            </w:tcBorders>
            <w:vAlign w:val="center"/>
          </w:tcPr>
          <w:p w14:paraId="4DE2CBC7">
            <w:pPr>
              <w:adjustRightInd w:val="0"/>
              <w:snapToGrid w:val="0"/>
              <w:spacing w:line="360" w:lineRule="auto"/>
              <w:rPr>
                <w:rFonts w:ascii="宋体" w:hAnsi="宋体" w:cs="宋体"/>
                <w:color w:val="000000"/>
                <w:spacing w:val="11"/>
                <w:sz w:val="24"/>
                <w:szCs w:val="24"/>
              </w:rPr>
            </w:pPr>
            <w:r>
              <w:rPr>
                <w:rFonts w:hint="eastAsia" w:ascii="宋体" w:hAnsi="宋体" w:cs="宋体"/>
                <w:color w:val="000000"/>
                <w:spacing w:val="11"/>
                <w:sz w:val="24"/>
                <w:szCs w:val="24"/>
              </w:rPr>
              <w:t>收到澄清后24小时内（以发出时间为准）</w:t>
            </w:r>
          </w:p>
        </w:tc>
      </w:tr>
      <w:tr w14:paraId="32B960F1">
        <w:tblPrEx>
          <w:tblCellMar>
            <w:top w:w="0" w:type="dxa"/>
            <w:left w:w="108" w:type="dxa"/>
            <w:bottom w:w="0" w:type="dxa"/>
            <w:right w:w="108" w:type="dxa"/>
          </w:tblCellMar>
        </w:tblPrEx>
        <w:trPr>
          <w:trHeight w:val="622"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14:paraId="2A433340">
            <w:pPr>
              <w:adjustRightInd w:val="0"/>
              <w:snapToGrid w:val="0"/>
              <w:spacing w:line="360" w:lineRule="auto"/>
              <w:jc w:val="center"/>
              <w:rPr>
                <w:rFonts w:ascii="宋体" w:hAnsi="宋体" w:cs="宋体"/>
                <w:color w:val="000000"/>
                <w:spacing w:val="11"/>
                <w:sz w:val="24"/>
                <w:szCs w:val="24"/>
              </w:rPr>
            </w:pPr>
            <w:r>
              <w:rPr>
                <w:rFonts w:hint="eastAsia" w:ascii="宋体" w:hAnsi="宋体" w:cs="宋体"/>
                <w:color w:val="000000"/>
                <w:spacing w:val="11"/>
                <w:sz w:val="24"/>
                <w:szCs w:val="24"/>
              </w:rPr>
              <w:t>22</w:t>
            </w:r>
          </w:p>
        </w:tc>
        <w:tc>
          <w:tcPr>
            <w:tcW w:w="1800" w:type="dxa"/>
            <w:tcBorders>
              <w:top w:val="single" w:color="auto" w:sz="4" w:space="0"/>
              <w:left w:val="nil"/>
              <w:bottom w:val="single" w:color="auto" w:sz="4" w:space="0"/>
              <w:right w:val="single" w:color="auto" w:sz="4" w:space="0"/>
            </w:tcBorders>
            <w:vAlign w:val="center"/>
          </w:tcPr>
          <w:p w14:paraId="5ED89D54">
            <w:pPr>
              <w:adjustRightInd w:val="0"/>
              <w:snapToGrid w:val="0"/>
              <w:spacing w:line="360" w:lineRule="auto"/>
              <w:rPr>
                <w:rFonts w:ascii="宋体" w:hAnsi="宋体" w:cs="宋体"/>
                <w:color w:val="000000"/>
                <w:spacing w:val="11"/>
                <w:sz w:val="24"/>
                <w:szCs w:val="24"/>
              </w:rPr>
            </w:pPr>
            <w:r>
              <w:rPr>
                <w:rFonts w:hint="eastAsia" w:ascii="宋体" w:hAnsi="宋体" w:cs="宋体"/>
                <w:color w:val="000000"/>
                <w:spacing w:val="11"/>
                <w:sz w:val="24"/>
                <w:szCs w:val="24"/>
              </w:rPr>
              <w:t>构成响应文件的其他材料</w:t>
            </w:r>
          </w:p>
        </w:tc>
        <w:tc>
          <w:tcPr>
            <w:tcW w:w="7015" w:type="dxa"/>
            <w:tcBorders>
              <w:top w:val="single" w:color="auto" w:sz="4" w:space="0"/>
              <w:left w:val="nil"/>
              <w:bottom w:val="single" w:color="auto" w:sz="4" w:space="0"/>
              <w:right w:val="single" w:color="auto" w:sz="4" w:space="0"/>
            </w:tcBorders>
            <w:vAlign w:val="center"/>
          </w:tcPr>
          <w:p w14:paraId="0C811FCD">
            <w:pPr>
              <w:adjustRightInd w:val="0"/>
              <w:snapToGrid w:val="0"/>
              <w:spacing w:line="360" w:lineRule="auto"/>
              <w:rPr>
                <w:rFonts w:ascii="宋体" w:hAnsi="宋体" w:cs="宋体"/>
                <w:color w:val="000000"/>
                <w:spacing w:val="11"/>
                <w:sz w:val="24"/>
                <w:szCs w:val="24"/>
              </w:rPr>
            </w:pPr>
            <w:r>
              <w:rPr>
                <w:rFonts w:hint="eastAsia" w:ascii="宋体" w:hAnsi="宋体" w:cs="宋体"/>
                <w:color w:val="000000"/>
                <w:spacing w:val="11"/>
                <w:sz w:val="24"/>
                <w:szCs w:val="24"/>
              </w:rPr>
              <w:t>供应商认为需要提供其他的资料</w:t>
            </w:r>
          </w:p>
        </w:tc>
      </w:tr>
      <w:tr w14:paraId="4333410C">
        <w:tblPrEx>
          <w:tblCellMar>
            <w:top w:w="0" w:type="dxa"/>
            <w:left w:w="108" w:type="dxa"/>
            <w:bottom w:w="0" w:type="dxa"/>
            <w:right w:w="108" w:type="dxa"/>
          </w:tblCellMar>
        </w:tblPrEx>
        <w:trPr>
          <w:trHeight w:val="61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14:paraId="1D9C625A">
            <w:pPr>
              <w:adjustRightInd w:val="0"/>
              <w:snapToGrid w:val="0"/>
              <w:spacing w:line="360" w:lineRule="auto"/>
              <w:jc w:val="center"/>
              <w:rPr>
                <w:rFonts w:ascii="宋体" w:hAnsi="宋体" w:cs="宋体"/>
                <w:color w:val="000000"/>
                <w:spacing w:val="11"/>
                <w:sz w:val="24"/>
                <w:szCs w:val="24"/>
              </w:rPr>
            </w:pPr>
            <w:r>
              <w:rPr>
                <w:rFonts w:hint="eastAsia" w:ascii="宋体" w:hAnsi="宋体" w:cs="宋体"/>
                <w:color w:val="000000"/>
                <w:spacing w:val="11"/>
                <w:sz w:val="24"/>
                <w:szCs w:val="24"/>
              </w:rPr>
              <w:t>23</w:t>
            </w:r>
          </w:p>
        </w:tc>
        <w:tc>
          <w:tcPr>
            <w:tcW w:w="1800" w:type="dxa"/>
            <w:tcBorders>
              <w:top w:val="single" w:color="auto" w:sz="4" w:space="0"/>
              <w:left w:val="nil"/>
              <w:bottom w:val="single" w:color="auto" w:sz="4" w:space="0"/>
              <w:right w:val="single" w:color="auto" w:sz="4" w:space="0"/>
            </w:tcBorders>
            <w:vAlign w:val="center"/>
          </w:tcPr>
          <w:p w14:paraId="1E159FC1">
            <w:pPr>
              <w:adjustRightInd w:val="0"/>
              <w:snapToGrid w:val="0"/>
              <w:spacing w:line="360" w:lineRule="auto"/>
              <w:rPr>
                <w:rFonts w:ascii="宋体" w:hAnsi="宋体" w:cs="宋体"/>
                <w:spacing w:val="11"/>
                <w:sz w:val="24"/>
                <w:szCs w:val="24"/>
              </w:rPr>
            </w:pPr>
            <w:r>
              <w:rPr>
                <w:rFonts w:hint="eastAsia" w:ascii="宋体" w:hAnsi="宋体" w:cs="宋体"/>
                <w:color w:val="000000"/>
                <w:spacing w:val="11"/>
                <w:sz w:val="24"/>
                <w:szCs w:val="24"/>
              </w:rPr>
              <w:t>磋商有效期</w:t>
            </w:r>
          </w:p>
        </w:tc>
        <w:tc>
          <w:tcPr>
            <w:tcW w:w="7015" w:type="dxa"/>
            <w:tcBorders>
              <w:top w:val="single" w:color="auto" w:sz="4" w:space="0"/>
              <w:left w:val="nil"/>
              <w:bottom w:val="single" w:color="auto" w:sz="4" w:space="0"/>
              <w:right w:val="single" w:color="auto" w:sz="4" w:space="0"/>
            </w:tcBorders>
            <w:vAlign w:val="center"/>
          </w:tcPr>
          <w:p w14:paraId="3E598297">
            <w:pPr>
              <w:adjustRightInd w:val="0"/>
              <w:snapToGrid w:val="0"/>
              <w:spacing w:line="360" w:lineRule="auto"/>
              <w:rPr>
                <w:rFonts w:ascii="宋体" w:hAnsi="宋体" w:cs="宋体"/>
                <w:spacing w:val="11"/>
                <w:sz w:val="24"/>
                <w:szCs w:val="24"/>
              </w:rPr>
            </w:pPr>
            <w:r>
              <w:rPr>
                <w:rFonts w:hint="eastAsia" w:ascii="宋体" w:hAnsi="宋体" w:cs="宋体"/>
                <w:sz w:val="24"/>
                <w:szCs w:val="24"/>
              </w:rPr>
              <w:t>自响应性文件递交截止之日起60天</w:t>
            </w:r>
          </w:p>
        </w:tc>
      </w:tr>
      <w:tr w14:paraId="1A3FC108">
        <w:tblPrEx>
          <w:tblCellMar>
            <w:top w:w="0" w:type="dxa"/>
            <w:left w:w="108" w:type="dxa"/>
            <w:bottom w:w="0" w:type="dxa"/>
            <w:right w:w="108" w:type="dxa"/>
          </w:tblCellMar>
        </w:tblPrEx>
        <w:trPr>
          <w:trHeight w:val="915"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14:paraId="26B396F6">
            <w:pPr>
              <w:adjustRightInd w:val="0"/>
              <w:snapToGrid w:val="0"/>
              <w:spacing w:line="360" w:lineRule="auto"/>
              <w:jc w:val="center"/>
              <w:rPr>
                <w:rFonts w:ascii="宋体" w:hAnsi="宋体" w:cs="宋体"/>
                <w:color w:val="000000"/>
                <w:spacing w:val="11"/>
                <w:sz w:val="24"/>
                <w:szCs w:val="24"/>
              </w:rPr>
            </w:pPr>
            <w:r>
              <w:rPr>
                <w:rFonts w:hint="eastAsia" w:ascii="宋体" w:hAnsi="宋体" w:cs="宋体"/>
                <w:color w:val="000000"/>
                <w:spacing w:val="11"/>
                <w:sz w:val="24"/>
                <w:szCs w:val="24"/>
              </w:rPr>
              <w:t>24</w:t>
            </w:r>
          </w:p>
        </w:tc>
        <w:tc>
          <w:tcPr>
            <w:tcW w:w="1800" w:type="dxa"/>
            <w:tcBorders>
              <w:top w:val="single" w:color="auto" w:sz="4" w:space="0"/>
              <w:left w:val="nil"/>
              <w:bottom w:val="single" w:color="auto" w:sz="4" w:space="0"/>
              <w:right w:val="single" w:color="auto" w:sz="4" w:space="0"/>
            </w:tcBorders>
            <w:vAlign w:val="center"/>
          </w:tcPr>
          <w:p w14:paraId="7DA4C8D3">
            <w:pPr>
              <w:adjustRightInd w:val="0"/>
              <w:snapToGrid w:val="0"/>
              <w:spacing w:line="360" w:lineRule="auto"/>
              <w:rPr>
                <w:rFonts w:ascii="宋体" w:hAnsi="宋体" w:cs="宋体"/>
                <w:color w:val="000000"/>
                <w:spacing w:val="11"/>
                <w:sz w:val="24"/>
                <w:szCs w:val="24"/>
              </w:rPr>
            </w:pPr>
            <w:r>
              <w:rPr>
                <w:rFonts w:hint="eastAsia" w:ascii="宋体" w:hAnsi="宋体" w:cs="宋体"/>
                <w:bCs/>
                <w:color w:val="000000"/>
                <w:spacing w:val="11"/>
                <w:sz w:val="24"/>
                <w:szCs w:val="24"/>
              </w:rPr>
              <w:t>投标保证金</w:t>
            </w:r>
          </w:p>
        </w:tc>
        <w:tc>
          <w:tcPr>
            <w:tcW w:w="7015" w:type="dxa"/>
            <w:tcBorders>
              <w:top w:val="single" w:color="auto" w:sz="4" w:space="0"/>
              <w:left w:val="nil"/>
              <w:bottom w:val="single" w:color="auto" w:sz="4" w:space="0"/>
              <w:right w:val="single" w:color="auto" w:sz="4" w:space="0"/>
            </w:tcBorders>
          </w:tcPr>
          <w:p w14:paraId="7CBED767">
            <w:pPr>
              <w:adjustRightInd w:val="0"/>
              <w:snapToGrid w:val="0"/>
              <w:spacing w:line="360" w:lineRule="auto"/>
              <w:rPr>
                <w:rFonts w:ascii="宋体" w:hAnsi="宋体" w:cs="宋体"/>
                <w:color w:val="000000"/>
                <w:spacing w:val="11"/>
                <w:sz w:val="24"/>
                <w:szCs w:val="24"/>
              </w:rPr>
            </w:pPr>
            <w:r>
              <w:rPr>
                <w:rFonts w:hint="eastAsia" w:ascii="宋体" w:hAnsi="宋体" w:cs="宋体"/>
                <w:color w:val="000000"/>
                <w:spacing w:val="11"/>
                <w:sz w:val="24"/>
                <w:szCs w:val="24"/>
              </w:rPr>
              <w:t>按照《河南省财政厅关于优化政府采购营商环境有关问题的通知》（豫财购[2019]4号文）的要求本项目不再收取投标保证金。</w:t>
            </w:r>
          </w:p>
        </w:tc>
      </w:tr>
      <w:tr w14:paraId="1193DD45">
        <w:tblPrEx>
          <w:tblCellMar>
            <w:top w:w="0" w:type="dxa"/>
            <w:left w:w="108" w:type="dxa"/>
            <w:bottom w:w="0" w:type="dxa"/>
            <w:right w:w="108" w:type="dxa"/>
          </w:tblCellMar>
        </w:tblPrEx>
        <w:trPr>
          <w:trHeight w:val="565"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14:paraId="043EE0FE">
            <w:pPr>
              <w:adjustRightInd w:val="0"/>
              <w:snapToGrid w:val="0"/>
              <w:spacing w:line="360" w:lineRule="auto"/>
              <w:jc w:val="center"/>
              <w:rPr>
                <w:rFonts w:ascii="宋体" w:hAnsi="宋体" w:cs="宋体"/>
                <w:color w:val="000000"/>
                <w:spacing w:val="11"/>
                <w:sz w:val="24"/>
                <w:szCs w:val="24"/>
              </w:rPr>
            </w:pPr>
            <w:r>
              <w:rPr>
                <w:rFonts w:hint="eastAsia" w:ascii="宋体" w:hAnsi="宋体" w:cs="宋体"/>
                <w:color w:val="000000"/>
                <w:spacing w:val="11"/>
                <w:sz w:val="24"/>
                <w:szCs w:val="24"/>
              </w:rPr>
              <w:t>25</w:t>
            </w:r>
          </w:p>
        </w:tc>
        <w:tc>
          <w:tcPr>
            <w:tcW w:w="1800" w:type="dxa"/>
            <w:tcBorders>
              <w:top w:val="single" w:color="auto" w:sz="4" w:space="0"/>
              <w:left w:val="nil"/>
              <w:bottom w:val="single" w:color="auto" w:sz="4" w:space="0"/>
              <w:right w:val="single" w:color="auto" w:sz="4" w:space="0"/>
            </w:tcBorders>
            <w:vAlign w:val="center"/>
          </w:tcPr>
          <w:p w14:paraId="776D4CD4">
            <w:pPr>
              <w:spacing w:line="360" w:lineRule="auto"/>
              <w:jc w:val="center"/>
              <w:rPr>
                <w:rFonts w:ascii="宋体" w:hAnsi="宋体" w:cs="宋体"/>
                <w:sz w:val="24"/>
                <w:szCs w:val="24"/>
              </w:rPr>
            </w:pPr>
            <w:r>
              <w:rPr>
                <w:rFonts w:hint="eastAsia" w:ascii="宋体" w:hAnsi="宋体" w:cs="宋体"/>
                <w:sz w:val="24"/>
                <w:szCs w:val="24"/>
              </w:rPr>
              <w:t>电子化响应文件的签章</w:t>
            </w:r>
          </w:p>
        </w:tc>
        <w:tc>
          <w:tcPr>
            <w:tcW w:w="7015" w:type="dxa"/>
            <w:tcBorders>
              <w:top w:val="single" w:color="auto" w:sz="4" w:space="0"/>
              <w:left w:val="nil"/>
              <w:bottom w:val="single" w:color="auto" w:sz="4" w:space="0"/>
              <w:right w:val="single" w:color="auto" w:sz="4" w:space="0"/>
            </w:tcBorders>
            <w:vAlign w:val="center"/>
          </w:tcPr>
          <w:p w14:paraId="742CE5A7">
            <w:pPr>
              <w:spacing w:line="360" w:lineRule="auto"/>
              <w:rPr>
                <w:rFonts w:ascii="宋体" w:hAnsi="宋体" w:cs="宋体"/>
                <w:spacing w:val="5"/>
                <w:sz w:val="24"/>
                <w:szCs w:val="24"/>
              </w:rPr>
            </w:pPr>
            <w:r>
              <w:rPr>
                <w:rFonts w:hint="eastAsia" w:ascii="宋体" w:hAnsi="宋体" w:cs="宋体"/>
                <w:spacing w:val="5"/>
                <w:sz w:val="24"/>
                <w:szCs w:val="24"/>
              </w:rPr>
              <w:t>1、供应商在生成电子化响应文件后，应对电子化响应文件进行签章，未进行签章的视为无效投标。</w:t>
            </w:r>
          </w:p>
          <w:p w14:paraId="09C5A70D">
            <w:pPr>
              <w:spacing w:line="360" w:lineRule="auto"/>
              <w:rPr>
                <w:rFonts w:ascii="宋体" w:hAnsi="宋体" w:cs="宋体"/>
                <w:spacing w:val="5"/>
                <w:sz w:val="24"/>
                <w:szCs w:val="24"/>
              </w:rPr>
            </w:pPr>
            <w:r>
              <w:rPr>
                <w:rFonts w:hint="eastAsia" w:ascii="宋体" w:hAnsi="宋体" w:cs="宋体"/>
                <w:spacing w:val="5"/>
                <w:sz w:val="24"/>
                <w:szCs w:val="24"/>
              </w:rPr>
              <w:t>2、要求法定代表人或授权委托人签字或盖章的，供应商在进行电子化响应文件签章时，以签盖法定代表人签章为准。</w:t>
            </w:r>
          </w:p>
        </w:tc>
      </w:tr>
      <w:tr w14:paraId="71EC2130">
        <w:tblPrEx>
          <w:tblCellMar>
            <w:top w:w="0" w:type="dxa"/>
            <w:left w:w="108" w:type="dxa"/>
            <w:bottom w:w="0" w:type="dxa"/>
            <w:right w:w="108" w:type="dxa"/>
          </w:tblCellMar>
        </w:tblPrEx>
        <w:trPr>
          <w:trHeight w:val="975"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14:paraId="1D1E1670">
            <w:pPr>
              <w:adjustRightInd w:val="0"/>
              <w:snapToGrid w:val="0"/>
              <w:spacing w:line="360" w:lineRule="auto"/>
              <w:jc w:val="center"/>
              <w:rPr>
                <w:rFonts w:ascii="宋体" w:hAnsi="宋体" w:cs="宋体"/>
                <w:color w:val="000000"/>
                <w:spacing w:val="11"/>
                <w:sz w:val="24"/>
                <w:szCs w:val="24"/>
              </w:rPr>
            </w:pPr>
            <w:r>
              <w:rPr>
                <w:rFonts w:hint="eastAsia" w:ascii="宋体" w:hAnsi="宋体" w:cs="宋体"/>
                <w:bCs/>
                <w:color w:val="000000"/>
                <w:spacing w:val="11"/>
                <w:sz w:val="24"/>
                <w:szCs w:val="24"/>
              </w:rPr>
              <w:t>26</w:t>
            </w:r>
          </w:p>
        </w:tc>
        <w:tc>
          <w:tcPr>
            <w:tcW w:w="1800" w:type="dxa"/>
            <w:tcBorders>
              <w:top w:val="single" w:color="auto" w:sz="4" w:space="0"/>
              <w:left w:val="nil"/>
              <w:bottom w:val="single" w:color="auto" w:sz="4" w:space="0"/>
              <w:right w:val="single" w:color="auto" w:sz="4" w:space="0"/>
            </w:tcBorders>
            <w:vAlign w:val="center"/>
          </w:tcPr>
          <w:p w14:paraId="2C93A6AE">
            <w:pPr>
              <w:spacing w:line="360" w:lineRule="auto"/>
              <w:jc w:val="center"/>
              <w:rPr>
                <w:rFonts w:ascii="宋体" w:hAnsi="宋体" w:cs="宋体"/>
                <w:sz w:val="24"/>
                <w:szCs w:val="24"/>
              </w:rPr>
            </w:pPr>
            <w:r>
              <w:rPr>
                <w:rFonts w:hint="eastAsia" w:ascii="宋体" w:hAnsi="宋体" w:cs="宋体"/>
                <w:sz w:val="24"/>
                <w:szCs w:val="24"/>
              </w:rPr>
              <w:t>电子化响应文件的格式及上传投标</w:t>
            </w:r>
          </w:p>
        </w:tc>
        <w:tc>
          <w:tcPr>
            <w:tcW w:w="7015" w:type="dxa"/>
            <w:tcBorders>
              <w:top w:val="single" w:color="auto" w:sz="4" w:space="0"/>
              <w:left w:val="nil"/>
              <w:bottom w:val="single" w:color="auto" w:sz="4" w:space="0"/>
              <w:right w:val="single" w:color="auto" w:sz="4" w:space="0"/>
            </w:tcBorders>
          </w:tcPr>
          <w:p w14:paraId="703210F5">
            <w:pPr>
              <w:spacing w:line="360" w:lineRule="auto"/>
              <w:rPr>
                <w:rFonts w:ascii="宋体" w:hAnsi="宋体" w:cs="宋体"/>
                <w:spacing w:val="5"/>
                <w:sz w:val="24"/>
                <w:szCs w:val="24"/>
              </w:rPr>
            </w:pPr>
            <w:r>
              <w:rPr>
                <w:rFonts w:hint="eastAsia" w:ascii="宋体" w:hAnsi="宋体" w:cs="宋体"/>
                <w:spacing w:val="5"/>
                <w:sz w:val="24"/>
                <w:szCs w:val="24"/>
              </w:rPr>
              <w:t>1、供应商所上传的电子化响应文件，应是通过中心投标文件制作系统制作的（投标文件制作工具下载地址：</w:t>
            </w:r>
          </w:p>
          <w:p w14:paraId="5463CACD">
            <w:pPr>
              <w:widowControl/>
              <w:spacing w:line="360" w:lineRule="auto"/>
              <w:rPr>
                <w:rFonts w:ascii="宋体" w:hAnsi="宋体" w:cs="宋体"/>
                <w:spacing w:val="5"/>
                <w:sz w:val="24"/>
                <w:szCs w:val="24"/>
              </w:rPr>
            </w:pPr>
            <w:r>
              <w:rPr>
                <w:rFonts w:hint="eastAsia" w:ascii="宋体" w:hAnsi="宋体" w:cs="宋体"/>
                <w:spacing w:val="5"/>
                <w:sz w:val="24"/>
                <w:szCs w:val="24"/>
              </w:rPr>
              <w:t>http://www.smxgzjy.cn/spweb/SMX/InformationCenter/indexMore.do?id=35e58aa6-98dd-41b5-b526-c8c629eeff3c），经过签章和加密后生成的电子版响应文件。生成的电子版响应文件包含用于响应文件上传的主文件和用于应急补救的响应文件备份文件，备份文件主要用于电子化开标出现技术问题后的补救。</w:t>
            </w:r>
          </w:p>
          <w:p w14:paraId="61EC36AB">
            <w:pPr>
              <w:widowControl/>
              <w:spacing w:line="360" w:lineRule="auto"/>
              <w:rPr>
                <w:rFonts w:ascii="宋体" w:hAnsi="宋体" w:cs="宋体"/>
                <w:spacing w:val="5"/>
                <w:sz w:val="24"/>
                <w:szCs w:val="24"/>
              </w:rPr>
            </w:pPr>
            <w:r>
              <w:rPr>
                <w:rFonts w:hint="eastAsia" w:ascii="宋体" w:hAnsi="宋体" w:cs="宋体"/>
                <w:spacing w:val="5"/>
                <w:sz w:val="24"/>
                <w:szCs w:val="24"/>
              </w:rPr>
              <w:t>注：供应商投报多个标段的，每个标段均要生成独立的电子响应文件。</w:t>
            </w:r>
          </w:p>
          <w:p w14:paraId="0098547C">
            <w:pPr>
              <w:widowControl/>
              <w:spacing w:line="360" w:lineRule="auto"/>
              <w:rPr>
                <w:rFonts w:ascii="宋体" w:hAnsi="宋体" w:cs="宋体"/>
                <w:spacing w:val="5"/>
                <w:sz w:val="24"/>
                <w:szCs w:val="24"/>
              </w:rPr>
            </w:pPr>
            <w:r>
              <w:rPr>
                <w:rFonts w:hint="eastAsia" w:ascii="宋体" w:hAnsi="宋体" w:cs="宋体"/>
                <w:spacing w:val="5"/>
                <w:sz w:val="24"/>
                <w:szCs w:val="24"/>
              </w:rPr>
              <w:t>2、电子化响应文件应在投标截止时间前成功上传至三门峡市公共资源电子化交易系统。至投标截止时间止，仍未上传成功的电子化响应文件将不予接收。</w:t>
            </w:r>
          </w:p>
          <w:p w14:paraId="133B457C">
            <w:pPr>
              <w:widowControl/>
              <w:spacing w:line="360" w:lineRule="auto"/>
              <w:rPr>
                <w:rFonts w:ascii="宋体" w:hAnsi="宋体" w:cs="宋体"/>
                <w:spacing w:val="5"/>
                <w:sz w:val="24"/>
                <w:szCs w:val="24"/>
              </w:rPr>
            </w:pPr>
            <w:r>
              <w:rPr>
                <w:rFonts w:hint="eastAsia" w:ascii="宋体" w:hAnsi="宋体" w:cs="宋体"/>
                <w:spacing w:val="5"/>
                <w:sz w:val="24"/>
                <w:szCs w:val="24"/>
              </w:rPr>
              <w:t>注：如按照电子化投标操作教材制作完成的电子化响应文件无法上传的，供应商应在投标截止时间前尽早的联系中心技术人员，以便有充分的时间进行处理。供应商应充分考虑到处理技术问题和上传数据等工作所需的时间问题，响应文件未在投标截止时间前成功上传的，其响应文件不予接收。</w:t>
            </w:r>
          </w:p>
          <w:p w14:paraId="3730F89C">
            <w:pPr>
              <w:widowControl/>
              <w:spacing w:line="360" w:lineRule="auto"/>
              <w:rPr>
                <w:rFonts w:ascii="宋体" w:hAnsi="宋体" w:cs="宋体"/>
                <w:spacing w:val="5"/>
                <w:sz w:val="24"/>
                <w:szCs w:val="24"/>
              </w:rPr>
            </w:pPr>
            <w:r>
              <w:rPr>
                <w:rFonts w:hint="eastAsia" w:ascii="宋体" w:hAnsi="宋体" w:cs="宋体"/>
                <w:spacing w:val="5"/>
                <w:sz w:val="24"/>
                <w:szCs w:val="24"/>
              </w:rPr>
              <w:t>技术联系电话：0398-3117871</w:t>
            </w:r>
          </w:p>
        </w:tc>
      </w:tr>
      <w:tr w14:paraId="0E4B3A4F">
        <w:tblPrEx>
          <w:tblCellMar>
            <w:top w:w="0" w:type="dxa"/>
            <w:left w:w="108" w:type="dxa"/>
            <w:bottom w:w="0" w:type="dxa"/>
            <w:right w:w="108" w:type="dxa"/>
          </w:tblCellMar>
        </w:tblPrEx>
        <w:trPr>
          <w:trHeight w:val="70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14:paraId="795132A2">
            <w:pPr>
              <w:adjustRightInd w:val="0"/>
              <w:snapToGrid w:val="0"/>
              <w:spacing w:line="360" w:lineRule="auto"/>
              <w:jc w:val="center"/>
              <w:rPr>
                <w:rFonts w:ascii="宋体" w:hAnsi="宋体" w:cs="宋体"/>
                <w:color w:val="000000"/>
                <w:spacing w:val="11"/>
                <w:sz w:val="24"/>
                <w:szCs w:val="24"/>
              </w:rPr>
            </w:pPr>
            <w:r>
              <w:rPr>
                <w:rFonts w:hint="eastAsia" w:ascii="宋体" w:hAnsi="宋体" w:cs="宋体"/>
                <w:bCs/>
                <w:color w:val="000000"/>
                <w:spacing w:val="11"/>
                <w:sz w:val="24"/>
                <w:szCs w:val="24"/>
              </w:rPr>
              <w:t>27</w:t>
            </w:r>
          </w:p>
        </w:tc>
        <w:tc>
          <w:tcPr>
            <w:tcW w:w="1800" w:type="dxa"/>
            <w:tcBorders>
              <w:top w:val="single" w:color="auto" w:sz="4" w:space="0"/>
              <w:left w:val="nil"/>
              <w:bottom w:val="single" w:color="auto" w:sz="4" w:space="0"/>
              <w:right w:val="single" w:color="auto" w:sz="4" w:space="0"/>
            </w:tcBorders>
            <w:vAlign w:val="center"/>
          </w:tcPr>
          <w:p w14:paraId="3ACBA808">
            <w:pPr>
              <w:spacing w:line="360" w:lineRule="auto"/>
              <w:jc w:val="center"/>
              <w:rPr>
                <w:rFonts w:ascii="宋体" w:hAnsi="宋体" w:cs="宋体"/>
                <w:sz w:val="24"/>
                <w:szCs w:val="24"/>
              </w:rPr>
            </w:pPr>
            <w:r>
              <w:rPr>
                <w:rFonts w:hint="eastAsia" w:ascii="宋体" w:hAnsi="宋体" w:cs="宋体"/>
                <w:sz w:val="24"/>
                <w:szCs w:val="24"/>
              </w:rPr>
              <w:t>磋商小组</w:t>
            </w:r>
          </w:p>
        </w:tc>
        <w:tc>
          <w:tcPr>
            <w:tcW w:w="7015" w:type="dxa"/>
            <w:tcBorders>
              <w:top w:val="single" w:color="auto" w:sz="4" w:space="0"/>
              <w:left w:val="nil"/>
              <w:bottom w:val="single" w:color="auto" w:sz="4" w:space="0"/>
              <w:right w:val="single" w:color="auto" w:sz="4" w:space="0"/>
            </w:tcBorders>
            <w:vAlign w:val="center"/>
          </w:tcPr>
          <w:p w14:paraId="0251A9EC">
            <w:pPr>
              <w:spacing w:line="360" w:lineRule="auto"/>
              <w:rPr>
                <w:rFonts w:ascii="宋体" w:hAnsi="宋体" w:cs="宋体"/>
                <w:sz w:val="24"/>
                <w:szCs w:val="24"/>
              </w:rPr>
            </w:pPr>
            <w:r>
              <w:rPr>
                <w:rFonts w:hint="eastAsia" w:ascii="宋体" w:hAnsi="宋体" w:cs="宋体"/>
                <w:sz w:val="24"/>
                <w:szCs w:val="24"/>
              </w:rPr>
              <w:t>按照国家相关规定组建，磋商小组由采购人代表及有关技术、经济等方面的专家组成，成员为3 人。其中：采购人代表1人，技术和经济方面专家各1人（技术和经济方面专家从专家库抽取）</w:t>
            </w:r>
          </w:p>
        </w:tc>
      </w:tr>
      <w:tr w14:paraId="4B4B97F9">
        <w:tblPrEx>
          <w:tblCellMar>
            <w:top w:w="0" w:type="dxa"/>
            <w:left w:w="108" w:type="dxa"/>
            <w:bottom w:w="0" w:type="dxa"/>
            <w:right w:w="108" w:type="dxa"/>
          </w:tblCellMar>
        </w:tblPrEx>
        <w:trPr>
          <w:trHeight w:val="288"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14:paraId="50BD42F0">
            <w:pPr>
              <w:adjustRightInd w:val="0"/>
              <w:snapToGrid w:val="0"/>
              <w:spacing w:line="360" w:lineRule="auto"/>
              <w:jc w:val="center"/>
              <w:rPr>
                <w:rFonts w:ascii="宋体" w:hAnsi="宋体" w:cs="宋体"/>
                <w:color w:val="000000"/>
                <w:spacing w:val="11"/>
                <w:sz w:val="24"/>
                <w:szCs w:val="24"/>
              </w:rPr>
            </w:pPr>
            <w:r>
              <w:rPr>
                <w:rFonts w:hint="eastAsia" w:ascii="宋体" w:hAnsi="宋体" w:cs="宋体"/>
                <w:color w:val="000000"/>
                <w:spacing w:val="11"/>
                <w:sz w:val="24"/>
                <w:szCs w:val="24"/>
              </w:rPr>
              <w:t>28</w:t>
            </w:r>
          </w:p>
        </w:tc>
        <w:tc>
          <w:tcPr>
            <w:tcW w:w="1800" w:type="dxa"/>
            <w:tcBorders>
              <w:top w:val="single" w:color="auto" w:sz="4" w:space="0"/>
              <w:left w:val="nil"/>
              <w:bottom w:val="single" w:color="auto" w:sz="4" w:space="0"/>
              <w:right w:val="single" w:color="auto" w:sz="4" w:space="0"/>
            </w:tcBorders>
            <w:vAlign w:val="center"/>
          </w:tcPr>
          <w:p w14:paraId="60DA1BF6">
            <w:pPr>
              <w:widowControl/>
              <w:spacing w:line="360" w:lineRule="auto"/>
              <w:jc w:val="center"/>
              <w:rPr>
                <w:rFonts w:ascii="宋体" w:hAnsi="宋体" w:cs="宋体"/>
                <w:spacing w:val="5"/>
                <w:sz w:val="24"/>
                <w:szCs w:val="24"/>
              </w:rPr>
            </w:pPr>
            <w:r>
              <w:rPr>
                <w:rFonts w:hint="eastAsia" w:ascii="宋体" w:hAnsi="宋体" w:cs="宋体"/>
                <w:spacing w:val="5"/>
                <w:sz w:val="24"/>
                <w:szCs w:val="24"/>
              </w:rPr>
              <w:t>磋商标准及</w:t>
            </w:r>
          </w:p>
          <w:p w14:paraId="712FDB44">
            <w:pPr>
              <w:widowControl/>
              <w:spacing w:line="360" w:lineRule="auto"/>
              <w:jc w:val="center"/>
              <w:rPr>
                <w:rFonts w:ascii="宋体" w:hAnsi="宋体" w:cs="宋体"/>
                <w:spacing w:val="5"/>
                <w:sz w:val="24"/>
                <w:szCs w:val="24"/>
              </w:rPr>
            </w:pPr>
            <w:r>
              <w:rPr>
                <w:rFonts w:hint="eastAsia" w:ascii="宋体" w:hAnsi="宋体" w:cs="宋体"/>
                <w:spacing w:val="5"/>
                <w:sz w:val="24"/>
                <w:szCs w:val="24"/>
              </w:rPr>
              <w:t>方法</w:t>
            </w:r>
          </w:p>
        </w:tc>
        <w:tc>
          <w:tcPr>
            <w:tcW w:w="7015" w:type="dxa"/>
            <w:tcBorders>
              <w:top w:val="single" w:color="auto" w:sz="4" w:space="0"/>
              <w:left w:val="nil"/>
              <w:bottom w:val="single" w:color="auto" w:sz="4" w:space="0"/>
              <w:right w:val="single" w:color="auto" w:sz="4" w:space="0"/>
            </w:tcBorders>
            <w:vAlign w:val="center"/>
          </w:tcPr>
          <w:p w14:paraId="0709CA2D">
            <w:pPr>
              <w:spacing w:line="360" w:lineRule="auto"/>
              <w:rPr>
                <w:rFonts w:ascii="宋体" w:hAnsi="宋体" w:cs="宋体"/>
                <w:bCs/>
                <w:sz w:val="24"/>
                <w:szCs w:val="24"/>
              </w:rPr>
            </w:pPr>
            <w:r>
              <w:rPr>
                <w:rFonts w:hint="eastAsia" w:ascii="宋体" w:hAnsi="宋体" w:cs="宋体"/>
                <w:spacing w:val="5"/>
                <w:sz w:val="24"/>
                <w:szCs w:val="24"/>
              </w:rPr>
              <w:t>由磋商小组采用综合评分法对提交最后报价的磋商供应商的磋商响应文件和最后报价进行综合评分。综合评分法，是指磋商响应文件满足竞争性磋商文件全部实质性要求且按评审因素的量化指标评审得分最高的供应商为中标候选供应商的磋商方法；</w:t>
            </w:r>
            <w:r>
              <w:rPr>
                <w:rFonts w:hint="eastAsia" w:ascii="宋体" w:hAnsi="宋体" w:cs="宋体"/>
                <w:bCs/>
                <w:sz w:val="24"/>
                <w:szCs w:val="24"/>
              </w:rPr>
              <w:t>评审得分相同的，按照最后报价由低到高的顺序推荐。评审得分且最后报价相同的，按照技术指标优劣顺序推荐。</w:t>
            </w:r>
          </w:p>
        </w:tc>
      </w:tr>
      <w:tr w14:paraId="04735804">
        <w:tblPrEx>
          <w:tblCellMar>
            <w:top w:w="0" w:type="dxa"/>
            <w:left w:w="108" w:type="dxa"/>
            <w:bottom w:w="0" w:type="dxa"/>
            <w:right w:w="108" w:type="dxa"/>
          </w:tblCellMar>
        </w:tblPrEx>
        <w:trPr>
          <w:trHeight w:val="459"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14:paraId="27C11999">
            <w:pPr>
              <w:adjustRightInd w:val="0"/>
              <w:snapToGrid w:val="0"/>
              <w:spacing w:line="360" w:lineRule="auto"/>
              <w:jc w:val="center"/>
              <w:rPr>
                <w:rFonts w:ascii="宋体" w:hAnsi="宋体" w:cs="宋体"/>
                <w:color w:val="000000"/>
                <w:spacing w:val="11"/>
                <w:sz w:val="24"/>
                <w:szCs w:val="24"/>
              </w:rPr>
            </w:pPr>
            <w:r>
              <w:rPr>
                <w:rFonts w:hint="eastAsia" w:ascii="宋体" w:hAnsi="宋体" w:cs="宋体"/>
                <w:color w:val="000000"/>
                <w:spacing w:val="11"/>
                <w:sz w:val="24"/>
                <w:szCs w:val="24"/>
              </w:rPr>
              <w:t>29</w:t>
            </w:r>
          </w:p>
        </w:tc>
        <w:tc>
          <w:tcPr>
            <w:tcW w:w="1800" w:type="dxa"/>
            <w:tcBorders>
              <w:top w:val="single" w:color="auto" w:sz="4" w:space="0"/>
              <w:left w:val="nil"/>
              <w:bottom w:val="single" w:color="auto" w:sz="4" w:space="0"/>
              <w:right w:val="single" w:color="auto" w:sz="4" w:space="0"/>
            </w:tcBorders>
            <w:vAlign w:val="center"/>
          </w:tcPr>
          <w:p w14:paraId="320AF80F">
            <w:pPr>
              <w:jc w:val="center"/>
              <w:rPr>
                <w:rFonts w:ascii="宋体" w:hAnsi="宋体" w:cs="宋体"/>
                <w:sz w:val="24"/>
                <w:szCs w:val="24"/>
              </w:rPr>
            </w:pPr>
            <w:r>
              <w:rPr>
                <w:rFonts w:hint="eastAsia" w:ascii="宋体" w:hAnsi="宋体" w:cs="宋体"/>
                <w:sz w:val="24"/>
                <w:szCs w:val="24"/>
              </w:rPr>
              <w:t>是否授权磋商小组确定成交供应商</w:t>
            </w:r>
          </w:p>
        </w:tc>
        <w:tc>
          <w:tcPr>
            <w:tcW w:w="7015" w:type="dxa"/>
            <w:tcBorders>
              <w:top w:val="single" w:color="auto" w:sz="4" w:space="0"/>
              <w:left w:val="nil"/>
              <w:bottom w:val="single" w:color="auto" w:sz="4" w:space="0"/>
              <w:right w:val="single" w:color="auto" w:sz="4" w:space="0"/>
            </w:tcBorders>
            <w:vAlign w:val="center"/>
          </w:tcPr>
          <w:p w14:paraId="3EE162DF">
            <w:pPr>
              <w:spacing w:line="360" w:lineRule="auto"/>
              <w:rPr>
                <w:rFonts w:ascii="宋体" w:hAnsi="宋体" w:cs="宋体"/>
                <w:sz w:val="24"/>
                <w:szCs w:val="24"/>
              </w:rPr>
            </w:pPr>
            <w:r>
              <w:rPr>
                <w:rFonts w:hint="eastAsia" w:ascii="宋体" w:hAnsi="宋体" w:cs="宋体"/>
                <w:sz w:val="24"/>
                <w:szCs w:val="24"/>
              </w:rPr>
              <w:t>■否，按顺序推荐成交候选人3名</w:t>
            </w:r>
          </w:p>
        </w:tc>
      </w:tr>
      <w:tr w14:paraId="3C4DFC14">
        <w:tblPrEx>
          <w:tblCellMar>
            <w:top w:w="0" w:type="dxa"/>
            <w:left w:w="108" w:type="dxa"/>
            <w:bottom w:w="0" w:type="dxa"/>
            <w:right w:w="108" w:type="dxa"/>
          </w:tblCellMar>
        </w:tblPrEx>
        <w:trPr>
          <w:trHeight w:val="558"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14:paraId="1DD69869">
            <w:pPr>
              <w:adjustRightInd w:val="0"/>
              <w:snapToGrid w:val="0"/>
              <w:spacing w:line="360" w:lineRule="auto"/>
              <w:jc w:val="center"/>
              <w:rPr>
                <w:rFonts w:ascii="宋体" w:hAnsi="宋体" w:cs="宋体"/>
                <w:bCs/>
                <w:color w:val="000000"/>
                <w:spacing w:val="11"/>
                <w:sz w:val="24"/>
                <w:szCs w:val="24"/>
              </w:rPr>
            </w:pPr>
            <w:r>
              <w:rPr>
                <w:rFonts w:hint="eastAsia" w:ascii="宋体" w:hAnsi="宋体" w:cs="宋体"/>
                <w:color w:val="000000"/>
                <w:spacing w:val="11"/>
                <w:sz w:val="24"/>
                <w:szCs w:val="24"/>
              </w:rPr>
              <w:t>30</w:t>
            </w:r>
          </w:p>
        </w:tc>
        <w:tc>
          <w:tcPr>
            <w:tcW w:w="1800" w:type="dxa"/>
            <w:tcBorders>
              <w:top w:val="single" w:color="auto" w:sz="4" w:space="0"/>
              <w:left w:val="nil"/>
              <w:bottom w:val="single" w:color="auto" w:sz="4" w:space="0"/>
              <w:right w:val="single" w:color="auto" w:sz="4" w:space="0"/>
            </w:tcBorders>
            <w:vAlign w:val="center"/>
          </w:tcPr>
          <w:p w14:paraId="59837BD7">
            <w:pPr>
              <w:spacing w:line="360" w:lineRule="auto"/>
              <w:jc w:val="center"/>
              <w:rPr>
                <w:rFonts w:ascii="宋体" w:hAnsi="宋体" w:cs="宋体"/>
                <w:sz w:val="24"/>
                <w:szCs w:val="24"/>
              </w:rPr>
            </w:pPr>
            <w:r>
              <w:rPr>
                <w:rFonts w:hint="eastAsia" w:ascii="宋体" w:hAnsi="宋体" w:cs="宋体"/>
                <w:sz w:val="24"/>
                <w:szCs w:val="24"/>
              </w:rPr>
              <w:t>履约担保</w:t>
            </w:r>
          </w:p>
        </w:tc>
        <w:tc>
          <w:tcPr>
            <w:tcW w:w="7015" w:type="dxa"/>
            <w:tcBorders>
              <w:top w:val="single" w:color="auto" w:sz="4" w:space="0"/>
              <w:left w:val="nil"/>
              <w:bottom w:val="single" w:color="auto" w:sz="4" w:space="0"/>
              <w:right w:val="single" w:color="auto" w:sz="4" w:space="0"/>
            </w:tcBorders>
            <w:vAlign w:val="center"/>
          </w:tcPr>
          <w:p w14:paraId="4D6C433D">
            <w:pPr>
              <w:spacing w:line="360" w:lineRule="auto"/>
              <w:rPr>
                <w:rFonts w:hint="eastAsia" w:ascii="宋体" w:hAnsi="宋体" w:cs="宋体" w:eastAsiaTheme="minorEastAsia"/>
                <w:sz w:val="24"/>
                <w:szCs w:val="24"/>
                <w:lang w:val="en-US" w:eastAsia="zh-CN"/>
              </w:rPr>
            </w:pPr>
            <w:r>
              <w:rPr>
                <w:rFonts w:hint="eastAsia" w:cs="Calibri" w:asciiTheme="minorEastAsia" w:hAnsiTheme="minorEastAsia" w:eastAsiaTheme="minorEastAsia"/>
                <w:sz w:val="24"/>
                <w:szCs w:val="24"/>
              </w:rPr>
              <w:t>根据三门峡市财政局三财购【2021】14号文的规定，本项目不收取履约保证金</w:t>
            </w:r>
            <w:r>
              <w:rPr>
                <w:rFonts w:hint="eastAsia" w:ascii="宋体" w:hAnsi="宋体" w:cs="宋体"/>
                <w:bCs/>
                <w:sz w:val="24"/>
                <w:szCs w:val="24"/>
              </w:rPr>
              <w:t>。</w:t>
            </w:r>
          </w:p>
        </w:tc>
      </w:tr>
      <w:tr w14:paraId="7547A9FC">
        <w:tblPrEx>
          <w:tblCellMar>
            <w:top w:w="0" w:type="dxa"/>
            <w:left w:w="108" w:type="dxa"/>
            <w:bottom w:w="0" w:type="dxa"/>
            <w:right w:w="108" w:type="dxa"/>
          </w:tblCellMar>
        </w:tblPrEx>
        <w:trPr>
          <w:trHeight w:val="452"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14:paraId="2F51E523">
            <w:pPr>
              <w:adjustRightInd w:val="0"/>
              <w:snapToGrid w:val="0"/>
              <w:spacing w:line="360" w:lineRule="auto"/>
              <w:jc w:val="center"/>
              <w:rPr>
                <w:rFonts w:ascii="宋体" w:hAnsi="宋体" w:cs="宋体"/>
                <w:bCs/>
                <w:color w:val="000000"/>
                <w:spacing w:val="11"/>
                <w:sz w:val="24"/>
                <w:szCs w:val="24"/>
              </w:rPr>
            </w:pPr>
            <w:r>
              <w:rPr>
                <w:rFonts w:hint="eastAsia" w:ascii="宋体" w:hAnsi="宋体" w:cs="宋体"/>
                <w:color w:val="000000"/>
                <w:spacing w:val="11"/>
                <w:sz w:val="24"/>
                <w:szCs w:val="24"/>
              </w:rPr>
              <w:t>31</w:t>
            </w:r>
          </w:p>
        </w:tc>
        <w:tc>
          <w:tcPr>
            <w:tcW w:w="1800" w:type="dxa"/>
            <w:tcBorders>
              <w:top w:val="single" w:color="auto" w:sz="4" w:space="0"/>
              <w:left w:val="nil"/>
              <w:bottom w:val="single" w:color="auto" w:sz="4" w:space="0"/>
              <w:right w:val="single" w:color="auto" w:sz="4" w:space="0"/>
            </w:tcBorders>
            <w:vAlign w:val="center"/>
          </w:tcPr>
          <w:p w14:paraId="3D7CA07E">
            <w:pPr>
              <w:adjustRightInd w:val="0"/>
              <w:snapToGrid w:val="0"/>
              <w:spacing w:line="360" w:lineRule="auto"/>
              <w:rPr>
                <w:rFonts w:ascii="宋体" w:hAnsi="宋体" w:cs="宋体"/>
                <w:b/>
                <w:bCs/>
                <w:sz w:val="24"/>
                <w:szCs w:val="24"/>
              </w:rPr>
            </w:pPr>
            <w:r>
              <w:rPr>
                <w:rFonts w:hint="eastAsia" w:ascii="宋体" w:hAnsi="宋体" w:cs="宋体"/>
                <w:b/>
                <w:bCs/>
                <w:sz w:val="24"/>
                <w:szCs w:val="24"/>
              </w:rPr>
              <w:t>磋商控制价</w:t>
            </w:r>
          </w:p>
        </w:tc>
        <w:tc>
          <w:tcPr>
            <w:tcW w:w="7015" w:type="dxa"/>
            <w:tcBorders>
              <w:top w:val="single" w:color="auto" w:sz="4" w:space="0"/>
              <w:left w:val="nil"/>
              <w:bottom w:val="single" w:color="auto" w:sz="4" w:space="0"/>
              <w:right w:val="single" w:color="auto" w:sz="4" w:space="0"/>
            </w:tcBorders>
          </w:tcPr>
          <w:p w14:paraId="4597D607">
            <w:pPr>
              <w:adjustRightInd w:val="0"/>
              <w:snapToGrid w:val="0"/>
              <w:spacing w:line="360" w:lineRule="auto"/>
              <w:rPr>
                <w:rFonts w:ascii="宋体" w:hAnsi="宋体" w:cs="宋体"/>
                <w:b/>
                <w:bCs/>
                <w:sz w:val="24"/>
                <w:szCs w:val="24"/>
              </w:rPr>
            </w:pPr>
            <w:r>
              <w:rPr>
                <w:rFonts w:hint="eastAsia" w:ascii="宋体" w:hAnsi="宋体" w:cs="宋体"/>
                <w:b/>
                <w:bCs/>
                <w:sz w:val="24"/>
                <w:szCs w:val="24"/>
              </w:rPr>
              <w:t>磋商控制价为1010000.00元</w:t>
            </w:r>
          </w:p>
          <w:p w14:paraId="71F438C7">
            <w:pPr>
              <w:adjustRightInd w:val="0"/>
              <w:snapToGrid w:val="0"/>
              <w:spacing w:line="360" w:lineRule="auto"/>
              <w:rPr>
                <w:rFonts w:ascii="宋体" w:hAnsi="宋体" w:cs="宋体"/>
                <w:b/>
                <w:bCs/>
                <w:sz w:val="24"/>
                <w:szCs w:val="24"/>
              </w:rPr>
            </w:pPr>
            <w:r>
              <w:rPr>
                <w:rFonts w:hint="eastAsia" w:ascii="宋体" w:hAnsi="宋体" w:cs="宋体"/>
                <w:b/>
                <w:bCs/>
                <w:sz w:val="24"/>
                <w:szCs w:val="24"/>
              </w:rPr>
              <w:t>投标报价不能超过磋商控制价，否则其磋商无效。</w:t>
            </w:r>
          </w:p>
        </w:tc>
      </w:tr>
      <w:tr w14:paraId="63B58155">
        <w:tblPrEx>
          <w:tblCellMar>
            <w:top w:w="0" w:type="dxa"/>
            <w:left w:w="108" w:type="dxa"/>
            <w:bottom w:w="0" w:type="dxa"/>
            <w:right w:w="108" w:type="dxa"/>
          </w:tblCellMar>
        </w:tblPrEx>
        <w:trPr>
          <w:trHeight w:val="397"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14:paraId="2965E5D7">
            <w:pPr>
              <w:adjustRightInd w:val="0"/>
              <w:snapToGrid w:val="0"/>
              <w:spacing w:line="360" w:lineRule="auto"/>
              <w:jc w:val="center"/>
              <w:rPr>
                <w:rFonts w:ascii="宋体" w:hAnsi="宋体" w:cs="宋体"/>
                <w:color w:val="000000"/>
                <w:spacing w:val="11"/>
                <w:sz w:val="24"/>
                <w:szCs w:val="24"/>
              </w:rPr>
            </w:pPr>
            <w:r>
              <w:rPr>
                <w:rFonts w:hint="eastAsia" w:ascii="宋体" w:hAnsi="宋体" w:cs="宋体"/>
                <w:color w:val="000000"/>
                <w:spacing w:val="11"/>
                <w:sz w:val="24"/>
                <w:szCs w:val="24"/>
              </w:rPr>
              <w:t>32</w:t>
            </w:r>
          </w:p>
        </w:tc>
        <w:tc>
          <w:tcPr>
            <w:tcW w:w="1800" w:type="dxa"/>
            <w:tcBorders>
              <w:top w:val="single" w:color="auto" w:sz="4" w:space="0"/>
              <w:left w:val="nil"/>
              <w:bottom w:val="single" w:color="auto" w:sz="4" w:space="0"/>
              <w:right w:val="single" w:color="auto" w:sz="4" w:space="0"/>
            </w:tcBorders>
            <w:vAlign w:val="center"/>
          </w:tcPr>
          <w:p w14:paraId="6C352B75">
            <w:pPr>
              <w:spacing w:line="360" w:lineRule="auto"/>
              <w:jc w:val="center"/>
              <w:rPr>
                <w:rFonts w:ascii="宋体" w:hAnsi="宋体" w:cs="宋体"/>
                <w:spacing w:val="5"/>
                <w:sz w:val="24"/>
                <w:szCs w:val="24"/>
              </w:rPr>
            </w:pPr>
            <w:r>
              <w:rPr>
                <w:rFonts w:hint="eastAsia" w:ascii="宋体" w:hAnsi="宋体" w:cs="宋体"/>
                <w:spacing w:val="5"/>
                <w:sz w:val="24"/>
                <w:szCs w:val="24"/>
              </w:rPr>
              <w:t>报价</w:t>
            </w:r>
          </w:p>
        </w:tc>
        <w:tc>
          <w:tcPr>
            <w:tcW w:w="7015" w:type="dxa"/>
            <w:tcBorders>
              <w:top w:val="single" w:color="auto" w:sz="4" w:space="0"/>
              <w:left w:val="nil"/>
              <w:bottom w:val="single" w:color="auto" w:sz="4" w:space="0"/>
              <w:right w:val="single" w:color="auto" w:sz="4" w:space="0"/>
            </w:tcBorders>
            <w:vAlign w:val="center"/>
          </w:tcPr>
          <w:p w14:paraId="16962535">
            <w:pPr>
              <w:spacing w:line="360" w:lineRule="auto"/>
              <w:rPr>
                <w:rFonts w:ascii="宋体" w:hAnsi="宋体" w:cs="宋体"/>
                <w:spacing w:val="5"/>
                <w:sz w:val="24"/>
                <w:szCs w:val="24"/>
              </w:rPr>
            </w:pPr>
            <w:r>
              <w:rPr>
                <w:rFonts w:hint="eastAsia" w:ascii="宋体" w:hAnsi="宋体" w:cs="宋体"/>
                <w:spacing w:val="5"/>
                <w:sz w:val="24"/>
                <w:szCs w:val="24"/>
              </w:rPr>
              <w:t>本次磋商应以人民币报价，分两次进行报价。</w:t>
            </w:r>
          </w:p>
        </w:tc>
      </w:tr>
      <w:tr w14:paraId="56848E24">
        <w:tblPrEx>
          <w:tblCellMar>
            <w:top w:w="0" w:type="dxa"/>
            <w:left w:w="108" w:type="dxa"/>
            <w:bottom w:w="0" w:type="dxa"/>
            <w:right w:w="108" w:type="dxa"/>
          </w:tblCellMar>
        </w:tblPrEx>
        <w:trPr>
          <w:trHeight w:val="9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14:paraId="1DC2AB79">
            <w:pPr>
              <w:adjustRightInd w:val="0"/>
              <w:snapToGrid w:val="0"/>
              <w:spacing w:line="360" w:lineRule="auto"/>
              <w:jc w:val="center"/>
              <w:rPr>
                <w:rFonts w:ascii="宋体" w:hAnsi="宋体" w:cs="宋体"/>
                <w:color w:val="000000"/>
                <w:spacing w:val="11"/>
                <w:sz w:val="24"/>
                <w:szCs w:val="24"/>
              </w:rPr>
            </w:pPr>
            <w:r>
              <w:rPr>
                <w:rFonts w:hint="eastAsia" w:ascii="宋体" w:hAnsi="宋体" w:cs="宋体"/>
                <w:color w:val="000000"/>
                <w:spacing w:val="11"/>
                <w:sz w:val="24"/>
                <w:szCs w:val="24"/>
              </w:rPr>
              <w:t>33</w:t>
            </w:r>
          </w:p>
        </w:tc>
        <w:tc>
          <w:tcPr>
            <w:tcW w:w="1800" w:type="dxa"/>
            <w:tcBorders>
              <w:top w:val="single" w:color="auto" w:sz="4" w:space="0"/>
              <w:left w:val="nil"/>
              <w:bottom w:val="single" w:color="auto" w:sz="4" w:space="0"/>
              <w:right w:val="single" w:color="auto" w:sz="4" w:space="0"/>
            </w:tcBorders>
            <w:vAlign w:val="center"/>
          </w:tcPr>
          <w:p w14:paraId="7D6C2DD7">
            <w:pPr>
              <w:spacing w:line="360" w:lineRule="auto"/>
              <w:jc w:val="center"/>
              <w:rPr>
                <w:rFonts w:ascii="宋体" w:hAnsi="宋体" w:cs="宋体"/>
                <w:sz w:val="24"/>
                <w:szCs w:val="24"/>
              </w:rPr>
            </w:pPr>
            <w:r>
              <w:rPr>
                <w:rFonts w:hint="eastAsia" w:ascii="宋体" w:hAnsi="宋体" w:cs="宋体"/>
                <w:sz w:val="24"/>
                <w:szCs w:val="24"/>
              </w:rPr>
              <w:t>招标代理费</w:t>
            </w:r>
          </w:p>
        </w:tc>
        <w:tc>
          <w:tcPr>
            <w:tcW w:w="7015" w:type="dxa"/>
            <w:tcBorders>
              <w:top w:val="single" w:color="auto" w:sz="4" w:space="0"/>
              <w:left w:val="nil"/>
              <w:bottom w:val="single" w:color="auto" w:sz="4" w:space="0"/>
              <w:right w:val="single" w:color="auto" w:sz="4" w:space="0"/>
            </w:tcBorders>
            <w:vAlign w:val="center"/>
          </w:tcPr>
          <w:p w14:paraId="23BBFBF0">
            <w:pPr>
              <w:autoSpaceDE w:val="0"/>
              <w:autoSpaceDN w:val="0"/>
              <w:adjustRightInd w:val="0"/>
              <w:spacing w:line="4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rPr>
              <w:t>根据《中华人民共和国招标投标法》《中华人民共和国政府采购法》和《国家发展改革委关于进一步放开建设项目专业服务价格的通知》（发改价格[2015]299号）《明码标价和禁止价格欺诈规定》（国家市场监督管理总局令第56号 ）《招标代理服务规范》（GB/38357-2019国家市场监督管理总局、国家标准化管理委员会）等规定,参照</w:t>
            </w:r>
            <w:r>
              <w:rPr>
                <w:rFonts w:hint="eastAsia" w:ascii="宋体" w:hAnsi="宋体" w:eastAsia="宋体" w:cs="宋体"/>
                <w:color w:val="auto"/>
                <w:sz w:val="24"/>
                <w:lang w:eastAsia="zh-CN"/>
              </w:rPr>
              <w:t>豫</w:t>
            </w:r>
            <w:r>
              <w:rPr>
                <w:rFonts w:hint="eastAsia" w:ascii="宋体" w:hAnsi="宋体" w:cs="宋体"/>
                <w:color w:val="auto"/>
                <w:spacing w:val="1"/>
                <w:kern w:val="0"/>
                <w:sz w:val="24"/>
                <w:lang w:eastAsia="zh-CN"/>
              </w:rPr>
              <w:t>招协</w:t>
            </w:r>
            <w:r>
              <w:rPr>
                <w:rFonts w:hint="eastAsia" w:ascii="宋体" w:hAnsi="宋体" w:cs="宋体"/>
                <w:color w:val="auto"/>
                <w:spacing w:val="1"/>
                <w:kern w:val="0"/>
                <w:sz w:val="24"/>
              </w:rPr>
              <w:t>【20</w:t>
            </w:r>
            <w:r>
              <w:rPr>
                <w:rFonts w:hint="eastAsia" w:ascii="宋体" w:hAnsi="宋体" w:cs="宋体"/>
                <w:color w:val="auto"/>
                <w:spacing w:val="1"/>
                <w:kern w:val="0"/>
                <w:sz w:val="24"/>
                <w:lang w:val="en-US" w:eastAsia="zh-CN"/>
              </w:rPr>
              <w:t>2</w:t>
            </w:r>
            <w:r>
              <w:rPr>
                <w:rFonts w:hint="eastAsia" w:ascii="宋体" w:hAnsi="宋体" w:cs="宋体"/>
                <w:color w:val="auto"/>
                <w:spacing w:val="1"/>
                <w:kern w:val="0"/>
                <w:sz w:val="24"/>
              </w:rPr>
              <w:t>3】</w:t>
            </w:r>
            <w:r>
              <w:rPr>
                <w:rFonts w:hint="eastAsia" w:ascii="宋体" w:hAnsi="宋体" w:cs="宋体"/>
                <w:color w:val="auto"/>
                <w:spacing w:val="1"/>
                <w:kern w:val="0"/>
                <w:sz w:val="24"/>
                <w:lang w:val="en-US" w:eastAsia="zh-CN"/>
              </w:rPr>
              <w:t>002号文</w:t>
            </w:r>
            <w:r>
              <w:rPr>
                <w:rFonts w:hint="eastAsia" w:ascii="宋体" w:hAnsi="宋体" w:cs="宋体"/>
                <w:color w:val="auto"/>
                <w:spacing w:val="1"/>
                <w:kern w:val="0"/>
                <w:sz w:val="24"/>
                <w:lang w:eastAsia="zh-CN"/>
              </w:rPr>
              <w:t>下发</w:t>
            </w:r>
            <w:r>
              <w:rPr>
                <w:rFonts w:hint="eastAsia" w:ascii="宋体" w:hAnsi="宋体" w:cs="宋体"/>
                <w:color w:val="auto"/>
                <w:spacing w:val="1"/>
                <w:kern w:val="0"/>
                <w:sz w:val="24"/>
              </w:rPr>
              <w:t>的</w:t>
            </w:r>
            <w:r>
              <w:rPr>
                <w:rFonts w:hint="eastAsia" w:ascii="宋体" w:hAnsi="宋体" w:cs="宋体"/>
                <w:color w:val="auto"/>
                <w:spacing w:val="1"/>
                <w:kern w:val="0"/>
                <w:sz w:val="24"/>
                <w:lang w:eastAsia="zh-CN"/>
              </w:rPr>
              <w:t>招标代理服务</w:t>
            </w:r>
            <w:r>
              <w:rPr>
                <w:rFonts w:hint="eastAsia" w:ascii="宋体" w:hAnsi="宋体" w:cs="宋体"/>
                <w:color w:val="auto"/>
                <w:spacing w:val="1"/>
                <w:kern w:val="0"/>
                <w:sz w:val="24"/>
              </w:rPr>
              <w:t>收费</w:t>
            </w:r>
            <w:r>
              <w:rPr>
                <w:rFonts w:hint="eastAsia" w:ascii="宋体" w:hAnsi="宋体" w:cs="宋体"/>
                <w:color w:val="auto"/>
                <w:spacing w:val="1"/>
                <w:kern w:val="0"/>
                <w:sz w:val="24"/>
                <w:lang w:eastAsia="zh-CN"/>
              </w:rPr>
              <w:t>指导意见</w:t>
            </w:r>
            <w:r>
              <w:rPr>
                <w:rFonts w:hint="eastAsia" w:ascii="宋体" w:hAnsi="宋体" w:cs="宋体"/>
                <w:color w:val="auto"/>
                <w:spacing w:val="1"/>
                <w:kern w:val="0"/>
                <w:sz w:val="24"/>
              </w:rPr>
              <w:t>执行，</w:t>
            </w:r>
            <w:r>
              <w:rPr>
                <w:rFonts w:hint="eastAsia" w:ascii="宋体" w:hAnsi="宋体" w:eastAsia="宋体" w:cs="宋体"/>
                <w:color w:val="auto"/>
                <w:sz w:val="24"/>
                <w:szCs w:val="24"/>
                <w:highlight w:val="none"/>
              </w:rPr>
              <w:t>代理服务费取费的基数为中标价，</w:t>
            </w:r>
            <w:r>
              <w:rPr>
                <w:rFonts w:hint="eastAsia" w:ascii="宋体" w:hAnsi="宋体" w:eastAsia="宋体" w:cs="宋体"/>
                <w:color w:val="auto"/>
                <w:sz w:val="24"/>
                <w:szCs w:val="24"/>
                <w:highlight w:val="none"/>
                <w:lang w:eastAsia="zh-CN"/>
              </w:rPr>
              <w:t>领取中标通知书时一次性</w:t>
            </w:r>
            <w:r>
              <w:rPr>
                <w:rFonts w:hint="eastAsia" w:ascii="宋体" w:hAnsi="宋体" w:eastAsia="宋体" w:cs="宋体"/>
                <w:color w:val="auto"/>
                <w:sz w:val="24"/>
                <w:szCs w:val="24"/>
                <w:highlight w:val="none"/>
              </w:rPr>
              <w:t>支付。</w:t>
            </w:r>
          </w:p>
          <w:p w14:paraId="14698BE8">
            <w:pPr>
              <w:autoSpaceDE w:val="0"/>
              <w:autoSpaceDN w:val="0"/>
              <w:adjustRightInd w:val="0"/>
              <w:spacing w:line="4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天寻国际工程咨询有限公司</w:t>
            </w:r>
            <w:r>
              <w:rPr>
                <w:rFonts w:hint="eastAsia" w:ascii="宋体" w:hAnsi="宋体" w:eastAsia="宋体" w:cs="宋体"/>
                <w:color w:val="auto"/>
                <w:sz w:val="24"/>
                <w:szCs w:val="24"/>
                <w:highlight w:val="none"/>
              </w:rPr>
              <w:t>灵宝分公司</w:t>
            </w:r>
          </w:p>
          <w:p w14:paraId="7756BD07">
            <w:pPr>
              <w:autoSpaceDE w:val="0"/>
              <w:autoSpaceDN w:val="0"/>
              <w:adjustRightInd w:val="0"/>
              <w:spacing w:line="4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纳税人识别号：91411282MA468LAN2H</w:t>
            </w:r>
          </w:p>
          <w:p w14:paraId="5945AD18">
            <w:pPr>
              <w:spacing w:line="360" w:lineRule="auto"/>
              <w:rPr>
                <w:rFonts w:ascii="宋体" w:hAnsi="宋体" w:cs="宋体"/>
                <w:sz w:val="24"/>
                <w:szCs w:val="24"/>
              </w:rPr>
            </w:pPr>
            <w:r>
              <w:rPr>
                <w:rFonts w:hint="eastAsia" w:ascii="宋体" w:hAnsi="宋体" w:eastAsia="宋体" w:cs="宋体"/>
                <w:color w:val="auto"/>
                <w:sz w:val="24"/>
                <w:szCs w:val="24"/>
                <w:highlight w:val="none"/>
              </w:rPr>
              <w:t>开户行及账号：中国银行灵宝支行254664274853</w:t>
            </w:r>
          </w:p>
        </w:tc>
      </w:tr>
      <w:tr w14:paraId="6A4B3BA0">
        <w:tblPrEx>
          <w:tblCellMar>
            <w:top w:w="0" w:type="dxa"/>
            <w:left w:w="108" w:type="dxa"/>
            <w:bottom w:w="0" w:type="dxa"/>
            <w:right w:w="108" w:type="dxa"/>
          </w:tblCellMar>
        </w:tblPrEx>
        <w:trPr>
          <w:trHeight w:val="463"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14:paraId="35C34E32">
            <w:pPr>
              <w:adjustRightInd w:val="0"/>
              <w:snapToGrid w:val="0"/>
              <w:spacing w:line="360" w:lineRule="auto"/>
              <w:jc w:val="center"/>
              <w:rPr>
                <w:rFonts w:ascii="宋体" w:hAnsi="宋体" w:cs="宋体"/>
                <w:color w:val="000000"/>
                <w:spacing w:val="11"/>
                <w:sz w:val="24"/>
                <w:szCs w:val="24"/>
              </w:rPr>
            </w:pPr>
            <w:r>
              <w:rPr>
                <w:rFonts w:hint="eastAsia" w:ascii="宋体" w:hAnsi="宋体" w:cs="宋体"/>
                <w:color w:val="000000"/>
                <w:spacing w:val="11"/>
                <w:sz w:val="24"/>
                <w:szCs w:val="24"/>
              </w:rPr>
              <w:t>34</w:t>
            </w:r>
          </w:p>
        </w:tc>
        <w:tc>
          <w:tcPr>
            <w:tcW w:w="1800" w:type="dxa"/>
            <w:tcBorders>
              <w:top w:val="single" w:color="auto" w:sz="4" w:space="0"/>
              <w:left w:val="nil"/>
              <w:bottom w:val="single" w:color="auto" w:sz="4" w:space="0"/>
              <w:right w:val="single" w:color="auto" w:sz="4" w:space="0"/>
            </w:tcBorders>
            <w:vAlign w:val="center"/>
          </w:tcPr>
          <w:p w14:paraId="70087F07">
            <w:pPr>
              <w:adjustRightInd w:val="0"/>
              <w:snapToGrid w:val="0"/>
              <w:jc w:val="center"/>
              <w:rPr>
                <w:rFonts w:ascii="宋体" w:hAnsi="宋体" w:cs="宋体"/>
                <w:color w:val="000000"/>
                <w:spacing w:val="11"/>
                <w:sz w:val="24"/>
                <w:szCs w:val="24"/>
              </w:rPr>
            </w:pPr>
            <w:r>
              <w:rPr>
                <w:rFonts w:hint="eastAsia" w:ascii="宋体" w:hAnsi="宋体" w:cs="宋体"/>
                <w:spacing w:val="11"/>
                <w:sz w:val="24"/>
                <w:szCs w:val="24"/>
              </w:rPr>
              <w:t>是否退还响应文件</w:t>
            </w:r>
          </w:p>
        </w:tc>
        <w:tc>
          <w:tcPr>
            <w:tcW w:w="7015" w:type="dxa"/>
            <w:tcBorders>
              <w:top w:val="single" w:color="auto" w:sz="4" w:space="0"/>
              <w:left w:val="nil"/>
              <w:bottom w:val="single" w:color="auto" w:sz="4" w:space="0"/>
              <w:right w:val="single" w:color="auto" w:sz="4" w:space="0"/>
            </w:tcBorders>
            <w:vAlign w:val="center"/>
          </w:tcPr>
          <w:p w14:paraId="23E9DB55">
            <w:pPr>
              <w:adjustRightInd w:val="0"/>
              <w:snapToGrid w:val="0"/>
              <w:spacing w:line="360" w:lineRule="auto"/>
              <w:rPr>
                <w:rFonts w:ascii="宋体" w:hAnsi="宋体" w:cs="宋体"/>
                <w:color w:val="000000"/>
                <w:spacing w:val="11"/>
                <w:sz w:val="24"/>
                <w:szCs w:val="24"/>
              </w:rPr>
            </w:pPr>
            <w:r>
              <w:rPr>
                <w:rFonts w:hint="eastAsia" w:ascii="宋体" w:hAnsi="宋体" w:cs="宋体"/>
                <w:spacing w:val="11"/>
                <w:sz w:val="24"/>
                <w:szCs w:val="24"/>
              </w:rPr>
              <w:t>否</w:t>
            </w:r>
          </w:p>
        </w:tc>
      </w:tr>
      <w:tr w14:paraId="39D501BF">
        <w:tblPrEx>
          <w:tblCellMar>
            <w:top w:w="0" w:type="dxa"/>
            <w:left w:w="108" w:type="dxa"/>
            <w:bottom w:w="0" w:type="dxa"/>
            <w:right w:w="108" w:type="dxa"/>
          </w:tblCellMar>
        </w:tblPrEx>
        <w:trPr>
          <w:trHeight w:val="492"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14:paraId="74D957D8">
            <w:pPr>
              <w:adjustRightInd w:val="0"/>
              <w:snapToGrid w:val="0"/>
              <w:spacing w:line="360" w:lineRule="auto"/>
              <w:jc w:val="center"/>
              <w:rPr>
                <w:rFonts w:ascii="宋体" w:hAnsi="宋体" w:cs="宋体"/>
                <w:color w:val="000000"/>
                <w:spacing w:val="11"/>
                <w:sz w:val="24"/>
                <w:szCs w:val="24"/>
              </w:rPr>
            </w:pPr>
            <w:r>
              <w:rPr>
                <w:rFonts w:hint="eastAsia" w:ascii="宋体" w:hAnsi="宋体" w:cs="宋体"/>
                <w:color w:val="000000"/>
                <w:spacing w:val="11"/>
                <w:sz w:val="24"/>
                <w:szCs w:val="24"/>
              </w:rPr>
              <w:t>35</w:t>
            </w:r>
          </w:p>
        </w:tc>
        <w:tc>
          <w:tcPr>
            <w:tcW w:w="1800" w:type="dxa"/>
            <w:tcBorders>
              <w:top w:val="single" w:color="auto" w:sz="4" w:space="0"/>
              <w:left w:val="nil"/>
              <w:bottom w:val="single" w:color="auto" w:sz="4" w:space="0"/>
              <w:right w:val="single" w:color="auto" w:sz="4" w:space="0"/>
            </w:tcBorders>
            <w:vAlign w:val="center"/>
          </w:tcPr>
          <w:p w14:paraId="5F5449E4">
            <w:pPr>
              <w:spacing w:after="0" w:line="400" w:lineRule="exact"/>
              <w:jc w:val="center"/>
              <w:rPr>
                <w:rFonts w:ascii="宋体" w:hAnsi="宋体" w:cs="宋体"/>
                <w:sz w:val="24"/>
                <w:szCs w:val="24"/>
              </w:rPr>
            </w:pPr>
            <w:r>
              <w:rPr>
                <w:rFonts w:hint="eastAsia" w:cs="Calibri" w:asciiTheme="minorEastAsia" w:hAnsiTheme="minorEastAsia" w:eastAsiaTheme="minorEastAsia"/>
                <w:sz w:val="24"/>
                <w:szCs w:val="24"/>
              </w:rPr>
              <w:t>磋商文件费</w:t>
            </w:r>
          </w:p>
        </w:tc>
        <w:tc>
          <w:tcPr>
            <w:tcW w:w="7015" w:type="dxa"/>
            <w:tcBorders>
              <w:top w:val="single" w:color="auto" w:sz="4" w:space="0"/>
              <w:left w:val="nil"/>
              <w:bottom w:val="single" w:color="auto" w:sz="4" w:space="0"/>
              <w:right w:val="single" w:color="auto" w:sz="4" w:space="0"/>
            </w:tcBorders>
            <w:vAlign w:val="center"/>
          </w:tcPr>
          <w:p w14:paraId="563F7E02">
            <w:pPr>
              <w:spacing w:after="0" w:line="400" w:lineRule="exact"/>
              <w:rPr>
                <w:rFonts w:ascii="宋体" w:hAnsi="宋体" w:cs="宋体"/>
                <w:sz w:val="24"/>
                <w:szCs w:val="24"/>
              </w:rPr>
            </w:pPr>
            <w:r>
              <w:rPr>
                <w:rFonts w:hint="eastAsia" w:asciiTheme="minorEastAsia" w:hAnsiTheme="minorEastAsia" w:eastAsiaTheme="minorEastAsia"/>
                <w:sz w:val="24"/>
                <w:szCs w:val="24"/>
              </w:rPr>
              <w:t>根据《关于进一步加强公共资源交易管理持续优化营商环境的通知》（三公管办〔2020〕2号）文件的要求,磋商文件费用不再收取。</w:t>
            </w:r>
          </w:p>
        </w:tc>
      </w:tr>
      <w:tr w14:paraId="4BDF9359">
        <w:tblPrEx>
          <w:tblCellMar>
            <w:top w:w="0" w:type="dxa"/>
            <w:left w:w="108" w:type="dxa"/>
            <w:bottom w:w="0" w:type="dxa"/>
            <w:right w:w="108" w:type="dxa"/>
          </w:tblCellMar>
        </w:tblPrEx>
        <w:trPr>
          <w:trHeight w:val="9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14:paraId="3A79A8BA">
            <w:pPr>
              <w:adjustRightInd w:val="0"/>
              <w:snapToGrid w:val="0"/>
              <w:spacing w:line="360" w:lineRule="auto"/>
              <w:jc w:val="center"/>
              <w:rPr>
                <w:rFonts w:ascii="宋体" w:hAnsi="宋体" w:cs="宋体"/>
                <w:color w:val="000000"/>
                <w:spacing w:val="11"/>
                <w:sz w:val="24"/>
                <w:szCs w:val="24"/>
              </w:rPr>
            </w:pPr>
            <w:r>
              <w:rPr>
                <w:rFonts w:hint="eastAsia" w:ascii="宋体" w:hAnsi="宋体" w:cs="宋体"/>
                <w:color w:val="000000"/>
                <w:spacing w:val="11"/>
                <w:sz w:val="24"/>
                <w:szCs w:val="24"/>
              </w:rPr>
              <w:t>36</w:t>
            </w:r>
          </w:p>
        </w:tc>
        <w:tc>
          <w:tcPr>
            <w:tcW w:w="1800" w:type="dxa"/>
            <w:tcBorders>
              <w:top w:val="single" w:color="auto" w:sz="4" w:space="0"/>
              <w:left w:val="nil"/>
              <w:bottom w:val="single" w:color="auto" w:sz="4" w:space="0"/>
              <w:right w:val="single" w:color="auto" w:sz="4" w:space="0"/>
            </w:tcBorders>
            <w:vAlign w:val="center"/>
          </w:tcPr>
          <w:p w14:paraId="754BCFBD">
            <w:pPr>
              <w:spacing w:line="360" w:lineRule="exact"/>
              <w:jc w:val="center"/>
              <w:rPr>
                <w:rFonts w:ascii="宋体" w:hAnsi="宋体" w:cs="宋体"/>
                <w:sz w:val="24"/>
                <w:szCs w:val="24"/>
              </w:rPr>
            </w:pPr>
            <w:r>
              <w:rPr>
                <w:rFonts w:hint="eastAsia" w:ascii="宋体" w:hAnsi="宋体" w:cs="宋体"/>
                <w:sz w:val="24"/>
                <w:szCs w:val="24"/>
              </w:rPr>
              <w:t>相关证书原件的提交</w:t>
            </w:r>
          </w:p>
        </w:tc>
        <w:tc>
          <w:tcPr>
            <w:tcW w:w="7015" w:type="dxa"/>
            <w:tcBorders>
              <w:top w:val="single" w:color="auto" w:sz="4" w:space="0"/>
              <w:left w:val="nil"/>
              <w:bottom w:val="single" w:color="auto" w:sz="4" w:space="0"/>
              <w:right w:val="single" w:color="auto" w:sz="4" w:space="0"/>
            </w:tcBorders>
          </w:tcPr>
          <w:p w14:paraId="03FFA8C2">
            <w:pPr>
              <w:spacing w:line="360" w:lineRule="auto"/>
              <w:rPr>
                <w:rFonts w:ascii="宋体" w:hAnsi="宋体" w:cs="宋体"/>
                <w:sz w:val="24"/>
                <w:szCs w:val="24"/>
              </w:rPr>
            </w:pPr>
            <w:r>
              <w:rPr>
                <w:rFonts w:hint="eastAsia" w:ascii="宋体" w:hAnsi="宋体" w:cs="宋体"/>
                <w:b/>
                <w:bCs/>
                <w:sz w:val="24"/>
                <w:szCs w:val="24"/>
              </w:rPr>
              <w:t>本项目实行资格后审，审查内容以投标截止时间前在三门峡市公共资源交易平台“投标文件”上传的信息为准</w:t>
            </w:r>
            <w:r>
              <w:rPr>
                <w:rFonts w:hint="eastAsia" w:ascii="宋体" w:hAnsi="宋体" w:cs="宋体"/>
                <w:b/>
                <w:bCs/>
                <w:sz w:val="24"/>
                <w:szCs w:val="24"/>
                <w:lang w:eastAsia="zh-CN"/>
              </w:rPr>
              <w:t>，</w:t>
            </w:r>
            <w:r>
              <w:rPr>
                <w:rFonts w:hint="eastAsia" w:ascii="宋体" w:hAnsi="宋体" w:cs="宋体"/>
                <w:b/>
                <w:bCs/>
                <w:sz w:val="24"/>
                <w:szCs w:val="24"/>
              </w:rPr>
              <w:t>规定时间外上传或更改的信息不作为评标依据。</w:t>
            </w:r>
          </w:p>
        </w:tc>
      </w:tr>
      <w:tr w14:paraId="5BB253F5">
        <w:tblPrEx>
          <w:tblCellMar>
            <w:top w:w="0" w:type="dxa"/>
            <w:left w:w="108" w:type="dxa"/>
            <w:bottom w:w="0" w:type="dxa"/>
            <w:right w:w="108" w:type="dxa"/>
          </w:tblCellMar>
        </w:tblPrEx>
        <w:trPr>
          <w:trHeight w:val="613"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14:paraId="414397FF">
            <w:pPr>
              <w:adjustRightInd w:val="0"/>
              <w:snapToGrid w:val="0"/>
              <w:spacing w:line="360" w:lineRule="auto"/>
              <w:jc w:val="center"/>
              <w:rPr>
                <w:rFonts w:ascii="宋体" w:hAnsi="宋体" w:cs="宋体"/>
                <w:spacing w:val="11"/>
                <w:sz w:val="24"/>
                <w:szCs w:val="24"/>
              </w:rPr>
            </w:pPr>
            <w:r>
              <w:rPr>
                <w:rFonts w:hint="eastAsia" w:ascii="宋体" w:hAnsi="宋体" w:cs="宋体"/>
                <w:spacing w:val="11"/>
                <w:sz w:val="24"/>
                <w:szCs w:val="24"/>
              </w:rPr>
              <w:t>37</w:t>
            </w:r>
          </w:p>
        </w:tc>
        <w:tc>
          <w:tcPr>
            <w:tcW w:w="1800" w:type="dxa"/>
            <w:tcBorders>
              <w:top w:val="single" w:color="auto" w:sz="4" w:space="0"/>
              <w:left w:val="nil"/>
              <w:bottom w:val="single" w:color="auto" w:sz="4" w:space="0"/>
              <w:right w:val="single" w:color="auto" w:sz="4" w:space="0"/>
            </w:tcBorders>
            <w:vAlign w:val="center"/>
          </w:tcPr>
          <w:p w14:paraId="1983A7A1">
            <w:pPr>
              <w:widowControl/>
              <w:spacing w:line="360" w:lineRule="auto"/>
              <w:rPr>
                <w:rFonts w:ascii="宋体" w:hAnsi="宋体" w:cs="宋体"/>
                <w:spacing w:val="5"/>
                <w:sz w:val="24"/>
                <w:szCs w:val="24"/>
              </w:rPr>
            </w:pPr>
            <w:r>
              <w:rPr>
                <w:rFonts w:hint="eastAsia" w:ascii="宋体" w:hAnsi="宋体" w:cs="宋体"/>
                <w:spacing w:val="5"/>
                <w:sz w:val="24"/>
                <w:szCs w:val="24"/>
              </w:rPr>
              <w:t>电子化项目开标、解密、唱标、磋商</w:t>
            </w:r>
          </w:p>
        </w:tc>
        <w:tc>
          <w:tcPr>
            <w:tcW w:w="7015" w:type="dxa"/>
            <w:tcBorders>
              <w:top w:val="single" w:color="auto" w:sz="4" w:space="0"/>
              <w:left w:val="nil"/>
              <w:bottom w:val="single" w:color="auto" w:sz="4" w:space="0"/>
              <w:right w:val="single" w:color="auto" w:sz="4" w:space="0"/>
            </w:tcBorders>
          </w:tcPr>
          <w:p w14:paraId="17A6E53A">
            <w:pPr>
              <w:widowControl/>
              <w:spacing w:line="360" w:lineRule="auto"/>
              <w:rPr>
                <w:rFonts w:ascii="宋体" w:hAnsi="宋体" w:cs="宋体"/>
                <w:spacing w:val="5"/>
                <w:sz w:val="24"/>
                <w:szCs w:val="24"/>
              </w:rPr>
            </w:pPr>
            <w:r>
              <w:rPr>
                <w:rFonts w:hint="eastAsia" w:ascii="宋体" w:hAnsi="宋体" w:cs="宋体"/>
                <w:spacing w:val="5"/>
                <w:sz w:val="24"/>
                <w:szCs w:val="24"/>
              </w:rPr>
              <w:t>1、本项目采用电子化、无纸化进行招标，供应商应当在投标截止时间前，登陆不见面开标大厅选择登陆三门峡市公共资源电子招投标系统进行登陆（网址为</w:t>
            </w:r>
            <w:r>
              <w:rPr>
                <w:rFonts w:hint="eastAsia" w:ascii="宋体" w:hAnsi="宋体" w:eastAsia="宋体" w:cs="宋体"/>
                <w:sz w:val="24"/>
                <w:szCs w:val="24"/>
              </w:rPr>
              <w:t>http://120.194.249.36:10094/BidOpening/bidopeninghallaction/hall/login</w:t>
            </w:r>
            <w:r>
              <w:rPr>
                <w:rFonts w:hint="eastAsia" w:ascii="宋体" w:hAnsi="宋体" w:cs="宋体"/>
                <w:spacing w:val="5"/>
                <w:sz w:val="24"/>
                <w:szCs w:val="24"/>
              </w:rPr>
              <w:t>）,在线准时参加开标活动并进行响应文件解密等。每位供应商的解密时间为开标时间起30分钟内完成。因供应商原因未能解密、解密失败或解密超时的将被拒绝。</w:t>
            </w:r>
          </w:p>
          <w:p w14:paraId="579DFCBD">
            <w:pPr>
              <w:widowControl/>
              <w:spacing w:line="360" w:lineRule="auto"/>
              <w:rPr>
                <w:rFonts w:ascii="宋体" w:hAnsi="宋体" w:cs="宋体"/>
                <w:spacing w:val="5"/>
                <w:sz w:val="24"/>
                <w:szCs w:val="24"/>
              </w:rPr>
            </w:pPr>
            <w:r>
              <w:rPr>
                <w:rFonts w:hint="eastAsia" w:ascii="宋体" w:hAnsi="宋体" w:cs="宋体"/>
                <w:spacing w:val="5"/>
                <w:sz w:val="24"/>
                <w:szCs w:val="24"/>
              </w:rPr>
              <w:t>2、电子化响应文件采用一次加密方式。开标时，由供应商使用CA 证书，在规定时间内对其电子化响应文件进行解密。每位供应商的解密时间为开标时间起30分钟内，如在规定时间内未完成解密的，其响应文件不予开标、唱标。</w:t>
            </w:r>
          </w:p>
          <w:p w14:paraId="2B09E77F">
            <w:pPr>
              <w:widowControl/>
              <w:spacing w:line="360" w:lineRule="auto"/>
              <w:rPr>
                <w:rFonts w:ascii="宋体" w:hAnsi="宋体" w:cs="宋体"/>
                <w:spacing w:val="5"/>
                <w:sz w:val="24"/>
                <w:szCs w:val="24"/>
              </w:rPr>
            </w:pPr>
            <w:r>
              <w:rPr>
                <w:rFonts w:hint="eastAsia" w:ascii="宋体" w:hAnsi="宋体" w:cs="宋体"/>
                <w:spacing w:val="5"/>
                <w:sz w:val="24"/>
                <w:szCs w:val="24"/>
              </w:rPr>
              <w:t>3、电子化响应文件异常情况的处理</w:t>
            </w:r>
          </w:p>
          <w:p w14:paraId="171960F5">
            <w:pPr>
              <w:widowControl/>
              <w:spacing w:line="360" w:lineRule="auto"/>
              <w:rPr>
                <w:rFonts w:ascii="宋体" w:hAnsi="宋体" w:cs="宋体"/>
                <w:spacing w:val="5"/>
                <w:sz w:val="24"/>
                <w:szCs w:val="24"/>
              </w:rPr>
            </w:pPr>
            <w:r>
              <w:rPr>
                <w:rFonts w:hint="eastAsia" w:ascii="宋体" w:hAnsi="宋体" w:cs="宋体"/>
                <w:spacing w:val="5"/>
                <w:sz w:val="24"/>
                <w:szCs w:val="24"/>
              </w:rPr>
              <w:t>如出现供应商的电子响应文件无法解密等异常情况，供应商应及时致电中介服务机构说明。响应文件异常，按以下步骤进行处理：</w:t>
            </w:r>
          </w:p>
          <w:p w14:paraId="6A29FA8B">
            <w:pPr>
              <w:widowControl/>
              <w:spacing w:line="360" w:lineRule="auto"/>
              <w:rPr>
                <w:rFonts w:ascii="宋体" w:hAnsi="宋体" w:cs="宋体"/>
                <w:spacing w:val="5"/>
                <w:sz w:val="24"/>
                <w:szCs w:val="24"/>
              </w:rPr>
            </w:pPr>
            <w:r>
              <w:rPr>
                <w:rFonts w:hint="eastAsia" w:ascii="宋体" w:hAnsi="宋体" w:cs="宋体"/>
                <w:spacing w:val="5"/>
                <w:sz w:val="24"/>
                <w:szCs w:val="24"/>
              </w:rPr>
              <w:t>（1）首先由技术人员进行问题排查。</w:t>
            </w:r>
          </w:p>
          <w:p w14:paraId="36D933DD">
            <w:pPr>
              <w:widowControl/>
              <w:spacing w:line="360" w:lineRule="auto"/>
              <w:rPr>
                <w:rFonts w:ascii="宋体" w:hAnsi="宋体" w:cs="宋体"/>
                <w:spacing w:val="5"/>
                <w:sz w:val="24"/>
                <w:szCs w:val="24"/>
              </w:rPr>
            </w:pPr>
            <w:r>
              <w:rPr>
                <w:rFonts w:hint="eastAsia" w:ascii="宋体" w:hAnsi="宋体" w:cs="宋体"/>
                <w:spacing w:val="5"/>
                <w:sz w:val="24"/>
                <w:szCs w:val="24"/>
              </w:rPr>
              <w:t>（2）经技术人员排查后，是供应商文件自身问题导致投标文件无法解密的，该响应文件将不予接收、解密和唱标。开标会议继续进行。</w:t>
            </w:r>
          </w:p>
          <w:p w14:paraId="65DE39D5">
            <w:pPr>
              <w:widowControl/>
              <w:spacing w:line="360" w:lineRule="auto"/>
              <w:rPr>
                <w:rFonts w:ascii="宋体" w:hAnsi="宋体" w:cs="宋体"/>
                <w:spacing w:val="5"/>
                <w:sz w:val="24"/>
                <w:szCs w:val="24"/>
              </w:rPr>
            </w:pPr>
            <w:r>
              <w:rPr>
                <w:rFonts w:hint="eastAsia" w:ascii="宋体" w:hAnsi="宋体" w:cs="宋体"/>
                <w:spacing w:val="5"/>
                <w:sz w:val="24"/>
                <w:szCs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27F5A13C">
            <w:pPr>
              <w:widowControl/>
              <w:spacing w:line="360" w:lineRule="auto"/>
              <w:rPr>
                <w:rFonts w:ascii="宋体" w:hAnsi="宋体" w:cs="宋体"/>
                <w:spacing w:val="5"/>
                <w:sz w:val="24"/>
                <w:szCs w:val="24"/>
              </w:rPr>
            </w:pPr>
            <w:r>
              <w:rPr>
                <w:rFonts w:hint="eastAsia" w:ascii="宋体" w:hAnsi="宋体" w:cs="宋体"/>
                <w:spacing w:val="5"/>
                <w:sz w:val="24"/>
                <w:szCs w:val="24"/>
              </w:rPr>
              <w:t>4、待所有供应商响应文件解密完成后，由中介服务机构操作，对所有已解密响应文件进行唱标。</w:t>
            </w:r>
          </w:p>
          <w:p w14:paraId="49FED801">
            <w:pPr>
              <w:widowControl/>
              <w:spacing w:line="360" w:lineRule="auto"/>
              <w:rPr>
                <w:rFonts w:ascii="宋体" w:hAnsi="宋体" w:cs="宋体"/>
                <w:spacing w:val="5"/>
                <w:sz w:val="24"/>
                <w:szCs w:val="24"/>
              </w:rPr>
            </w:pPr>
            <w:r>
              <w:rPr>
                <w:rFonts w:hint="eastAsia" w:ascii="宋体" w:hAnsi="宋体" w:cs="宋体"/>
                <w:spacing w:val="5"/>
                <w:sz w:val="24"/>
                <w:szCs w:val="24"/>
              </w:rPr>
              <w:t>供应商应保证在开标期间电话、电脑、网络能够正常工作，供应商因停电、电脑病毒、网络堵塞等原因，未在规定的解密时间内对响应文件进行解密的，其响应文件不予接收、唱标。</w:t>
            </w:r>
          </w:p>
          <w:p w14:paraId="0CB0F673">
            <w:pPr>
              <w:widowControl/>
              <w:spacing w:line="360" w:lineRule="auto"/>
              <w:rPr>
                <w:rFonts w:ascii="宋体" w:hAnsi="宋体" w:cs="宋体"/>
                <w:spacing w:val="5"/>
                <w:sz w:val="24"/>
                <w:szCs w:val="24"/>
              </w:rPr>
            </w:pPr>
            <w:r>
              <w:rPr>
                <w:rFonts w:hint="eastAsia" w:ascii="宋体" w:hAnsi="宋体" w:cs="宋体"/>
                <w:spacing w:val="5"/>
                <w:sz w:val="24"/>
                <w:szCs w:val="24"/>
              </w:rPr>
              <w:t>5、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2F0C1DB6">
            <w:pPr>
              <w:widowControl/>
              <w:spacing w:line="360" w:lineRule="auto"/>
              <w:rPr>
                <w:rFonts w:ascii="宋体" w:hAnsi="宋体" w:cs="宋体"/>
                <w:spacing w:val="5"/>
                <w:sz w:val="24"/>
                <w:szCs w:val="24"/>
              </w:rPr>
            </w:pPr>
            <w:r>
              <w:rPr>
                <w:rFonts w:hint="eastAsia" w:ascii="宋体" w:hAnsi="宋体" w:cs="宋体"/>
                <w:spacing w:val="5"/>
                <w:sz w:val="24"/>
                <w:szCs w:val="24"/>
              </w:rPr>
              <w:t>6、评标时，</w:t>
            </w:r>
            <w:r>
              <w:rPr>
                <w:rFonts w:hint="eastAsia" w:ascii="宋体" w:hAnsi="宋体" w:cs="宋体"/>
                <w:sz w:val="24"/>
                <w:szCs w:val="24"/>
              </w:rPr>
              <w:t>磋商小组</w:t>
            </w:r>
            <w:r>
              <w:rPr>
                <w:rFonts w:hint="eastAsia" w:ascii="宋体" w:hAnsi="宋体" w:cs="宋体"/>
                <w:spacing w:val="5"/>
                <w:sz w:val="24"/>
                <w:szCs w:val="24"/>
              </w:rPr>
              <w:t>对电子化响应文件有质疑的，将通过电子化交易系统对供应商发起质疑，并在监督人员的监督下，用免提模式致电需要答复的供应商进行详细质询。质疑回复内容确认后，供应商的回复文件必须以经过供应商和其法定代表人签章的PDF格式文件为准，并通过电子化交易系统提交至磋商小组。</w:t>
            </w:r>
          </w:p>
          <w:p w14:paraId="3A887411">
            <w:pPr>
              <w:widowControl/>
              <w:spacing w:line="360" w:lineRule="auto"/>
              <w:rPr>
                <w:rFonts w:ascii="宋体" w:hAnsi="宋体" w:cs="宋体"/>
                <w:spacing w:val="5"/>
                <w:sz w:val="24"/>
                <w:szCs w:val="24"/>
              </w:rPr>
            </w:pPr>
            <w:r>
              <w:rPr>
                <w:rFonts w:hint="eastAsia" w:ascii="宋体" w:hAnsi="宋体" w:cs="宋体"/>
                <w:spacing w:val="5"/>
                <w:sz w:val="24"/>
                <w:szCs w:val="24"/>
              </w:rPr>
              <w:t>7、如</w:t>
            </w:r>
            <w:r>
              <w:rPr>
                <w:rFonts w:hint="eastAsia" w:ascii="宋体" w:hAnsi="宋体" w:cs="宋体"/>
                <w:sz w:val="24"/>
                <w:szCs w:val="24"/>
              </w:rPr>
              <w:t>磋商小组</w:t>
            </w:r>
            <w:r>
              <w:rPr>
                <w:rFonts w:hint="eastAsia" w:ascii="宋体" w:hAnsi="宋体" w:cs="宋体"/>
                <w:spacing w:val="5"/>
                <w:sz w:val="24"/>
                <w:szCs w:val="24"/>
              </w:rPr>
              <w:t>对需要回复的供应商连续三次致电未接通的，视为供应商放弃回复，</w:t>
            </w:r>
            <w:r>
              <w:rPr>
                <w:rFonts w:hint="eastAsia" w:ascii="宋体" w:hAnsi="宋体" w:cs="宋体"/>
                <w:sz w:val="24"/>
                <w:szCs w:val="24"/>
              </w:rPr>
              <w:t>磋商小组</w:t>
            </w:r>
            <w:r>
              <w:rPr>
                <w:rFonts w:hint="eastAsia" w:ascii="宋体" w:hAnsi="宋体" w:cs="宋体"/>
                <w:spacing w:val="5"/>
                <w:sz w:val="24"/>
                <w:szCs w:val="24"/>
              </w:rPr>
              <w:t>将自行对需要回复的内容进行认定。</w:t>
            </w:r>
          </w:p>
        </w:tc>
      </w:tr>
      <w:tr w14:paraId="28463C9F">
        <w:tblPrEx>
          <w:tblCellMar>
            <w:top w:w="0" w:type="dxa"/>
            <w:left w:w="108" w:type="dxa"/>
            <w:bottom w:w="0" w:type="dxa"/>
            <w:right w:w="108" w:type="dxa"/>
          </w:tblCellMar>
        </w:tblPrEx>
        <w:trPr>
          <w:trHeight w:val="90"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14:paraId="7E5FE2BC">
            <w:pPr>
              <w:adjustRightInd w:val="0"/>
              <w:snapToGrid w:val="0"/>
              <w:spacing w:line="360" w:lineRule="auto"/>
              <w:jc w:val="center"/>
              <w:rPr>
                <w:rFonts w:ascii="宋体" w:hAnsi="宋体" w:cs="宋体"/>
                <w:color w:val="000000"/>
                <w:spacing w:val="11"/>
                <w:sz w:val="24"/>
                <w:szCs w:val="24"/>
              </w:rPr>
            </w:pPr>
            <w:r>
              <w:rPr>
                <w:rFonts w:hint="eastAsia" w:ascii="宋体" w:hAnsi="宋体" w:cs="宋体"/>
                <w:color w:val="000000"/>
                <w:spacing w:val="11"/>
                <w:sz w:val="24"/>
                <w:szCs w:val="24"/>
              </w:rPr>
              <w:t>38</w:t>
            </w:r>
          </w:p>
        </w:tc>
        <w:tc>
          <w:tcPr>
            <w:tcW w:w="1800" w:type="dxa"/>
            <w:tcBorders>
              <w:top w:val="single" w:color="auto" w:sz="4" w:space="0"/>
              <w:left w:val="nil"/>
              <w:bottom w:val="single" w:color="auto" w:sz="4" w:space="0"/>
              <w:right w:val="single" w:color="auto" w:sz="4" w:space="0"/>
            </w:tcBorders>
            <w:vAlign w:val="center"/>
          </w:tcPr>
          <w:p w14:paraId="430A68B5">
            <w:pPr>
              <w:adjustRightInd w:val="0"/>
              <w:snapToGrid w:val="0"/>
              <w:spacing w:line="360" w:lineRule="auto"/>
              <w:jc w:val="center"/>
              <w:rPr>
                <w:rFonts w:ascii="宋体" w:hAnsi="宋体" w:cs="宋体"/>
                <w:b/>
                <w:bCs/>
                <w:color w:val="000000"/>
                <w:spacing w:val="11"/>
                <w:sz w:val="24"/>
                <w:szCs w:val="24"/>
              </w:rPr>
            </w:pPr>
          </w:p>
          <w:p w14:paraId="72617FE6">
            <w:pPr>
              <w:adjustRightInd w:val="0"/>
              <w:snapToGrid w:val="0"/>
              <w:spacing w:line="360" w:lineRule="auto"/>
              <w:jc w:val="center"/>
              <w:rPr>
                <w:rFonts w:ascii="宋体" w:hAnsi="宋体" w:cs="宋体"/>
                <w:b/>
                <w:bCs/>
                <w:color w:val="000000"/>
                <w:spacing w:val="11"/>
                <w:sz w:val="24"/>
                <w:szCs w:val="24"/>
              </w:rPr>
            </w:pPr>
            <w:r>
              <w:rPr>
                <w:rFonts w:hint="eastAsia" w:ascii="宋体" w:hAnsi="宋体" w:cs="宋体"/>
                <w:color w:val="000000"/>
                <w:spacing w:val="11"/>
                <w:sz w:val="24"/>
                <w:szCs w:val="24"/>
              </w:rPr>
              <w:t>解释权</w:t>
            </w:r>
          </w:p>
        </w:tc>
        <w:tc>
          <w:tcPr>
            <w:tcW w:w="7015" w:type="dxa"/>
            <w:tcBorders>
              <w:top w:val="single" w:color="auto" w:sz="4" w:space="0"/>
              <w:left w:val="nil"/>
              <w:bottom w:val="single" w:color="auto" w:sz="4" w:space="0"/>
              <w:right w:val="single" w:color="auto" w:sz="4" w:space="0"/>
            </w:tcBorders>
          </w:tcPr>
          <w:p w14:paraId="414C73E7">
            <w:pPr>
              <w:adjustRightInd w:val="0"/>
              <w:snapToGrid w:val="0"/>
              <w:spacing w:line="360" w:lineRule="auto"/>
              <w:rPr>
                <w:rFonts w:ascii="宋体" w:hAnsi="宋体" w:cs="宋体"/>
                <w:color w:val="000000"/>
                <w:spacing w:val="11"/>
                <w:sz w:val="24"/>
                <w:szCs w:val="24"/>
              </w:rPr>
            </w:pPr>
            <w:r>
              <w:rPr>
                <w:rFonts w:hint="eastAsia" w:ascii="宋体" w:hAnsi="宋体" w:cs="宋体"/>
                <w:color w:val="000000"/>
                <w:spacing w:val="11"/>
                <w:sz w:val="24"/>
                <w:szCs w:val="24"/>
              </w:rPr>
              <w:t>构成本竞争性磋商文件的各个组成文件应互为解释，互为说明；如有不明确或不一致，构成合同文件组成内容的，以合同文件约定内容为准，且以专用合同条款约定的合同文件优先顺序解释；除竞争性磋商文件中有特别规定外，仅适用于采购磋商阶段的规定，按竞争性磋商公告、供应商须知、评审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0F57A264">
        <w:tblPrEx>
          <w:tblCellMar>
            <w:top w:w="0" w:type="dxa"/>
            <w:left w:w="108" w:type="dxa"/>
            <w:bottom w:w="0" w:type="dxa"/>
            <w:right w:w="108" w:type="dxa"/>
          </w:tblCellMar>
        </w:tblPrEx>
        <w:trPr>
          <w:trHeight w:val="1243" w:hRule="atLeast"/>
          <w:jc w:val="center"/>
        </w:trPr>
        <w:tc>
          <w:tcPr>
            <w:tcW w:w="1095" w:type="dxa"/>
            <w:tcBorders>
              <w:top w:val="single" w:color="auto" w:sz="4" w:space="0"/>
              <w:left w:val="single" w:color="auto" w:sz="4" w:space="0"/>
              <w:bottom w:val="single" w:color="auto" w:sz="4" w:space="0"/>
              <w:right w:val="single" w:color="auto" w:sz="4" w:space="0"/>
            </w:tcBorders>
            <w:vAlign w:val="center"/>
          </w:tcPr>
          <w:p w14:paraId="5CC326B2">
            <w:pPr>
              <w:adjustRightInd w:val="0"/>
              <w:snapToGrid w:val="0"/>
              <w:spacing w:line="360" w:lineRule="auto"/>
              <w:jc w:val="center"/>
              <w:rPr>
                <w:rFonts w:ascii="宋体" w:hAnsi="宋体" w:cs="宋体"/>
                <w:color w:val="000000"/>
                <w:spacing w:val="11"/>
                <w:sz w:val="24"/>
                <w:szCs w:val="24"/>
              </w:rPr>
            </w:pPr>
            <w:r>
              <w:rPr>
                <w:rFonts w:hint="eastAsia" w:ascii="宋体" w:hAnsi="宋体" w:cs="宋体"/>
                <w:color w:val="000000"/>
                <w:spacing w:val="11"/>
                <w:sz w:val="24"/>
                <w:szCs w:val="24"/>
              </w:rPr>
              <w:t>39</w:t>
            </w:r>
          </w:p>
        </w:tc>
        <w:tc>
          <w:tcPr>
            <w:tcW w:w="1800" w:type="dxa"/>
            <w:tcBorders>
              <w:top w:val="single" w:color="auto" w:sz="4" w:space="0"/>
              <w:left w:val="single" w:color="auto" w:sz="4" w:space="0"/>
              <w:bottom w:val="single" w:color="auto" w:sz="4" w:space="0"/>
              <w:right w:val="single" w:color="auto" w:sz="4" w:space="0"/>
            </w:tcBorders>
            <w:vAlign w:val="center"/>
          </w:tcPr>
          <w:p w14:paraId="761E7E84">
            <w:pPr>
              <w:adjustRightInd w:val="0"/>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其他</w:t>
            </w:r>
          </w:p>
        </w:tc>
        <w:tc>
          <w:tcPr>
            <w:tcW w:w="7015" w:type="dxa"/>
            <w:tcBorders>
              <w:top w:val="single" w:color="auto" w:sz="4" w:space="0"/>
              <w:left w:val="single" w:color="auto" w:sz="4" w:space="0"/>
              <w:bottom w:val="single" w:color="auto" w:sz="4" w:space="0"/>
              <w:right w:val="single" w:color="auto" w:sz="4" w:space="0"/>
            </w:tcBorders>
          </w:tcPr>
          <w:p w14:paraId="08735683">
            <w:pPr>
              <w:adjustRightInd w:val="0"/>
              <w:snapToGrid w:val="0"/>
              <w:spacing w:line="360" w:lineRule="auto"/>
              <w:jc w:val="left"/>
              <w:rPr>
                <w:rFonts w:ascii="宋体" w:hAnsi="宋体" w:cs="宋体"/>
                <w:color w:val="000000"/>
                <w:sz w:val="24"/>
                <w:szCs w:val="24"/>
              </w:rPr>
            </w:pPr>
            <w:r>
              <w:rPr>
                <w:rFonts w:hint="eastAsia" w:ascii="宋体" w:hAnsi="宋体" w:cs="宋体"/>
                <w:color w:val="000000"/>
                <w:sz w:val="24"/>
                <w:szCs w:val="24"/>
              </w:rPr>
              <w:t>1、供应商应仔细阅读操作手册，因供应商操作不当等问题造成的无法下载磋商文件、无法投标等一切后果，由供应商自行承担。。</w:t>
            </w:r>
          </w:p>
          <w:p w14:paraId="1286E438">
            <w:pPr>
              <w:adjustRightInd w:val="0"/>
              <w:snapToGrid w:val="0"/>
              <w:spacing w:line="360" w:lineRule="auto"/>
              <w:jc w:val="left"/>
              <w:rPr>
                <w:rFonts w:ascii="宋体" w:hAnsi="宋体" w:cs="宋体"/>
                <w:color w:val="000000"/>
                <w:sz w:val="24"/>
                <w:szCs w:val="24"/>
              </w:rPr>
            </w:pPr>
            <w:r>
              <w:rPr>
                <w:rFonts w:hint="eastAsia" w:ascii="宋体" w:hAnsi="宋体" w:cs="宋体"/>
                <w:color w:val="000000"/>
                <w:sz w:val="24"/>
                <w:szCs w:val="24"/>
              </w:rPr>
              <w:t>2、磋商所发生一切费用由各供应商自行承担，并承担相应的风险和责任。</w:t>
            </w:r>
          </w:p>
          <w:p w14:paraId="6B1875A7">
            <w:pPr>
              <w:adjustRightInd w:val="0"/>
              <w:snapToGrid w:val="0"/>
              <w:spacing w:line="360" w:lineRule="auto"/>
              <w:jc w:val="left"/>
              <w:rPr>
                <w:rFonts w:ascii="宋体" w:hAnsi="宋体" w:cs="宋体"/>
                <w:color w:val="000000"/>
                <w:sz w:val="24"/>
                <w:szCs w:val="24"/>
              </w:rPr>
            </w:pPr>
            <w:r>
              <w:rPr>
                <w:rFonts w:hint="eastAsia" w:ascii="宋体" w:hAnsi="宋体" w:cs="宋体"/>
                <w:color w:val="000000"/>
                <w:sz w:val="24"/>
                <w:szCs w:val="24"/>
              </w:rPr>
              <w:t>3、供应商认为磋商文件、磋商过程和成交结果使自己的权益受到损害的, 可以在知道或者应知其权益受到损害之日起七个工作日内，按照政府磋商质疑和投诉办法（中华人民共和国财政部令94号）以书面形式向采购人或招标代理机构提出质疑（邮寄件、传真件不予受理），逾期不再接收。</w:t>
            </w:r>
          </w:p>
        </w:tc>
      </w:tr>
      <w:tr w14:paraId="08E6BDA6">
        <w:tblPrEx>
          <w:tblCellMar>
            <w:top w:w="0" w:type="dxa"/>
            <w:left w:w="108" w:type="dxa"/>
            <w:bottom w:w="0" w:type="dxa"/>
            <w:right w:w="108" w:type="dxa"/>
          </w:tblCellMar>
        </w:tblPrEx>
        <w:trPr>
          <w:trHeight w:val="587" w:hRule="atLeast"/>
          <w:jc w:val="center"/>
        </w:trPr>
        <w:tc>
          <w:tcPr>
            <w:tcW w:w="1095" w:type="dxa"/>
            <w:vMerge w:val="restart"/>
            <w:tcBorders>
              <w:top w:val="single" w:color="auto" w:sz="4" w:space="0"/>
              <w:left w:val="single" w:color="auto" w:sz="4" w:space="0"/>
              <w:bottom w:val="single" w:color="auto" w:sz="4" w:space="0"/>
              <w:right w:val="single" w:color="auto" w:sz="4" w:space="0"/>
            </w:tcBorders>
            <w:vAlign w:val="center"/>
          </w:tcPr>
          <w:p w14:paraId="79388DDE">
            <w:pPr>
              <w:adjustRightInd w:val="0"/>
              <w:snapToGrid w:val="0"/>
              <w:spacing w:line="360" w:lineRule="auto"/>
              <w:jc w:val="center"/>
              <w:rPr>
                <w:rFonts w:ascii="宋体" w:hAnsi="宋体" w:cs="宋体"/>
                <w:color w:val="000000"/>
                <w:spacing w:val="11"/>
                <w:sz w:val="24"/>
                <w:szCs w:val="24"/>
              </w:rPr>
            </w:pPr>
            <w:r>
              <w:rPr>
                <w:rFonts w:hint="eastAsia" w:ascii="宋体" w:hAnsi="宋体" w:cs="宋体"/>
                <w:color w:val="000000"/>
                <w:spacing w:val="11"/>
                <w:sz w:val="24"/>
                <w:szCs w:val="24"/>
              </w:rPr>
              <w:t>40</w:t>
            </w:r>
          </w:p>
        </w:tc>
        <w:tc>
          <w:tcPr>
            <w:tcW w:w="1800" w:type="dxa"/>
            <w:tcBorders>
              <w:top w:val="single" w:color="auto" w:sz="4" w:space="0"/>
              <w:left w:val="single" w:color="auto" w:sz="4" w:space="0"/>
              <w:bottom w:val="single" w:color="auto" w:sz="4" w:space="0"/>
              <w:right w:val="single" w:color="auto" w:sz="4" w:space="0"/>
            </w:tcBorders>
            <w:vAlign w:val="center"/>
          </w:tcPr>
          <w:p w14:paraId="10D4B087">
            <w:pPr>
              <w:adjustRightInd w:val="0"/>
              <w:snapToGrid w:val="0"/>
              <w:spacing w:line="360" w:lineRule="auto"/>
              <w:jc w:val="center"/>
              <w:rPr>
                <w:rFonts w:ascii="宋体" w:hAnsi="宋体" w:cs="宋体"/>
                <w:color w:val="000000"/>
                <w:spacing w:val="11"/>
                <w:sz w:val="24"/>
                <w:szCs w:val="24"/>
              </w:rPr>
            </w:pPr>
            <w:r>
              <w:rPr>
                <w:rFonts w:hint="eastAsia" w:ascii="宋体" w:hAnsi="宋体" w:cs="宋体"/>
                <w:color w:val="000000"/>
                <w:spacing w:val="11"/>
                <w:sz w:val="24"/>
                <w:szCs w:val="24"/>
              </w:rPr>
              <w:t>需要补充的其他内容</w:t>
            </w:r>
          </w:p>
        </w:tc>
        <w:tc>
          <w:tcPr>
            <w:tcW w:w="7015" w:type="dxa"/>
            <w:tcBorders>
              <w:top w:val="single" w:color="auto" w:sz="4" w:space="0"/>
              <w:left w:val="single" w:color="auto" w:sz="4" w:space="0"/>
              <w:bottom w:val="single" w:color="auto" w:sz="4" w:space="0"/>
              <w:right w:val="single" w:color="auto" w:sz="4" w:space="0"/>
            </w:tcBorders>
          </w:tcPr>
          <w:p w14:paraId="6E8478CA">
            <w:pPr>
              <w:adjustRightInd w:val="0"/>
              <w:snapToGrid w:val="0"/>
              <w:spacing w:line="360" w:lineRule="auto"/>
              <w:rPr>
                <w:rFonts w:hint="eastAsia" w:ascii="宋体" w:hAnsi="宋体" w:eastAsia="宋体" w:cs="宋体"/>
                <w:color w:val="000000"/>
                <w:spacing w:val="11"/>
                <w:sz w:val="24"/>
                <w:szCs w:val="24"/>
              </w:rPr>
            </w:pPr>
            <w:r>
              <w:rPr>
                <w:rFonts w:hint="eastAsia" w:ascii="宋体" w:hAnsi="宋体" w:eastAsia="宋体" w:cs="宋体"/>
                <w:color w:val="000000"/>
                <w:spacing w:val="11"/>
                <w:sz w:val="24"/>
                <w:szCs w:val="24"/>
              </w:rPr>
              <w:t>1、投标人需要开标前用CA在电子平台上上传电子投标文件。</w:t>
            </w:r>
          </w:p>
          <w:p w14:paraId="13B7A627">
            <w:pPr>
              <w:adjustRightInd w:val="0"/>
              <w:snapToGrid w:val="0"/>
              <w:spacing w:line="360" w:lineRule="auto"/>
              <w:rPr>
                <w:rFonts w:hint="eastAsia" w:ascii="宋体" w:hAnsi="宋体" w:eastAsia="宋体" w:cs="宋体"/>
                <w:color w:val="000000"/>
                <w:spacing w:val="11"/>
                <w:sz w:val="24"/>
                <w:szCs w:val="24"/>
              </w:rPr>
            </w:pPr>
            <w:r>
              <w:rPr>
                <w:rFonts w:hint="eastAsia" w:ascii="宋体" w:hAnsi="宋体" w:eastAsia="宋体" w:cs="宋体"/>
                <w:color w:val="000000"/>
                <w:spacing w:val="11"/>
                <w:sz w:val="24"/>
                <w:szCs w:val="24"/>
              </w:rPr>
              <w:t>2、开标时不再递交纸质文件。</w:t>
            </w:r>
          </w:p>
          <w:p w14:paraId="33D373CB">
            <w:pPr>
              <w:adjustRightInd w:val="0"/>
              <w:snapToGrid w:val="0"/>
              <w:spacing w:line="360" w:lineRule="auto"/>
              <w:rPr>
                <w:rFonts w:hint="eastAsia" w:ascii="宋体" w:hAnsi="宋体" w:eastAsia="宋体" w:cs="宋体"/>
                <w:color w:val="000000"/>
                <w:spacing w:val="11"/>
                <w:sz w:val="24"/>
                <w:szCs w:val="24"/>
              </w:rPr>
            </w:pPr>
            <w:r>
              <w:rPr>
                <w:rFonts w:hint="eastAsia" w:ascii="宋体" w:hAnsi="宋体" w:eastAsia="宋体" w:cs="宋体"/>
                <w:color w:val="000000"/>
                <w:spacing w:val="11"/>
                <w:sz w:val="24"/>
                <w:szCs w:val="24"/>
              </w:rPr>
              <w:t>3、供应商成交后必须向采购人提供与所投相同的同质量、同品质的服务，如出现不一致的，采购人有权取消其成交资格。</w:t>
            </w:r>
          </w:p>
          <w:p w14:paraId="727A03CE">
            <w:pPr>
              <w:adjustRightInd w:val="0"/>
              <w:snapToGrid w:val="0"/>
              <w:spacing w:line="360" w:lineRule="auto"/>
              <w:rPr>
                <w:rFonts w:hint="eastAsia" w:ascii="宋体" w:hAnsi="宋体" w:eastAsia="宋体" w:cs="宋体"/>
                <w:color w:val="000000"/>
                <w:spacing w:val="11"/>
                <w:sz w:val="24"/>
                <w:szCs w:val="24"/>
              </w:rPr>
            </w:pPr>
            <w:r>
              <w:rPr>
                <w:rFonts w:hint="eastAsia" w:ascii="宋体" w:hAnsi="宋体" w:eastAsia="宋体" w:cs="宋体"/>
                <w:color w:val="000000"/>
                <w:spacing w:val="11"/>
                <w:sz w:val="24"/>
                <w:szCs w:val="24"/>
              </w:rPr>
              <w:t>4、供应商必须在规定时间内对采购人进行服务，不得拖延。</w:t>
            </w:r>
          </w:p>
          <w:p w14:paraId="220F9445">
            <w:pPr>
              <w:adjustRightInd w:val="0"/>
              <w:snapToGrid w:val="0"/>
              <w:spacing w:line="360" w:lineRule="auto"/>
              <w:rPr>
                <w:rFonts w:hint="eastAsia" w:ascii="宋体" w:hAnsi="宋体" w:eastAsia="宋体" w:cs="宋体"/>
                <w:color w:val="000000"/>
                <w:spacing w:val="11"/>
                <w:sz w:val="24"/>
                <w:szCs w:val="24"/>
              </w:rPr>
            </w:pPr>
            <w:r>
              <w:rPr>
                <w:rFonts w:hint="eastAsia" w:ascii="宋体" w:hAnsi="宋体" w:eastAsia="宋体" w:cs="宋体"/>
                <w:color w:val="000000"/>
                <w:spacing w:val="11"/>
                <w:sz w:val="24"/>
                <w:szCs w:val="24"/>
              </w:rPr>
              <w:t>5、磋商文件的最终解释权归采购人。</w:t>
            </w:r>
          </w:p>
          <w:p w14:paraId="55DDD359">
            <w:pPr>
              <w:adjustRightInd w:val="0"/>
              <w:snapToGrid w:val="0"/>
              <w:spacing w:line="360" w:lineRule="auto"/>
              <w:rPr>
                <w:rFonts w:hint="eastAsia" w:ascii="宋体" w:hAnsi="宋体" w:eastAsia="宋体" w:cs="宋体"/>
                <w:color w:val="000000"/>
                <w:spacing w:val="11"/>
                <w:sz w:val="24"/>
                <w:szCs w:val="24"/>
              </w:rPr>
            </w:pPr>
            <w:r>
              <w:rPr>
                <w:rFonts w:hint="eastAsia" w:ascii="宋体" w:hAnsi="宋体" w:eastAsia="宋体" w:cs="宋体"/>
                <w:color w:val="000000"/>
                <w:spacing w:val="11"/>
                <w:sz w:val="24"/>
                <w:szCs w:val="24"/>
              </w:rPr>
              <w:t>6、其它未尽事宜，按国家有关法律、法规执行。</w:t>
            </w:r>
          </w:p>
        </w:tc>
      </w:tr>
      <w:tr w14:paraId="04852D34">
        <w:tblPrEx>
          <w:tblCellMar>
            <w:top w:w="0" w:type="dxa"/>
            <w:left w:w="108" w:type="dxa"/>
            <w:bottom w:w="0" w:type="dxa"/>
            <w:right w:w="108" w:type="dxa"/>
          </w:tblCellMar>
        </w:tblPrEx>
        <w:trPr>
          <w:trHeight w:val="587" w:hRule="atLeast"/>
          <w:jc w:val="center"/>
        </w:trPr>
        <w:tc>
          <w:tcPr>
            <w:tcW w:w="1095" w:type="dxa"/>
            <w:vMerge w:val="continue"/>
            <w:tcBorders>
              <w:top w:val="single" w:color="auto" w:sz="4" w:space="0"/>
              <w:left w:val="single" w:color="auto" w:sz="4" w:space="0"/>
              <w:bottom w:val="single" w:color="auto" w:sz="4" w:space="0"/>
              <w:right w:val="single" w:color="auto" w:sz="4" w:space="0"/>
            </w:tcBorders>
            <w:vAlign w:val="center"/>
          </w:tcPr>
          <w:p w14:paraId="406220EF">
            <w:pPr>
              <w:adjustRightInd w:val="0"/>
              <w:snapToGrid w:val="0"/>
              <w:spacing w:line="360" w:lineRule="auto"/>
              <w:jc w:val="center"/>
              <w:rPr>
                <w:rFonts w:hint="eastAsia" w:ascii="宋体" w:hAnsi="宋体" w:cs="宋体"/>
                <w:color w:val="000000"/>
                <w:spacing w:val="11"/>
                <w:sz w:val="24"/>
                <w:szCs w:val="24"/>
              </w:rPr>
            </w:pPr>
            <w:bookmarkStart w:id="8" w:name="_Toc7083"/>
            <w:bookmarkStart w:id="9" w:name="_Toc31207"/>
            <w:bookmarkStart w:id="10" w:name="_Toc4178"/>
            <w:bookmarkStart w:id="11" w:name="_Toc24910"/>
            <w:bookmarkStart w:id="12" w:name="_Toc6680"/>
            <w:bookmarkStart w:id="13" w:name="_Toc6992"/>
            <w:bookmarkStart w:id="14" w:name="_Toc488052441"/>
            <w:bookmarkStart w:id="15" w:name="_Toc13407"/>
            <w:bookmarkStart w:id="16" w:name="_Toc21555"/>
          </w:p>
        </w:tc>
        <w:tc>
          <w:tcPr>
            <w:tcW w:w="1800" w:type="dxa"/>
            <w:tcBorders>
              <w:top w:val="single" w:color="auto" w:sz="4" w:space="0"/>
              <w:left w:val="single" w:color="auto" w:sz="4" w:space="0"/>
              <w:bottom w:val="single" w:color="auto" w:sz="4" w:space="0"/>
              <w:right w:val="single" w:color="auto" w:sz="4" w:space="0"/>
            </w:tcBorders>
            <w:vAlign w:val="center"/>
          </w:tcPr>
          <w:p w14:paraId="777284F2">
            <w:pPr>
              <w:spacing w:line="276" w:lineRule="auto"/>
              <w:jc w:val="center"/>
              <w:rPr>
                <w:rFonts w:hint="eastAsia" w:ascii="宋体" w:hAnsi="宋体" w:cs="宋体"/>
                <w:color w:val="000000"/>
                <w:spacing w:val="11"/>
                <w:sz w:val="24"/>
                <w:szCs w:val="24"/>
              </w:rPr>
            </w:pPr>
            <w:r>
              <w:rPr>
                <w:rFonts w:hint="eastAsia" w:cs="Times New Roman" w:asciiTheme="minorEastAsia" w:hAnsiTheme="minorEastAsia" w:eastAsiaTheme="minorEastAsia"/>
                <w:kern w:val="2"/>
                <w:sz w:val="24"/>
                <w:szCs w:val="24"/>
              </w:rPr>
              <w:t>三门峡市政府采购合同备案告知函</w:t>
            </w:r>
          </w:p>
        </w:tc>
        <w:tc>
          <w:tcPr>
            <w:tcW w:w="7015" w:type="dxa"/>
            <w:tcBorders>
              <w:top w:val="single" w:color="auto" w:sz="4" w:space="0"/>
              <w:left w:val="single" w:color="auto" w:sz="4" w:space="0"/>
              <w:bottom w:val="single" w:color="auto" w:sz="4" w:space="0"/>
              <w:right w:val="single" w:color="auto" w:sz="4" w:space="0"/>
            </w:tcBorders>
            <w:vAlign w:val="center"/>
          </w:tcPr>
          <w:p w14:paraId="0E0F4D6B">
            <w:pPr>
              <w:adjustRightInd w:val="0"/>
              <w:snapToGrid w:val="0"/>
              <w:spacing w:line="360" w:lineRule="auto"/>
              <w:rPr>
                <w:rFonts w:hint="eastAsia" w:ascii="宋体" w:hAnsi="宋体" w:eastAsia="宋体" w:cs="宋体"/>
                <w:color w:val="000000"/>
                <w:spacing w:val="11"/>
                <w:sz w:val="24"/>
                <w:szCs w:val="24"/>
              </w:rPr>
            </w:pPr>
            <w:r>
              <w:rPr>
                <w:rFonts w:hint="eastAsia" w:ascii="宋体" w:hAnsi="宋体" w:eastAsia="宋体" w:cs="宋体"/>
                <w:color w:val="000000"/>
                <w:spacing w:val="11"/>
                <w:sz w:val="24"/>
                <w:szCs w:val="24"/>
              </w:rPr>
              <w:t>采购人、供应商：</w:t>
            </w:r>
          </w:p>
          <w:p w14:paraId="733726BE">
            <w:pPr>
              <w:adjustRightInd w:val="0"/>
              <w:snapToGrid w:val="0"/>
              <w:spacing w:line="360" w:lineRule="auto"/>
              <w:rPr>
                <w:rFonts w:hint="eastAsia" w:ascii="宋体" w:hAnsi="宋体" w:eastAsia="宋体" w:cs="宋体"/>
                <w:color w:val="000000"/>
                <w:spacing w:val="11"/>
                <w:sz w:val="24"/>
                <w:szCs w:val="24"/>
              </w:rPr>
            </w:pPr>
            <w:r>
              <w:rPr>
                <w:rFonts w:hint="eastAsia" w:ascii="宋体" w:hAnsi="宋体" w:eastAsia="宋体" w:cs="宋体"/>
                <w:color w:val="000000"/>
                <w:spacing w:val="11"/>
                <w:sz w:val="24"/>
                <w:szCs w:val="24"/>
              </w:rPr>
              <w:t>根据《三门峡市财政局关于市本级政府采购合同备案管理工作的通知》（三财购[2021]9号）规定，采购人采购纳入集中采购目录的政府采购项目，应当在项目评审结束之日起，1个工作日内确定中标（成交）供应商，发布中标结果公告并发出中标通知书；自中标通知书发出之日起1个工作日内与中标（成交）供应商按照采购文件确定的事项与供应商签订政府采购合同。采购人需按照《三门峡市财政局关于市本级政府采购合同备案管理工作的通知》（三财购[2021]9号）的规定，认真实施合同公告及备案。</w:t>
            </w:r>
          </w:p>
        </w:tc>
      </w:tr>
      <w:tr w14:paraId="00496508">
        <w:tblPrEx>
          <w:tblCellMar>
            <w:top w:w="0" w:type="dxa"/>
            <w:left w:w="108" w:type="dxa"/>
            <w:bottom w:w="0" w:type="dxa"/>
            <w:right w:w="108" w:type="dxa"/>
          </w:tblCellMar>
        </w:tblPrEx>
        <w:trPr>
          <w:trHeight w:val="587" w:hRule="atLeast"/>
          <w:jc w:val="center"/>
        </w:trPr>
        <w:tc>
          <w:tcPr>
            <w:tcW w:w="1095" w:type="dxa"/>
            <w:vMerge w:val="continue"/>
            <w:tcBorders>
              <w:top w:val="single" w:color="auto" w:sz="4" w:space="0"/>
              <w:left w:val="single" w:color="auto" w:sz="4" w:space="0"/>
              <w:bottom w:val="single" w:color="auto" w:sz="4" w:space="0"/>
              <w:right w:val="single" w:color="auto" w:sz="4" w:space="0"/>
            </w:tcBorders>
            <w:vAlign w:val="center"/>
          </w:tcPr>
          <w:p w14:paraId="78BBF555">
            <w:pPr>
              <w:adjustRightInd w:val="0"/>
              <w:snapToGrid w:val="0"/>
              <w:spacing w:line="360" w:lineRule="auto"/>
              <w:jc w:val="center"/>
              <w:rPr>
                <w:rFonts w:hint="eastAsia" w:ascii="宋体" w:hAnsi="宋体" w:cs="宋体"/>
                <w:color w:val="000000"/>
                <w:spacing w:val="11"/>
                <w:sz w:val="24"/>
                <w:szCs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05A9E070">
            <w:pPr>
              <w:spacing w:line="276" w:lineRule="auto"/>
              <w:jc w:val="center"/>
              <w:rPr>
                <w:rFonts w:hint="eastAsia" w:ascii="宋体" w:hAnsi="宋体" w:cs="宋体"/>
                <w:color w:val="000000"/>
                <w:spacing w:val="11"/>
                <w:sz w:val="24"/>
                <w:szCs w:val="24"/>
              </w:rPr>
            </w:pPr>
            <w:r>
              <w:rPr>
                <w:rFonts w:hint="eastAsia" w:cs="Times New Roman" w:asciiTheme="minorEastAsia" w:hAnsiTheme="minorEastAsia" w:eastAsiaTheme="minorEastAsia"/>
                <w:kern w:val="2"/>
                <w:sz w:val="24"/>
                <w:szCs w:val="24"/>
              </w:rPr>
              <w:t>其他</w:t>
            </w:r>
          </w:p>
        </w:tc>
        <w:tc>
          <w:tcPr>
            <w:tcW w:w="7015" w:type="dxa"/>
            <w:tcBorders>
              <w:top w:val="single" w:color="auto" w:sz="4" w:space="0"/>
              <w:left w:val="single" w:color="auto" w:sz="4" w:space="0"/>
              <w:bottom w:val="single" w:color="auto" w:sz="4" w:space="0"/>
              <w:right w:val="single" w:color="auto" w:sz="4" w:space="0"/>
            </w:tcBorders>
            <w:vAlign w:val="center"/>
          </w:tcPr>
          <w:p w14:paraId="0722CA9C">
            <w:pPr>
              <w:adjustRightInd w:val="0"/>
              <w:snapToGrid w:val="0"/>
              <w:spacing w:line="360" w:lineRule="auto"/>
              <w:rPr>
                <w:rFonts w:hint="eastAsia" w:ascii="宋体" w:hAnsi="宋体" w:eastAsia="宋体" w:cs="宋体"/>
                <w:color w:val="000000"/>
                <w:spacing w:val="11"/>
                <w:sz w:val="24"/>
                <w:szCs w:val="24"/>
              </w:rPr>
            </w:pPr>
            <w:r>
              <w:rPr>
                <w:rFonts w:hint="eastAsia" w:ascii="宋体" w:hAnsi="宋体" w:eastAsia="宋体" w:cs="宋体"/>
                <w:color w:val="000000"/>
                <w:spacing w:val="11"/>
                <w:sz w:val="24"/>
                <w:szCs w:val="24"/>
              </w:rPr>
              <w:t>根据《河南省政府采购评审专家劳务报酬支付标准》的要求，业主代表不再获得评审劳务报酬。</w:t>
            </w:r>
          </w:p>
          <w:p w14:paraId="2479C42F">
            <w:pPr>
              <w:adjustRightInd w:val="0"/>
              <w:snapToGrid w:val="0"/>
              <w:spacing w:line="360" w:lineRule="auto"/>
              <w:rPr>
                <w:rFonts w:hint="eastAsia" w:ascii="宋体" w:hAnsi="宋体" w:eastAsia="宋体" w:cs="宋体"/>
                <w:color w:val="000000"/>
                <w:spacing w:val="11"/>
                <w:sz w:val="24"/>
                <w:szCs w:val="24"/>
              </w:rPr>
            </w:pPr>
            <w:r>
              <w:rPr>
                <w:rFonts w:hint="eastAsia" w:ascii="宋体" w:hAnsi="宋体" w:eastAsia="宋体" w:cs="宋体"/>
                <w:color w:val="000000"/>
                <w:spacing w:val="11"/>
                <w:sz w:val="24"/>
                <w:szCs w:val="24"/>
              </w:rPr>
              <w:t>投标人在投标过程中发生的一切费用，不论中标与否，均由其自行承担。</w:t>
            </w:r>
          </w:p>
        </w:tc>
      </w:tr>
    </w:tbl>
    <w:p w14:paraId="6BE6EA13">
      <w:pPr>
        <w:spacing w:line="480" w:lineRule="exact"/>
        <w:ind w:firstLine="482" w:firstLineChars="200"/>
        <w:outlineLvl w:val="1"/>
        <w:rPr>
          <w:rFonts w:ascii="宋体" w:hAnsi="宋体" w:cs="宋体"/>
          <w:b/>
          <w:bCs/>
          <w:sz w:val="24"/>
          <w:szCs w:val="24"/>
        </w:rPr>
      </w:pPr>
      <w:bookmarkStart w:id="17" w:name="_Toc27425"/>
      <w:bookmarkEnd w:id="17"/>
      <w:bookmarkStart w:id="18" w:name="_Toc23306"/>
      <w:bookmarkEnd w:id="18"/>
      <w:r>
        <w:rPr>
          <w:rFonts w:hint="eastAsia" w:ascii="宋体" w:hAnsi="宋体" w:cs="宋体"/>
          <w:b/>
          <w:bCs/>
          <w:sz w:val="24"/>
          <w:szCs w:val="24"/>
        </w:rPr>
        <w:t>1、适用范围</w:t>
      </w:r>
      <w:bookmarkEnd w:id="8"/>
    </w:p>
    <w:p w14:paraId="79BC9061">
      <w:pPr>
        <w:spacing w:line="480" w:lineRule="exact"/>
        <w:ind w:firstLine="480" w:firstLineChars="200"/>
        <w:rPr>
          <w:rFonts w:ascii="宋体" w:hAnsi="宋体" w:cs="宋体"/>
          <w:sz w:val="24"/>
          <w:szCs w:val="24"/>
        </w:rPr>
      </w:pPr>
      <w:r>
        <w:rPr>
          <w:rFonts w:hint="eastAsia" w:ascii="宋体" w:hAnsi="宋体" w:cs="宋体"/>
          <w:sz w:val="24"/>
          <w:szCs w:val="24"/>
        </w:rPr>
        <w:t>本竞争性磋商文件仅适用于本次竞争性磋商文件中的所叙述的内容。</w:t>
      </w:r>
    </w:p>
    <w:p w14:paraId="2333D5E8">
      <w:pPr>
        <w:spacing w:line="480" w:lineRule="exact"/>
        <w:ind w:firstLine="482" w:firstLineChars="200"/>
        <w:outlineLvl w:val="1"/>
        <w:rPr>
          <w:rFonts w:ascii="宋体" w:hAnsi="宋体" w:cs="宋体"/>
          <w:b/>
          <w:bCs/>
          <w:sz w:val="24"/>
          <w:szCs w:val="24"/>
        </w:rPr>
      </w:pPr>
      <w:bookmarkStart w:id="19" w:name="_Toc22250"/>
      <w:r>
        <w:rPr>
          <w:rFonts w:hint="eastAsia" w:ascii="宋体" w:hAnsi="宋体" w:cs="宋体"/>
          <w:b/>
          <w:bCs/>
          <w:sz w:val="24"/>
          <w:szCs w:val="24"/>
        </w:rPr>
        <w:t>2、合格的供应商</w:t>
      </w:r>
      <w:bookmarkEnd w:id="19"/>
    </w:p>
    <w:p w14:paraId="0D6D978E">
      <w:pPr>
        <w:spacing w:line="480" w:lineRule="exact"/>
        <w:ind w:firstLine="480" w:firstLineChars="200"/>
        <w:rPr>
          <w:rFonts w:ascii="宋体" w:hAnsi="宋体" w:cs="宋体"/>
          <w:sz w:val="24"/>
          <w:szCs w:val="24"/>
        </w:rPr>
      </w:pPr>
      <w:r>
        <w:rPr>
          <w:rFonts w:hint="eastAsia" w:ascii="宋体" w:hAnsi="宋体" w:cs="宋体"/>
          <w:sz w:val="24"/>
          <w:szCs w:val="24"/>
        </w:rPr>
        <w:t>符合供应商须知前附表要求。</w:t>
      </w:r>
    </w:p>
    <w:p w14:paraId="7AF4DFEB">
      <w:pPr>
        <w:spacing w:line="480" w:lineRule="exact"/>
        <w:ind w:firstLine="482" w:firstLineChars="200"/>
        <w:outlineLvl w:val="1"/>
        <w:rPr>
          <w:rFonts w:ascii="宋体" w:hAnsi="宋体" w:cs="宋体"/>
          <w:b/>
          <w:bCs/>
          <w:sz w:val="24"/>
          <w:szCs w:val="24"/>
        </w:rPr>
      </w:pPr>
      <w:bookmarkStart w:id="20" w:name="_Toc18151"/>
      <w:r>
        <w:rPr>
          <w:rFonts w:hint="eastAsia" w:ascii="宋体" w:hAnsi="宋体" w:cs="宋体"/>
          <w:b/>
          <w:bCs/>
          <w:sz w:val="24"/>
          <w:szCs w:val="24"/>
        </w:rPr>
        <w:t>3、其他</w:t>
      </w:r>
      <w:bookmarkEnd w:id="20"/>
    </w:p>
    <w:p w14:paraId="2CD4B738">
      <w:pPr>
        <w:spacing w:line="480" w:lineRule="exact"/>
        <w:ind w:firstLine="480" w:firstLineChars="200"/>
        <w:rPr>
          <w:rFonts w:ascii="宋体" w:hAnsi="宋体" w:cs="宋体"/>
          <w:sz w:val="24"/>
          <w:szCs w:val="24"/>
        </w:rPr>
      </w:pPr>
      <w:r>
        <w:rPr>
          <w:rFonts w:hint="eastAsia" w:ascii="宋体" w:hAnsi="宋体" w:cs="宋体"/>
          <w:sz w:val="24"/>
          <w:szCs w:val="24"/>
        </w:rPr>
        <w:t>3.1 无论磋商中的做法和结果如何，供应商均应自行承担所有与参与磋商活动有关的全部费用。</w:t>
      </w:r>
    </w:p>
    <w:p w14:paraId="7495F769">
      <w:pPr>
        <w:spacing w:line="480" w:lineRule="exact"/>
        <w:ind w:firstLine="480" w:firstLineChars="200"/>
        <w:rPr>
          <w:rFonts w:ascii="宋体" w:hAnsi="宋体" w:cs="宋体"/>
          <w:sz w:val="24"/>
          <w:szCs w:val="24"/>
        </w:rPr>
      </w:pPr>
      <w:r>
        <w:rPr>
          <w:rFonts w:hint="eastAsia" w:ascii="宋体" w:hAnsi="宋体" w:cs="宋体"/>
          <w:sz w:val="24"/>
          <w:szCs w:val="24"/>
        </w:rPr>
        <w:t>3.2 无论磋商结果如何，采购人均无向供应商解释其成交或未成交原因的义务。</w:t>
      </w:r>
    </w:p>
    <w:p w14:paraId="566F0CD6">
      <w:pPr>
        <w:spacing w:line="480" w:lineRule="exact"/>
        <w:ind w:firstLine="480" w:firstLineChars="200"/>
        <w:rPr>
          <w:rFonts w:ascii="宋体" w:hAnsi="宋体" w:cs="宋体"/>
          <w:sz w:val="24"/>
          <w:szCs w:val="24"/>
        </w:rPr>
      </w:pPr>
      <w:r>
        <w:rPr>
          <w:rFonts w:hint="eastAsia" w:ascii="宋体" w:hAnsi="宋体" w:cs="宋体"/>
          <w:sz w:val="24"/>
          <w:szCs w:val="24"/>
        </w:rPr>
        <w:t>3.3 无论成交与否，已购买竞争性磋商文件的供应商对竞争性磋商文件负保密责任。</w:t>
      </w:r>
    </w:p>
    <w:p w14:paraId="5A397128">
      <w:pPr>
        <w:spacing w:line="480" w:lineRule="exact"/>
        <w:ind w:firstLine="482" w:firstLineChars="200"/>
        <w:outlineLvl w:val="1"/>
        <w:rPr>
          <w:rFonts w:ascii="宋体" w:hAnsi="宋体" w:cs="宋体"/>
          <w:b/>
          <w:bCs/>
          <w:sz w:val="24"/>
          <w:szCs w:val="24"/>
        </w:rPr>
      </w:pPr>
      <w:bookmarkStart w:id="21" w:name="_Toc21110"/>
      <w:r>
        <w:rPr>
          <w:rFonts w:hint="eastAsia" w:ascii="宋体" w:hAnsi="宋体" w:cs="宋体"/>
          <w:b/>
          <w:bCs/>
          <w:sz w:val="24"/>
          <w:szCs w:val="24"/>
        </w:rPr>
        <w:t>4、竞争性磋商文件的组成</w:t>
      </w:r>
      <w:bookmarkEnd w:id="21"/>
    </w:p>
    <w:p w14:paraId="4B3B191E">
      <w:pPr>
        <w:spacing w:line="480" w:lineRule="exact"/>
        <w:ind w:firstLine="480" w:firstLineChars="200"/>
        <w:rPr>
          <w:rFonts w:ascii="宋体" w:hAnsi="宋体" w:cs="宋体"/>
          <w:b/>
          <w:bCs/>
          <w:sz w:val="24"/>
          <w:szCs w:val="24"/>
        </w:rPr>
      </w:pPr>
      <w:r>
        <w:rPr>
          <w:rFonts w:hint="eastAsia" w:ascii="宋体" w:hAnsi="宋体" w:cs="宋体"/>
          <w:sz w:val="24"/>
          <w:szCs w:val="24"/>
        </w:rPr>
        <w:t>4.1 竞争性磋商文件用于阐明采购项目的服务范围、磋商程序、磋商内容、合同草签和条款以及评定成交的标准。具体包括以下内容：</w:t>
      </w:r>
    </w:p>
    <w:p w14:paraId="3FACACF3">
      <w:pPr>
        <w:spacing w:line="480" w:lineRule="exact"/>
        <w:ind w:firstLine="480" w:firstLineChars="200"/>
        <w:rPr>
          <w:rFonts w:ascii="宋体" w:hAnsi="宋体" w:cs="宋体"/>
          <w:sz w:val="24"/>
          <w:szCs w:val="24"/>
        </w:rPr>
      </w:pPr>
      <w:r>
        <w:rPr>
          <w:rFonts w:hint="eastAsia" w:ascii="宋体" w:hAnsi="宋体" w:cs="宋体"/>
          <w:sz w:val="24"/>
          <w:szCs w:val="24"/>
        </w:rPr>
        <w:t>（1）竞争性磋商公告</w:t>
      </w:r>
    </w:p>
    <w:p w14:paraId="4693816A">
      <w:pPr>
        <w:spacing w:line="480" w:lineRule="exact"/>
        <w:ind w:firstLine="480" w:firstLineChars="200"/>
        <w:rPr>
          <w:rFonts w:ascii="宋体" w:hAnsi="宋体" w:cs="宋体"/>
          <w:sz w:val="24"/>
          <w:szCs w:val="24"/>
        </w:rPr>
      </w:pPr>
      <w:r>
        <w:rPr>
          <w:rFonts w:hint="eastAsia" w:ascii="宋体" w:hAnsi="宋体" w:cs="宋体"/>
          <w:sz w:val="24"/>
          <w:szCs w:val="24"/>
        </w:rPr>
        <w:t>（2）供应商须知</w:t>
      </w:r>
    </w:p>
    <w:p w14:paraId="2B44FFD4">
      <w:pPr>
        <w:spacing w:line="480" w:lineRule="exact"/>
        <w:ind w:firstLine="480" w:firstLineChars="200"/>
        <w:rPr>
          <w:rFonts w:ascii="宋体" w:hAnsi="宋体" w:cs="宋体"/>
          <w:sz w:val="24"/>
          <w:szCs w:val="24"/>
        </w:rPr>
      </w:pPr>
      <w:r>
        <w:rPr>
          <w:rFonts w:hint="eastAsia" w:ascii="宋体" w:hAnsi="宋体" w:cs="宋体"/>
          <w:sz w:val="24"/>
          <w:szCs w:val="24"/>
        </w:rPr>
        <w:t>（3）评审办法</w:t>
      </w:r>
    </w:p>
    <w:p w14:paraId="5E984BD9">
      <w:pPr>
        <w:spacing w:line="480" w:lineRule="exact"/>
        <w:ind w:firstLine="480" w:firstLineChars="200"/>
        <w:rPr>
          <w:rFonts w:ascii="宋体" w:hAnsi="宋体" w:cs="宋体"/>
          <w:sz w:val="24"/>
          <w:szCs w:val="24"/>
        </w:rPr>
      </w:pPr>
      <w:r>
        <w:rPr>
          <w:rFonts w:hint="eastAsia" w:ascii="宋体" w:hAnsi="宋体" w:cs="宋体"/>
          <w:sz w:val="24"/>
          <w:szCs w:val="24"/>
        </w:rPr>
        <w:t>（4）合同条款</w:t>
      </w:r>
    </w:p>
    <w:p w14:paraId="0C922FEB">
      <w:pPr>
        <w:spacing w:line="480" w:lineRule="exact"/>
        <w:ind w:firstLine="480" w:firstLineChars="200"/>
        <w:rPr>
          <w:rFonts w:ascii="宋体" w:hAnsi="宋体" w:cs="宋体"/>
          <w:sz w:val="24"/>
          <w:szCs w:val="24"/>
        </w:rPr>
      </w:pPr>
      <w:r>
        <w:rPr>
          <w:rFonts w:hint="eastAsia" w:ascii="宋体" w:hAnsi="宋体" w:cs="宋体"/>
          <w:sz w:val="24"/>
          <w:szCs w:val="24"/>
        </w:rPr>
        <w:t>（5）服务内容及要求</w:t>
      </w:r>
    </w:p>
    <w:p w14:paraId="2A646C09">
      <w:pPr>
        <w:spacing w:line="480" w:lineRule="exact"/>
        <w:ind w:firstLine="480" w:firstLineChars="200"/>
        <w:rPr>
          <w:rFonts w:ascii="宋体" w:hAnsi="宋体" w:cs="宋体"/>
          <w:sz w:val="24"/>
          <w:szCs w:val="24"/>
        </w:rPr>
      </w:pPr>
      <w:r>
        <w:rPr>
          <w:rFonts w:hint="eastAsia" w:ascii="宋体" w:hAnsi="宋体" w:cs="宋体"/>
          <w:sz w:val="24"/>
          <w:szCs w:val="24"/>
        </w:rPr>
        <w:t>（6）响应文件格式</w:t>
      </w:r>
    </w:p>
    <w:p w14:paraId="769869A8">
      <w:pPr>
        <w:spacing w:line="480" w:lineRule="exact"/>
        <w:ind w:firstLine="480" w:firstLineChars="200"/>
        <w:rPr>
          <w:rFonts w:ascii="宋体" w:hAnsi="宋体" w:cs="宋体"/>
          <w:sz w:val="24"/>
          <w:szCs w:val="24"/>
        </w:rPr>
      </w:pPr>
      <w:r>
        <w:rPr>
          <w:rFonts w:hint="eastAsia" w:ascii="宋体" w:hAnsi="宋体" w:cs="宋体"/>
          <w:sz w:val="24"/>
          <w:szCs w:val="24"/>
        </w:rPr>
        <w:t>4.2 竞争性磋商文件以中文编印，且以中文为准。</w:t>
      </w:r>
    </w:p>
    <w:p w14:paraId="7EF18875">
      <w:pPr>
        <w:spacing w:line="480" w:lineRule="exact"/>
        <w:ind w:firstLine="480" w:firstLineChars="200"/>
        <w:rPr>
          <w:rFonts w:ascii="宋体" w:hAnsi="宋体" w:cs="宋体"/>
          <w:sz w:val="24"/>
          <w:szCs w:val="24"/>
        </w:rPr>
      </w:pPr>
      <w:r>
        <w:rPr>
          <w:rFonts w:hint="eastAsia" w:ascii="宋体" w:hAnsi="宋体" w:cs="宋体"/>
          <w:sz w:val="24"/>
          <w:szCs w:val="24"/>
        </w:rPr>
        <w:t>4.3 除非有特殊要求，竞争性磋商文件不单独提供项目所在地的自然环境、气候条件、公用设施等情况，供应商被视为熟悉上述与履行合同有关的一切情况。</w:t>
      </w:r>
    </w:p>
    <w:p w14:paraId="7602892C">
      <w:pPr>
        <w:spacing w:line="480" w:lineRule="exact"/>
        <w:ind w:firstLine="480" w:firstLineChars="200"/>
        <w:rPr>
          <w:rFonts w:ascii="宋体" w:hAnsi="宋体" w:cs="宋体"/>
          <w:sz w:val="24"/>
          <w:szCs w:val="24"/>
        </w:rPr>
      </w:pPr>
      <w:r>
        <w:rPr>
          <w:rFonts w:hint="eastAsia" w:ascii="宋体" w:hAnsi="宋体" w:cs="宋体"/>
          <w:sz w:val="24"/>
          <w:szCs w:val="24"/>
        </w:rPr>
        <w:t>4.4 竞争性磋商文件的澄清和修改</w:t>
      </w:r>
    </w:p>
    <w:p w14:paraId="323B57F8">
      <w:pPr>
        <w:spacing w:line="480" w:lineRule="exact"/>
        <w:ind w:firstLine="480" w:firstLineChars="200"/>
        <w:rPr>
          <w:rFonts w:ascii="宋体" w:hAnsi="宋体" w:cs="宋体"/>
          <w:sz w:val="24"/>
          <w:szCs w:val="24"/>
        </w:rPr>
      </w:pPr>
      <w:r>
        <w:rPr>
          <w:rFonts w:hint="eastAsia" w:ascii="宋体" w:hAnsi="宋体" w:cs="宋体"/>
          <w:sz w:val="24"/>
          <w:szCs w:val="24"/>
        </w:rPr>
        <w:t>4.4.1供应商对竞争性磋商文件如有需要澄清或疑问，应当在系统内提出。代理机构将视情况在响应性文件递交截止时间五日前以公告形式予以答复。</w:t>
      </w:r>
    </w:p>
    <w:p w14:paraId="52AEDA23">
      <w:pPr>
        <w:spacing w:line="480" w:lineRule="exact"/>
        <w:ind w:firstLine="480" w:firstLineChars="200"/>
        <w:rPr>
          <w:rFonts w:ascii="宋体" w:hAnsi="宋体" w:cs="宋体"/>
          <w:sz w:val="24"/>
          <w:szCs w:val="24"/>
        </w:rPr>
      </w:pPr>
      <w:r>
        <w:rPr>
          <w:rFonts w:hint="eastAsia" w:ascii="宋体" w:hAnsi="宋体" w:cs="宋体"/>
          <w:sz w:val="24"/>
          <w:szCs w:val="24"/>
        </w:rPr>
        <w:t>4.4.2在磋商文件中所述的响应性文件递交截止时间五日前，采购代理机构可主动地或在解答供应商提出的澄清问题时对竞争性磋商文件进行修改。</w:t>
      </w:r>
    </w:p>
    <w:p w14:paraId="4282C660">
      <w:pPr>
        <w:spacing w:line="480" w:lineRule="exact"/>
        <w:ind w:firstLine="480" w:firstLineChars="200"/>
        <w:rPr>
          <w:rFonts w:ascii="宋体" w:hAnsi="宋体" w:cs="宋体"/>
          <w:sz w:val="24"/>
          <w:szCs w:val="24"/>
        </w:rPr>
      </w:pPr>
      <w:r>
        <w:rPr>
          <w:rFonts w:hint="eastAsia" w:ascii="宋体" w:hAnsi="宋体" w:cs="宋体"/>
          <w:sz w:val="24"/>
          <w:szCs w:val="24"/>
        </w:rPr>
        <w:t>4.4.3竞争性磋商文件的修改将以公告形式予以修改，并构成竞争性磋商文件的一部分，对所有供应商均具有约束力。</w:t>
      </w:r>
    </w:p>
    <w:p w14:paraId="048D87D7">
      <w:pPr>
        <w:spacing w:line="480" w:lineRule="exact"/>
        <w:ind w:firstLine="480" w:firstLineChars="200"/>
        <w:rPr>
          <w:rFonts w:ascii="宋体" w:hAnsi="宋体" w:cs="宋体"/>
          <w:sz w:val="24"/>
          <w:szCs w:val="24"/>
        </w:rPr>
      </w:pPr>
      <w:r>
        <w:rPr>
          <w:rFonts w:hint="eastAsia" w:ascii="宋体" w:hAnsi="宋体" w:cs="宋体"/>
          <w:sz w:val="24"/>
          <w:szCs w:val="24"/>
        </w:rPr>
        <w:t>4.4.4如果修改竞争性磋商文件，会在三门峡市公共资源交易中心网发布变更公告，不再发纸质的变更信息。提醒供应商随时注意网上发布的信息。如因供应商自身原因未看到信息，因此造成的一切后果由供应商自行承担。</w:t>
      </w:r>
    </w:p>
    <w:p w14:paraId="0958695F">
      <w:pPr>
        <w:spacing w:line="480" w:lineRule="exact"/>
        <w:ind w:firstLine="480" w:firstLineChars="200"/>
        <w:rPr>
          <w:rFonts w:ascii="宋体" w:hAnsi="宋体" w:cs="宋体"/>
          <w:sz w:val="24"/>
          <w:szCs w:val="24"/>
        </w:rPr>
      </w:pPr>
      <w:r>
        <w:rPr>
          <w:rFonts w:hint="eastAsia" w:ascii="宋体" w:hAnsi="宋体" w:cs="宋体"/>
          <w:sz w:val="24"/>
          <w:szCs w:val="24"/>
        </w:rPr>
        <w:t>4.4.5为使供应商有充分的时间对竞争性磋商文件的修改部分进行研究，采购代理机构可适当延长响应性文件递交截止时间。</w:t>
      </w:r>
    </w:p>
    <w:p w14:paraId="11A5D7E3">
      <w:pPr>
        <w:spacing w:line="480" w:lineRule="exact"/>
        <w:ind w:firstLine="482" w:firstLineChars="200"/>
        <w:outlineLvl w:val="1"/>
        <w:rPr>
          <w:rFonts w:ascii="宋体" w:hAnsi="宋体" w:cs="宋体"/>
          <w:b/>
          <w:bCs/>
          <w:sz w:val="24"/>
          <w:szCs w:val="24"/>
        </w:rPr>
      </w:pPr>
      <w:bookmarkStart w:id="22" w:name="_Toc6949"/>
      <w:r>
        <w:rPr>
          <w:rFonts w:hint="eastAsia" w:ascii="宋体" w:hAnsi="宋体" w:cs="宋体"/>
          <w:b/>
          <w:bCs/>
          <w:sz w:val="24"/>
          <w:szCs w:val="24"/>
        </w:rPr>
        <w:t>5、响应性文件的组成</w:t>
      </w:r>
      <w:bookmarkEnd w:id="22"/>
    </w:p>
    <w:p w14:paraId="5CBCA422">
      <w:pPr>
        <w:shd w:val="clear" w:color="auto" w:fill="FFFFFF"/>
        <w:tabs>
          <w:tab w:val="right" w:pos="6077"/>
        </w:tabs>
        <w:autoSpaceDE w:val="0"/>
        <w:autoSpaceDN w:val="0"/>
        <w:spacing w:line="480" w:lineRule="exact"/>
        <w:ind w:firstLine="480" w:firstLineChars="200"/>
        <w:rPr>
          <w:rFonts w:ascii="宋体" w:hAnsi="宋体" w:cs="宋体"/>
          <w:sz w:val="24"/>
          <w:szCs w:val="24"/>
        </w:rPr>
      </w:pPr>
      <w:r>
        <w:rPr>
          <w:rFonts w:hint="eastAsia" w:ascii="宋体" w:hAnsi="宋体" w:cs="宋体"/>
          <w:sz w:val="24"/>
          <w:szCs w:val="24"/>
        </w:rPr>
        <w:t>一、磋商申请函、报价一览表</w:t>
      </w:r>
    </w:p>
    <w:p w14:paraId="10D25B1C">
      <w:pPr>
        <w:shd w:val="clear" w:color="auto" w:fill="FFFFFF"/>
        <w:tabs>
          <w:tab w:val="right" w:pos="6077"/>
        </w:tabs>
        <w:autoSpaceDE w:val="0"/>
        <w:autoSpaceDN w:val="0"/>
        <w:spacing w:line="480" w:lineRule="exact"/>
        <w:ind w:firstLine="480" w:firstLineChars="200"/>
        <w:rPr>
          <w:rFonts w:ascii="宋体" w:hAnsi="宋体" w:cs="宋体"/>
          <w:sz w:val="24"/>
          <w:szCs w:val="24"/>
        </w:rPr>
      </w:pPr>
      <w:r>
        <w:rPr>
          <w:rFonts w:hint="eastAsia" w:ascii="宋体" w:hAnsi="宋体" w:cs="宋体"/>
          <w:sz w:val="24"/>
          <w:szCs w:val="24"/>
        </w:rPr>
        <w:t>二、法定代表人身份证明、授权委托书</w:t>
      </w:r>
    </w:p>
    <w:p w14:paraId="1502D72C">
      <w:pPr>
        <w:shd w:val="clear" w:color="auto" w:fill="FFFFFF"/>
        <w:tabs>
          <w:tab w:val="right" w:pos="6077"/>
        </w:tabs>
        <w:autoSpaceDE w:val="0"/>
        <w:autoSpaceDN w:val="0"/>
        <w:spacing w:line="480" w:lineRule="exact"/>
        <w:ind w:firstLine="480" w:firstLineChars="200"/>
        <w:rPr>
          <w:rFonts w:ascii="宋体" w:hAnsi="宋体" w:cs="宋体"/>
          <w:sz w:val="24"/>
          <w:szCs w:val="24"/>
        </w:rPr>
      </w:pPr>
      <w:r>
        <w:rPr>
          <w:rFonts w:hint="eastAsia" w:ascii="宋体" w:hAnsi="宋体" w:cs="宋体"/>
          <w:sz w:val="24"/>
          <w:szCs w:val="24"/>
        </w:rPr>
        <w:t>三、投标人承诺书</w:t>
      </w:r>
    </w:p>
    <w:p w14:paraId="7C842581">
      <w:pPr>
        <w:shd w:val="clear" w:color="auto" w:fill="FFFFFF"/>
        <w:tabs>
          <w:tab w:val="right" w:pos="6077"/>
        </w:tabs>
        <w:autoSpaceDE w:val="0"/>
        <w:autoSpaceDN w:val="0"/>
        <w:spacing w:line="480" w:lineRule="exact"/>
        <w:ind w:firstLine="480" w:firstLineChars="200"/>
        <w:rPr>
          <w:rFonts w:ascii="宋体" w:hAnsi="宋体" w:cs="宋体"/>
          <w:sz w:val="24"/>
          <w:szCs w:val="24"/>
        </w:rPr>
      </w:pPr>
      <w:r>
        <w:rPr>
          <w:rFonts w:hint="eastAsia" w:ascii="宋体" w:hAnsi="宋体" w:cs="宋体"/>
          <w:sz w:val="24"/>
          <w:szCs w:val="24"/>
        </w:rPr>
        <w:t>四、资格审查资料</w:t>
      </w:r>
    </w:p>
    <w:p w14:paraId="36943514">
      <w:pPr>
        <w:shd w:val="clear" w:color="auto" w:fill="FFFFFF"/>
        <w:tabs>
          <w:tab w:val="right" w:pos="6077"/>
        </w:tabs>
        <w:autoSpaceDE w:val="0"/>
        <w:autoSpaceDN w:val="0"/>
        <w:spacing w:line="480" w:lineRule="exact"/>
        <w:ind w:firstLine="480" w:firstLineChars="200"/>
        <w:rPr>
          <w:rFonts w:ascii="宋体" w:hAnsi="宋体" w:cs="宋体"/>
          <w:sz w:val="24"/>
          <w:szCs w:val="24"/>
        </w:rPr>
      </w:pPr>
      <w:r>
        <w:rPr>
          <w:rFonts w:hint="eastAsia" w:ascii="宋体" w:hAnsi="宋体" w:cs="宋体"/>
          <w:sz w:val="24"/>
          <w:szCs w:val="24"/>
        </w:rPr>
        <w:t>五、商务部分（格式自拟）</w:t>
      </w:r>
    </w:p>
    <w:p w14:paraId="5145B504">
      <w:pPr>
        <w:shd w:val="clear" w:color="auto" w:fill="FFFFFF"/>
        <w:tabs>
          <w:tab w:val="right" w:pos="6077"/>
        </w:tabs>
        <w:autoSpaceDE w:val="0"/>
        <w:autoSpaceDN w:val="0"/>
        <w:spacing w:line="480" w:lineRule="exact"/>
        <w:ind w:firstLine="480" w:firstLineChars="200"/>
        <w:rPr>
          <w:rFonts w:ascii="宋体" w:hAnsi="宋体" w:cs="宋体"/>
          <w:sz w:val="24"/>
          <w:szCs w:val="24"/>
        </w:rPr>
      </w:pPr>
      <w:r>
        <w:rPr>
          <w:rFonts w:hint="eastAsia" w:ascii="宋体" w:hAnsi="宋体" w:cs="宋体"/>
          <w:sz w:val="24"/>
          <w:szCs w:val="24"/>
        </w:rPr>
        <w:t>六、技术部分（格式自拟）</w:t>
      </w:r>
    </w:p>
    <w:p w14:paraId="12938EC8">
      <w:pPr>
        <w:shd w:val="clear" w:color="auto" w:fill="FFFFFF"/>
        <w:tabs>
          <w:tab w:val="right" w:pos="6077"/>
        </w:tabs>
        <w:autoSpaceDE w:val="0"/>
        <w:autoSpaceDN w:val="0"/>
        <w:spacing w:line="480" w:lineRule="exact"/>
        <w:ind w:firstLine="480" w:firstLineChars="200"/>
        <w:rPr>
          <w:rFonts w:ascii="宋体" w:hAnsi="宋体" w:cs="宋体"/>
          <w:sz w:val="24"/>
          <w:szCs w:val="24"/>
        </w:rPr>
      </w:pPr>
      <w:r>
        <w:rPr>
          <w:rFonts w:hint="eastAsia" w:ascii="宋体" w:hAnsi="宋体" w:cs="宋体"/>
          <w:sz w:val="24"/>
          <w:szCs w:val="24"/>
        </w:rPr>
        <w:t>七、项目管理机构</w:t>
      </w:r>
    </w:p>
    <w:p w14:paraId="19E2F3AA">
      <w:pPr>
        <w:shd w:val="clear" w:color="auto" w:fill="FFFFFF"/>
        <w:tabs>
          <w:tab w:val="right" w:pos="6077"/>
        </w:tabs>
        <w:autoSpaceDE w:val="0"/>
        <w:autoSpaceDN w:val="0"/>
        <w:spacing w:line="480" w:lineRule="exact"/>
        <w:ind w:firstLine="480" w:firstLineChars="200"/>
        <w:rPr>
          <w:rFonts w:ascii="宋体" w:hAnsi="宋体" w:cs="宋体"/>
          <w:sz w:val="24"/>
          <w:szCs w:val="24"/>
        </w:rPr>
      </w:pPr>
      <w:r>
        <w:rPr>
          <w:rFonts w:hint="eastAsia" w:ascii="宋体" w:hAnsi="宋体" w:cs="宋体"/>
          <w:sz w:val="24"/>
          <w:szCs w:val="24"/>
        </w:rPr>
        <w:t>八、投标人基本情况表</w:t>
      </w:r>
    </w:p>
    <w:p w14:paraId="32BBBAD9">
      <w:pPr>
        <w:shd w:val="clear" w:color="auto" w:fill="FFFFFF"/>
        <w:tabs>
          <w:tab w:val="right" w:pos="6077"/>
        </w:tabs>
        <w:autoSpaceDE w:val="0"/>
        <w:autoSpaceDN w:val="0"/>
        <w:spacing w:line="480" w:lineRule="exact"/>
        <w:ind w:firstLine="480" w:firstLineChars="200"/>
        <w:rPr>
          <w:rFonts w:ascii="宋体" w:hAnsi="宋体" w:cs="宋体"/>
          <w:sz w:val="24"/>
          <w:szCs w:val="24"/>
        </w:rPr>
      </w:pPr>
      <w:r>
        <w:rPr>
          <w:rFonts w:hint="eastAsia" w:ascii="宋体" w:hAnsi="宋体" w:cs="宋体"/>
          <w:sz w:val="24"/>
          <w:szCs w:val="24"/>
        </w:rPr>
        <w:t>九、其他政府采购政策性规定证明材料</w:t>
      </w:r>
    </w:p>
    <w:p w14:paraId="2B56C862">
      <w:pPr>
        <w:shd w:val="clear" w:color="auto" w:fill="FFFFFF"/>
        <w:tabs>
          <w:tab w:val="right" w:pos="6077"/>
        </w:tabs>
        <w:autoSpaceDE w:val="0"/>
        <w:autoSpaceDN w:val="0"/>
        <w:spacing w:line="480" w:lineRule="exact"/>
        <w:ind w:firstLine="482" w:firstLineChars="200"/>
        <w:outlineLvl w:val="1"/>
        <w:rPr>
          <w:rFonts w:ascii="宋体" w:hAnsi="宋体" w:cs="宋体"/>
          <w:sz w:val="24"/>
          <w:szCs w:val="24"/>
        </w:rPr>
      </w:pPr>
      <w:bookmarkStart w:id="23" w:name="_Toc17715"/>
      <w:r>
        <w:rPr>
          <w:rFonts w:hint="eastAsia" w:ascii="宋体" w:hAnsi="宋体" w:cs="宋体"/>
          <w:b/>
          <w:bCs/>
          <w:sz w:val="24"/>
          <w:szCs w:val="24"/>
        </w:rPr>
        <w:t>6、</w:t>
      </w:r>
      <w:r>
        <w:rPr>
          <w:rFonts w:hint="eastAsia" w:ascii="宋体" w:hAnsi="宋体" w:cs="宋体"/>
          <w:b/>
          <w:sz w:val="24"/>
          <w:szCs w:val="24"/>
        </w:rPr>
        <w:t>响应性文件的编制</w:t>
      </w:r>
      <w:bookmarkEnd w:id="23"/>
    </w:p>
    <w:p w14:paraId="27B08FB9">
      <w:pPr>
        <w:shd w:val="clear" w:color="auto" w:fill="FFFFFF"/>
        <w:tabs>
          <w:tab w:val="right" w:pos="6077"/>
        </w:tabs>
        <w:autoSpaceDE w:val="0"/>
        <w:autoSpaceDN w:val="0"/>
        <w:spacing w:line="480" w:lineRule="exact"/>
        <w:ind w:firstLine="480" w:firstLineChars="200"/>
        <w:rPr>
          <w:rFonts w:ascii="宋体" w:hAnsi="宋体" w:cs="宋体"/>
          <w:sz w:val="24"/>
          <w:szCs w:val="24"/>
        </w:rPr>
      </w:pPr>
      <w:r>
        <w:rPr>
          <w:rFonts w:hint="eastAsia" w:ascii="宋体" w:hAnsi="宋体" w:cs="宋体"/>
          <w:sz w:val="24"/>
          <w:szCs w:val="24"/>
        </w:rPr>
        <w:t>6.1 响应性文件应按 “响应性文件格式”进行编写，如有必要，可以增加附页，作为响应性文件的组成部分。其中，报价一览表在满足竞争性磋商文件实质性要求的基础上，可以提出比竞争性磋商文件要求更有利于采购人的承诺。</w:t>
      </w:r>
    </w:p>
    <w:p w14:paraId="425A7E57">
      <w:pPr>
        <w:shd w:val="clear" w:color="auto" w:fill="FFFFFF"/>
        <w:tabs>
          <w:tab w:val="right" w:pos="6077"/>
        </w:tabs>
        <w:autoSpaceDE w:val="0"/>
        <w:autoSpaceDN w:val="0"/>
        <w:spacing w:line="480" w:lineRule="exact"/>
        <w:ind w:firstLine="480" w:firstLineChars="200"/>
        <w:rPr>
          <w:rFonts w:ascii="宋体" w:hAnsi="宋体" w:cs="宋体"/>
          <w:sz w:val="24"/>
          <w:szCs w:val="24"/>
        </w:rPr>
      </w:pPr>
      <w:r>
        <w:rPr>
          <w:rFonts w:hint="eastAsia" w:ascii="宋体" w:hAnsi="宋体" w:cs="宋体"/>
          <w:sz w:val="24"/>
          <w:szCs w:val="24"/>
        </w:rPr>
        <w:t>6.2 响应文件应当对磋商文件有关服务期、磋商有效期、质量要求、采购内容等实质性内容作出响应。</w:t>
      </w:r>
    </w:p>
    <w:p w14:paraId="16BE4867">
      <w:pPr>
        <w:shd w:val="clear" w:color="auto" w:fill="FFFFFF"/>
        <w:tabs>
          <w:tab w:val="right" w:pos="6077"/>
        </w:tabs>
        <w:autoSpaceDE w:val="0"/>
        <w:autoSpaceDN w:val="0"/>
        <w:spacing w:line="480" w:lineRule="exact"/>
        <w:ind w:firstLine="480" w:firstLineChars="200"/>
        <w:rPr>
          <w:rFonts w:ascii="宋体" w:hAnsi="宋体" w:cs="宋体"/>
          <w:sz w:val="24"/>
          <w:szCs w:val="24"/>
        </w:rPr>
      </w:pPr>
      <w:r>
        <w:rPr>
          <w:rFonts w:hint="eastAsia" w:ascii="宋体" w:hAnsi="宋体" w:cs="宋体"/>
          <w:sz w:val="24"/>
          <w:szCs w:val="24"/>
        </w:rPr>
        <w:t>6.3 供应商在生成电子化响应文件后，应对电子化响应文件进行签章，未进行签章的视为无效响应。</w:t>
      </w:r>
    </w:p>
    <w:p w14:paraId="39333962">
      <w:pPr>
        <w:shd w:val="clear" w:color="auto" w:fill="FFFFFF"/>
        <w:tabs>
          <w:tab w:val="right" w:pos="6077"/>
        </w:tabs>
        <w:autoSpaceDE w:val="0"/>
        <w:autoSpaceDN w:val="0"/>
        <w:spacing w:line="480" w:lineRule="exact"/>
        <w:ind w:firstLine="480" w:firstLineChars="200"/>
        <w:rPr>
          <w:rFonts w:ascii="宋体" w:hAnsi="宋体" w:cs="宋体"/>
          <w:sz w:val="24"/>
          <w:szCs w:val="24"/>
        </w:rPr>
      </w:pPr>
      <w:r>
        <w:rPr>
          <w:rFonts w:hint="eastAsia" w:ascii="宋体" w:hAnsi="宋体" w:cs="宋体"/>
          <w:sz w:val="24"/>
          <w:szCs w:val="24"/>
        </w:rPr>
        <w:t>6.4 磋商文件中要求签章的，供应商在进行电子化响应文件签章时，以单位和法定代表人电子签章为准。</w:t>
      </w:r>
    </w:p>
    <w:p w14:paraId="554B65E1">
      <w:pPr>
        <w:spacing w:line="480" w:lineRule="exact"/>
        <w:ind w:firstLine="482" w:firstLineChars="200"/>
        <w:contextualSpacing/>
        <w:outlineLvl w:val="1"/>
        <w:rPr>
          <w:rFonts w:ascii="宋体" w:hAnsi="宋体" w:cs="宋体"/>
          <w:b/>
          <w:kern w:val="1"/>
          <w:sz w:val="24"/>
          <w:szCs w:val="24"/>
        </w:rPr>
      </w:pPr>
      <w:bookmarkStart w:id="24" w:name="_Toc10277"/>
      <w:r>
        <w:rPr>
          <w:rFonts w:hint="eastAsia" w:ascii="宋体" w:hAnsi="宋体" w:cs="宋体"/>
          <w:b/>
          <w:bCs/>
          <w:sz w:val="24"/>
          <w:szCs w:val="24"/>
        </w:rPr>
        <w:t>7、</w:t>
      </w:r>
      <w:r>
        <w:rPr>
          <w:rFonts w:hint="eastAsia" w:ascii="宋体" w:hAnsi="宋体" w:cs="宋体"/>
          <w:b/>
          <w:kern w:val="1"/>
          <w:sz w:val="24"/>
          <w:szCs w:val="24"/>
        </w:rPr>
        <w:t>响应性文件的递交</w:t>
      </w:r>
      <w:bookmarkEnd w:id="24"/>
    </w:p>
    <w:p w14:paraId="7991C3DC">
      <w:pPr>
        <w:widowControl/>
        <w:spacing w:line="480" w:lineRule="exact"/>
        <w:ind w:firstLine="500" w:firstLineChars="200"/>
        <w:rPr>
          <w:rFonts w:ascii="宋体" w:hAnsi="宋体" w:cs="宋体"/>
          <w:spacing w:val="5"/>
          <w:sz w:val="24"/>
          <w:szCs w:val="24"/>
        </w:rPr>
      </w:pPr>
      <w:r>
        <w:rPr>
          <w:rFonts w:hint="eastAsia" w:ascii="宋体" w:hAnsi="宋体" w:cs="宋体"/>
          <w:spacing w:val="5"/>
          <w:sz w:val="24"/>
          <w:szCs w:val="24"/>
        </w:rPr>
        <w:t>7.1 供应商所上传的电子化响应文件，应是通过中心投标文件制作系统制作的，经过签章和加密后生成的电子版响应文件。生成的电子版响应文件包含用于响应文件上传的主文件和用于应急补救的响应文件备份文件，备份文件主要用于电子化开标出现技术问题后的补救。</w:t>
      </w:r>
    </w:p>
    <w:p w14:paraId="283E7C63">
      <w:pPr>
        <w:widowControl/>
        <w:spacing w:line="480" w:lineRule="exact"/>
        <w:ind w:firstLine="500" w:firstLineChars="200"/>
        <w:rPr>
          <w:rFonts w:ascii="宋体" w:hAnsi="宋体" w:cs="宋体"/>
          <w:spacing w:val="5"/>
          <w:sz w:val="24"/>
          <w:szCs w:val="24"/>
        </w:rPr>
      </w:pPr>
      <w:r>
        <w:rPr>
          <w:rFonts w:hint="eastAsia" w:ascii="宋体" w:hAnsi="宋体" w:cs="宋体"/>
          <w:spacing w:val="5"/>
          <w:sz w:val="24"/>
          <w:szCs w:val="24"/>
        </w:rPr>
        <w:t>注：供应商投报多个标段的，每个标段均要生成独立的电子响应文件。</w:t>
      </w:r>
    </w:p>
    <w:p w14:paraId="36E24F69">
      <w:pPr>
        <w:widowControl/>
        <w:spacing w:line="480" w:lineRule="exact"/>
        <w:ind w:firstLine="500" w:firstLineChars="200"/>
        <w:rPr>
          <w:rFonts w:ascii="宋体" w:hAnsi="宋体" w:cs="宋体"/>
          <w:spacing w:val="5"/>
          <w:sz w:val="24"/>
          <w:szCs w:val="24"/>
        </w:rPr>
      </w:pPr>
      <w:r>
        <w:rPr>
          <w:rFonts w:hint="eastAsia" w:ascii="宋体" w:hAnsi="宋体" w:cs="宋体"/>
          <w:spacing w:val="5"/>
          <w:sz w:val="24"/>
          <w:szCs w:val="24"/>
        </w:rPr>
        <w:t>7.2 电子化响应文件应在投标截止时间前成功上传至三门峡市公共资源电子化交易系统。至投标截止时间止，仍未上传成功的电子化响应文件将不予接收。</w:t>
      </w:r>
    </w:p>
    <w:p w14:paraId="466D0938">
      <w:pPr>
        <w:widowControl/>
        <w:spacing w:line="480" w:lineRule="exact"/>
        <w:ind w:firstLine="500" w:firstLineChars="200"/>
        <w:rPr>
          <w:rFonts w:ascii="宋体" w:hAnsi="宋体" w:cs="宋体"/>
          <w:spacing w:val="5"/>
          <w:sz w:val="24"/>
          <w:szCs w:val="24"/>
        </w:rPr>
      </w:pPr>
      <w:r>
        <w:rPr>
          <w:rFonts w:hint="eastAsia" w:ascii="宋体" w:hAnsi="宋体" w:cs="宋体"/>
          <w:spacing w:val="5"/>
          <w:sz w:val="24"/>
          <w:szCs w:val="24"/>
        </w:rPr>
        <w:t>注：如按照电子化投标操作教材制作完成的电子化响应文件无法上传的，供应商应在投标截止时间前尽早的联系中心技术人员，以便有充分的时间进行处理。供应商应充分考虑到处理技术问题和上传数据等工作所需的时间问题，响应文件未在投标截止时间前成功上传的，其响应文件不予接收。</w:t>
      </w:r>
    </w:p>
    <w:p w14:paraId="3FE2F3E8">
      <w:pPr>
        <w:widowControl/>
        <w:spacing w:line="480" w:lineRule="exact"/>
        <w:ind w:firstLine="500" w:firstLineChars="200"/>
        <w:rPr>
          <w:rFonts w:ascii="宋体" w:hAnsi="宋体" w:cs="宋体"/>
          <w:spacing w:val="5"/>
          <w:sz w:val="24"/>
          <w:szCs w:val="24"/>
        </w:rPr>
      </w:pPr>
      <w:r>
        <w:rPr>
          <w:rFonts w:hint="eastAsia" w:ascii="宋体" w:hAnsi="宋体" w:cs="宋体"/>
          <w:spacing w:val="5"/>
          <w:sz w:val="24"/>
          <w:szCs w:val="24"/>
        </w:rPr>
        <w:t>技术联系电话：0398-3117871</w:t>
      </w:r>
    </w:p>
    <w:p w14:paraId="7CA8C21F">
      <w:pPr>
        <w:spacing w:line="480" w:lineRule="exact"/>
        <w:ind w:firstLine="482" w:firstLineChars="200"/>
        <w:outlineLvl w:val="1"/>
        <w:rPr>
          <w:rFonts w:ascii="宋体" w:hAnsi="宋体" w:cs="宋体"/>
          <w:b/>
          <w:kern w:val="1"/>
          <w:sz w:val="24"/>
          <w:szCs w:val="24"/>
        </w:rPr>
      </w:pPr>
      <w:bookmarkStart w:id="25" w:name="_Toc21424"/>
      <w:r>
        <w:rPr>
          <w:rFonts w:hint="eastAsia" w:ascii="宋体" w:hAnsi="宋体" w:cs="宋体"/>
          <w:b/>
          <w:bCs/>
          <w:kern w:val="1"/>
          <w:sz w:val="24"/>
          <w:szCs w:val="24"/>
        </w:rPr>
        <w:t>8、</w:t>
      </w:r>
      <w:bookmarkStart w:id="26" w:name="_Toc511897549"/>
      <w:bookmarkEnd w:id="26"/>
      <w:bookmarkStart w:id="27" w:name="_Toc531936128"/>
      <w:bookmarkEnd w:id="27"/>
      <w:bookmarkStart w:id="28" w:name="_Toc511663232"/>
      <w:bookmarkEnd w:id="28"/>
      <w:bookmarkStart w:id="29" w:name="_Toc530665439"/>
      <w:bookmarkEnd w:id="29"/>
      <w:bookmarkStart w:id="30" w:name="_Toc530663936"/>
      <w:bookmarkEnd w:id="30"/>
      <w:bookmarkStart w:id="31" w:name="_Toc530664092"/>
      <w:bookmarkEnd w:id="31"/>
      <w:r>
        <w:rPr>
          <w:rFonts w:hint="eastAsia" w:ascii="宋体" w:hAnsi="宋体" w:cs="宋体"/>
          <w:b/>
          <w:kern w:val="1"/>
          <w:sz w:val="24"/>
          <w:szCs w:val="24"/>
        </w:rPr>
        <w:t>电子化项目开标、解密、唱标、评标</w:t>
      </w:r>
      <w:bookmarkEnd w:id="25"/>
    </w:p>
    <w:p w14:paraId="750E4C03">
      <w:pPr>
        <w:widowControl/>
        <w:spacing w:line="480" w:lineRule="exact"/>
        <w:ind w:firstLine="500" w:firstLineChars="200"/>
        <w:rPr>
          <w:rFonts w:ascii="宋体" w:hAnsi="宋体" w:cs="宋体"/>
          <w:spacing w:val="5"/>
          <w:sz w:val="24"/>
          <w:szCs w:val="24"/>
        </w:rPr>
      </w:pPr>
      <w:r>
        <w:rPr>
          <w:rFonts w:hint="eastAsia" w:ascii="宋体" w:hAnsi="宋体" w:cs="宋体"/>
          <w:spacing w:val="5"/>
          <w:sz w:val="24"/>
          <w:szCs w:val="24"/>
        </w:rPr>
        <w:t>8.1 本项目采用电子化、无纸化进行招标，供应商应当在投标截止时间前，登陆不见面开标大厅选择登陆三门峡市公共资源电子招投标系统进行登陆（网址</w:t>
      </w:r>
      <w:r>
        <w:rPr>
          <w:rFonts w:hint="eastAsia" w:ascii="宋体" w:hAnsi="宋体" w:eastAsia="宋体" w:cs="宋体"/>
          <w:sz w:val="24"/>
          <w:szCs w:val="24"/>
        </w:rPr>
        <w:t>http://120.194.249.36:10094/BidOpening/bidopeninghallaction/hall/login</w:t>
      </w:r>
      <w:r>
        <w:rPr>
          <w:rFonts w:hint="eastAsia" w:ascii="宋体" w:hAnsi="宋体" w:cs="宋体"/>
          <w:spacing w:val="5"/>
          <w:sz w:val="24"/>
          <w:szCs w:val="24"/>
        </w:rPr>
        <w:t>）,在线准时参加开标活动并进行响应文件解密等。每位供应商的解密时间为开标时间起30分钟内完成。因供应商原因未能解密、解密失败或解密超时的将被拒绝。</w:t>
      </w:r>
    </w:p>
    <w:p w14:paraId="21680CC2">
      <w:pPr>
        <w:widowControl/>
        <w:spacing w:line="480" w:lineRule="exact"/>
        <w:ind w:firstLine="500" w:firstLineChars="200"/>
        <w:rPr>
          <w:rFonts w:ascii="宋体" w:hAnsi="宋体" w:cs="宋体"/>
          <w:spacing w:val="5"/>
          <w:sz w:val="24"/>
          <w:szCs w:val="24"/>
        </w:rPr>
      </w:pPr>
      <w:r>
        <w:rPr>
          <w:rFonts w:hint="eastAsia" w:ascii="宋体" w:hAnsi="宋体" w:cs="宋体"/>
          <w:spacing w:val="5"/>
          <w:sz w:val="24"/>
          <w:szCs w:val="24"/>
        </w:rPr>
        <w:t>8.2 电子化响应文件采用一次加密方式。开标时，由供应商使用CA 证书，在规定时间内对其电子化响应文件进行解密。每位供应商的解密时间为开标时间起30分钟内，如在规定时间内未完成解密的，其响应文件不予开标、唱标。</w:t>
      </w:r>
    </w:p>
    <w:p w14:paraId="5D101911">
      <w:pPr>
        <w:widowControl/>
        <w:spacing w:line="480" w:lineRule="exact"/>
        <w:ind w:firstLine="500" w:firstLineChars="200"/>
        <w:rPr>
          <w:rFonts w:ascii="宋体" w:hAnsi="宋体" w:cs="宋体"/>
          <w:spacing w:val="5"/>
          <w:sz w:val="24"/>
          <w:szCs w:val="24"/>
        </w:rPr>
      </w:pPr>
      <w:r>
        <w:rPr>
          <w:rFonts w:hint="eastAsia" w:ascii="宋体" w:hAnsi="宋体" w:cs="宋体"/>
          <w:spacing w:val="5"/>
          <w:sz w:val="24"/>
          <w:szCs w:val="24"/>
        </w:rPr>
        <w:t>8.3 电子化响应文件异常情况的处理</w:t>
      </w:r>
    </w:p>
    <w:p w14:paraId="2BE0C778">
      <w:pPr>
        <w:widowControl/>
        <w:spacing w:line="480" w:lineRule="exact"/>
        <w:ind w:firstLine="500" w:firstLineChars="200"/>
        <w:rPr>
          <w:rFonts w:ascii="宋体" w:hAnsi="宋体" w:cs="宋体"/>
          <w:spacing w:val="5"/>
          <w:sz w:val="24"/>
          <w:szCs w:val="24"/>
        </w:rPr>
      </w:pPr>
      <w:r>
        <w:rPr>
          <w:rFonts w:hint="eastAsia" w:ascii="宋体" w:hAnsi="宋体" w:cs="宋体"/>
          <w:spacing w:val="5"/>
          <w:sz w:val="24"/>
          <w:szCs w:val="24"/>
        </w:rPr>
        <w:t>如出现供应商的电子响应文件无法解密等异常情况，供应商应及时致电中介服务机构说明。响应文件异常，按以下步骤进行处理：</w:t>
      </w:r>
    </w:p>
    <w:p w14:paraId="5554E90E">
      <w:pPr>
        <w:widowControl/>
        <w:spacing w:line="480" w:lineRule="exact"/>
        <w:ind w:firstLine="500" w:firstLineChars="200"/>
        <w:rPr>
          <w:rFonts w:ascii="宋体" w:hAnsi="宋体" w:cs="宋体"/>
          <w:spacing w:val="5"/>
          <w:sz w:val="24"/>
          <w:szCs w:val="24"/>
        </w:rPr>
      </w:pPr>
      <w:r>
        <w:rPr>
          <w:rFonts w:hint="eastAsia" w:ascii="宋体" w:hAnsi="宋体" w:cs="宋体"/>
          <w:spacing w:val="5"/>
          <w:sz w:val="24"/>
          <w:szCs w:val="24"/>
        </w:rPr>
        <w:t>（1）首先由技术人员进行问题排查。</w:t>
      </w:r>
    </w:p>
    <w:p w14:paraId="10FA260F">
      <w:pPr>
        <w:widowControl/>
        <w:spacing w:line="480" w:lineRule="exact"/>
        <w:ind w:firstLine="500" w:firstLineChars="200"/>
        <w:rPr>
          <w:rFonts w:ascii="宋体" w:hAnsi="宋体" w:cs="宋体"/>
          <w:spacing w:val="5"/>
          <w:sz w:val="24"/>
          <w:szCs w:val="24"/>
        </w:rPr>
      </w:pPr>
      <w:r>
        <w:rPr>
          <w:rFonts w:hint="eastAsia" w:ascii="宋体" w:hAnsi="宋体" w:cs="宋体"/>
          <w:spacing w:val="5"/>
          <w:sz w:val="24"/>
          <w:szCs w:val="24"/>
        </w:rPr>
        <w:t>（2）经技术人员排查后，是供应商文件自身问题导致投标文件无法解密的，该响应文件将不予接收、解密和唱标。开标会议继续进行。</w:t>
      </w:r>
    </w:p>
    <w:p w14:paraId="6550444D">
      <w:pPr>
        <w:widowControl/>
        <w:spacing w:line="480" w:lineRule="exact"/>
        <w:ind w:firstLine="500" w:firstLineChars="200"/>
        <w:rPr>
          <w:rFonts w:ascii="宋体" w:hAnsi="宋体" w:cs="宋体"/>
          <w:spacing w:val="5"/>
          <w:sz w:val="24"/>
          <w:szCs w:val="24"/>
        </w:rPr>
      </w:pPr>
      <w:r>
        <w:rPr>
          <w:rFonts w:hint="eastAsia" w:ascii="宋体" w:hAnsi="宋体" w:cs="宋体"/>
          <w:spacing w:val="5"/>
          <w:sz w:val="24"/>
          <w:szCs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359E9A05">
      <w:pPr>
        <w:widowControl/>
        <w:spacing w:line="480" w:lineRule="exact"/>
        <w:ind w:firstLine="500" w:firstLineChars="200"/>
        <w:rPr>
          <w:rFonts w:ascii="宋体" w:hAnsi="宋体" w:cs="宋体"/>
          <w:spacing w:val="5"/>
          <w:sz w:val="24"/>
          <w:szCs w:val="24"/>
        </w:rPr>
      </w:pPr>
      <w:r>
        <w:rPr>
          <w:rFonts w:hint="eastAsia" w:ascii="宋体" w:hAnsi="宋体" w:cs="宋体"/>
          <w:spacing w:val="5"/>
          <w:sz w:val="24"/>
          <w:szCs w:val="24"/>
        </w:rPr>
        <w:t>8.4 待所有供应商响应文件解密完成后，由中介服务机构操作，对所有已解密响应文件进行唱标。供应商应保证在开标期间电话、电脑、网络能够正常工作，供应商因停电、电脑病毒、网络堵塞等原因，未在规定的解密时间内对响应文件进行解密的，其响应文件不予接收、唱标。</w:t>
      </w:r>
    </w:p>
    <w:p w14:paraId="25BAA8B5">
      <w:pPr>
        <w:widowControl/>
        <w:spacing w:line="480" w:lineRule="exact"/>
        <w:ind w:firstLine="500" w:firstLineChars="200"/>
        <w:rPr>
          <w:rFonts w:ascii="宋体" w:hAnsi="宋体" w:cs="宋体"/>
          <w:spacing w:val="5"/>
          <w:sz w:val="24"/>
          <w:szCs w:val="24"/>
        </w:rPr>
      </w:pPr>
      <w:r>
        <w:rPr>
          <w:rFonts w:hint="eastAsia" w:ascii="宋体" w:hAnsi="宋体" w:cs="宋体"/>
          <w:spacing w:val="5"/>
          <w:sz w:val="24"/>
          <w:szCs w:val="24"/>
        </w:rPr>
        <w:t>8.5 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5EE8F91B">
      <w:pPr>
        <w:widowControl/>
        <w:spacing w:line="480" w:lineRule="exact"/>
        <w:ind w:firstLine="500" w:firstLineChars="200"/>
        <w:rPr>
          <w:rFonts w:ascii="宋体" w:hAnsi="宋体" w:cs="宋体"/>
          <w:spacing w:val="5"/>
          <w:sz w:val="24"/>
          <w:szCs w:val="24"/>
        </w:rPr>
      </w:pPr>
      <w:r>
        <w:rPr>
          <w:rFonts w:hint="eastAsia" w:ascii="宋体" w:hAnsi="宋体" w:cs="宋体"/>
          <w:spacing w:val="5"/>
          <w:sz w:val="24"/>
          <w:szCs w:val="24"/>
        </w:rPr>
        <w:t>8.6 评标时，磋商小组对电子化响应文件有质疑的，将通过电子化交易系统对供应商发起质疑，并在监督人员的监督下，用免提模式致电需要答复的供应商进行详细质询。质疑回复内容确认后，供应商的回复文件必须以经过供应商和其法定代表人签章的PDF格式文件为准，并通过电子化交易系统提交至评标委员会。</w:t>
      </w:r>
    </w:p>
    <w:p w14:paraId="5631AD60">
      <w:pPr>
        <w:spacing w:line="480" w:lineRule="exact"/>
        <w:ind w:firstLine="500" w:firstLineChars="200"/>
        <w:contextualSpacing/>
        <w:rPr>
          <w:rFonts w:ascii="宋体" w:hAnsi="宋体" w:cs="宋体"/>
          <w:spacing w:val="5"/>
          <w:sz w:val="24"/>
          <w:szCs w:val="24"/>
        </w:rPr>
      </w:pPr>
      <w:r>
        <w:rPr>
          <w:rFonts w:hint="eastAsia" w:ascii="宋体" w:hAnsi="宋体" w:cs="宋体"/>
          <w:spacing w:val="5"/>
          <w:sz w:val="24"/>
          <w:szCs w:val="24"/>
        </w:rPr>
        <w:t>8.7 如磋商小组对需要回复的供应商连续三次致电未接通的，视为供应商放弃回复，磋商小组将自行对需要回复的内容进行认定。</w:t>
      </w:r>
    </w:p>
    <w:p w14:paraId="1D64E6D8">
      <w:pPr>
        <w:spacing w:line="480" w:lineRule="exact"/>
        <w:ind w:firstLine="482" w:firstLineChars="200"/>
        <w:contextualSpacing/>
        <w:outlineLvl w:val="1"/>
        <w:rPr>
          <w:rFonts w:ascii="宋体" w:hAnsi="宋体" w:cs="宋体"/>
          <w:kern w:val="1"/>
          <w:sz w:val="24"/>
          <w:szCs w:val="24"/>
        </w:rPr>
      </w:pPr>
      <w:bookmarkStart w:id="32" w:name="_Toc11484"/>
      <w:r>
        <w:rPr>
          <w:rFonts w:hint="eastAsia" w:ascii="宋体" w:hAnsi="宋体" w:cs="宋体"/>
          <w:b/>
          <w:kern w:val="1"/>
          <w:sz w:val="24"/>
          <w:szCs w:val="24"/>
        </w:rPr>
        <w:t>9、磋商过程的保密性</w:t>
      </w:r>
      <w:bookmarkEnd w:id="32"/>
    </w:p>
    <w:p w14:paraId="7494D60D">
      <w:pPr>
        <w:spacing w:line="480" w:lineRule="exact"/>
        <w:ind w:firstLine="480" w:firstLineChars="200"/>
        <w:contextualSpacing/>
        <w:rPr>
          <w:rFonts w:ascii="宋体" w:hAnsi="宋体" w:cs="宋体"/>
          <w:kern w:val="1"/>
          <w:sz w:val="24"/>
          <w:szCs w:val="24"/>
        </w:rPr>
      </w:pPr>
      <w:r>
        <w:rPr>
          <w:rFonts w:hint="eastAsia" w:ascii="宋体" w:hAnsi="宋体" w:cs="宋体"/>
          <w:kern w:val="1"/>
          <w:sz w:val="24"/>
          <w:szCs w:val="24"/>
        </w:rPr>
        <w:t>9.1 磋商期间，直到授予成交人合同止，凡是与响应文件审查、澄清、评价、比较以及推荐成交人等方面的情况，均不得向供应商或其他无关的人员透露。</w:t>
      </w:r>
    </w:p>
    <w:p w14:paraId="454D72D0">
      <w:pPr>
        <w:spacing w:line="480" w:lineRule="exact"/>
        <w:ind w:firstLine="480" w:firstLineChars="200"/>
        <w:contextualSpacing/>
        <w:rPr>
          <w:rFonts w:ascii="宋体" w:hAnsi="宋体" w:cs="宋体"/>
          <w:kern w:val="1"/>
          <w:sz w:val="24"/>
          <w:szCs w:val="24"/>
        </w:rPr>
      </w:pPr>
      <w:r>
        <w:rPr>
          <w:rFonts w:hint="eastAsia" w:ascii="宋体" w:hAnsi="宋体" w:cs="宋体"/>
          <w:kern w:val="1"/>
          <w:sz w:val="24"/>
          <w:szCs w:val="24"/>
        </w:rPr>
        <w:t>9.2 在磋商过程中，供应商如向磋商小组成员施加任何影响，都将会导致其磋商被拒绝，政府招标监管部门将记录其不良行为。</w:t>
      </w:r>
    </w:p>
    <w:p w14:paraId="1556BB70">
      <w:pPr>
        <w:spacing w:line="480" w:lineRule="exact"/>
        <w:ind w:firstLine="480" w:firstLineChars="200"/>
        <w:outlineLvl w:val="1"/>
        <w:rPr>
          <w:rFonts w:ascii="宋体" w:hAnsi="宋体" w:cs="宋体"/>
          <w:bCs/>
          <w:sz w:val="24"/>
          <w:szCs w:val="24"/>
        </w:rPr>
      </w:pPr>
      <w:bookmarkStart w:id="33" w:name="_Toc17189"/>
      <w:r>
        <w:rPr>
          <w:rFonts w:hint="eastAsia" w:ascii="宋体" w:hAnsi="宋体" w:cs="宋体"/>
          <w:bCs/>
          <w:sz w:val="24"/>
          <w:szCs w:val="24"/>
        </w:rPr>
        <w:t>10、</w:t>
      </w:r>
      <w:r>
        <w:rPr>
          <w:rFonts w:hint="eastAsia" w:ascii="宋体" w:hAnsi="宋体" w:cs="宋体"/>
          <w:b/>
          <w:bCs/>
          <w:sz w:val="24"/>
          <w:szCs w:val="24"/>
        </w:rPr>
        <w:t>竞争性磋商</w:t>
      </w:r>
      <w:bookmarkEnd w:id="33"/>
    </w:p>
    <w:p w14:paraId="6C12A33A">
      <w:pPr>
        <w:spacing w:line="480" w:lineRule="exact"/>
        <w:ind w:firstLine="480" w:firstLineChars="200"/>
        <w:rPr>
          <w:rFonts w:ascii="宋体" w:hAnsi="宋体" w:cs="宋体"/>
          <w:bCs/>
          <w:sz w:val="24"/>
          <w:szCs w:val="24"/>
        </w:rPr>
      </w:pPr>
      <w:r>
        <w:rPr>
          <w:rFonts w:hint="eastAsia" w:ascii="宋体" w:hAnsi="宋体" w:cs="宋体"/>
          <w:bCs/>
          <w:sz w:val="24"/>
          <w:szCs w:val="24"/>
        </w:rPr>
        <w:t>10.1 采购单位据本项目的特点组成磋商小组，其成员</w:t>
      </w:r>
      <w:r>
        <w:rPr>
          <w:rFonts w:hint="eastAsia" w:ascii="宋体" w:hAnsi="宋体" w:cs="宋体"/>
          <w:sz w:val="24"/>
          <w:szCs w:val="24"/>
        </w:rPr>
        <w:t>由采购人代表及有关技术、经济等方面的专家组成</w:t>
      </w:r>
      <w:r>
        <w:rPr>
          <w:rFonts w:hint="eastAsia" w:ascii="宋体" w:hAnsi="宋体" w:cs="宋体"/>
          <w:bCs/>
          <w:sz w:val="24"/>
          <w:szCs w:val="24"/>
        </w:rPr>
        <w:t>等3人组成</w:t>
      </w:r>
      <w:r>
        <w:rPr>
          <w:rFonts w:hint="eastAsia" w:ascii="宋体" w:hAnsi="宋体" w:cs="宋体"/>
          <w:sz w:val="24"/>
          <w:szCs w:val="24"/>
        </w:rPr>
        <w:t>，其中：采购人代表1人，技术和经济方面专家各1人（技术和经济方面专家从专家库抽取），</w:t>
      </w:r>
      <w:r>
        <w:rPr>
          <w:rFonts w:hint="eastAsia" w:ascii="宋体" w:hAnsi="宋体" w:cs="宋体"/>
          <w:bCs/>
          <w:sz w:val="24"/>
          <w:szCs w:val="24"/>
        </w:rPr>
        <w:t>磋商小组负责对磋商响应文件进行综合评审，推荐2名或3名成交候选人。</w:t>
      </w:r>
    </w:p>
    <w:p w14:paraId="38C57D3C">
      <w:pPr>
        <w:spacing w:line="480" w:lineRule="exact"/>
        <w:ind w:firstLine="480" w:firstLineChars="200"/>
        <w:rPr>
          <w:rFonts w:ascii="宋体" w:hAnsi="宋体" w:cs="宋体"/>
          <w:bCs/>
          <w:sz w:val="24"/>
          <w:szCs w:val="24"/>
        </w:rPr>
      </w:pPr>
      <w:r>
        <w:rPr>
          <w:rFonts w:hint="eastAsia" w:ascii="宋体" w:hAnsi="宋体" w:cs="宋体"/>
          <w:bCs/>
          <w:sz w:val="24"/>
          <w:szCs w:val="24"/>
        </w:rPr>
        <w:t>10.2 磋商小组制定磋商文件或确认磋商文件符合政府招标政策规定，整个磋商过程将严格按照 “公开、公平、公正”的原则进行。</w:t>
      </w:r>
    </w:p>
    <w:p w14:paraId="4CD335E5">
      <w:pPr>
        <w:spacing w:line="480" w:lineRule="exact"/>
        <w:ind w:firstLine="480" w:firstLineChars="200"/>
        <w:rPr>
          <w:rFonts w:ascii="宋体" w:hAnsi="宋体" w:cs="宋体"/>
          <w:bCs/>
          <w:sz w:val="24"/>
          <w:szCs w:val="24"/>
        </w:rPr>
      </w:pPr>
      <w:r>
        <w:rPr>
          <w:rFonts w:hint="eastAsia" w:ascii="宋体" w:hAnsi="宋体" w:cs="宋体"/>
          <w:bCs/>
          <w:sz w:val="24"/>
          <w:szCs w:val="24"/>
        </w:rPr>
        <w:t>10.3 磋商小组推荐2名或3名成交候选人。</w:t>
      </w:r>
    </w:p>
    <w:p w14:paraId="06EFD9CE">
      <w:pPr>
        <w:spacing w:line="480" w:lineRule="exact"/>
        <w:ind w:firstLine="480" w:firstLineChars="200"/>
        <w:rPr>
          <w:rFonts w:ascii="宋体" w:hAnsi="宋体" w:cs="宋体"/>
          <w:bCs/>
          <w:sz w:val="24"/>
          <w:szCs w:val="24"/>
        </w:rPr>
      </w:pPr>
      <w:r>
        <w:rPr>
          <w:rFonts w:hint="eastAsia" w:ascii="宋体" w:hAnsi="宋体" w:cs="宋体"/>
          <w:bCs/>
          <w:sz w:val="24"/>
          <w:szCs w:val="24"/>
        </w:rPr>
        <w:t>10.4 磋商小组首先要对各供应商的资格性、递交的响应文件的响应性进行审阅，以判定各供应商资格、响应文件的有效性，审阅结束后，要确定进入最终报价磋商阶段的供应商名单；</w:t>
      </w:r>
    </w:p>
    <w:p w14:paraId="1C17610A">
      <w:pPr>
        <w:spacing w:line="480" w:lineRule="exact"/>
        <w:ind w:firstLine="480" w:firstLineChars="200"/>
        <w:rPr>
          <w:rFonts w:ascii="宋体" w:hAnsi="宋体" w:cs="宋体"/>
          <w:bCs/>
          <w:sz w:val="24"/>
          <w:szCs w:val="24"/>
        </w:rPr>
      </w:pPr>
      <w:r>
        <w:rPr>
          <w:rFonts w:hint="eastAsia" w:ascii="宋体" w:hAnsi="宋体" w:cs="宋体"/>
          <w:bCs/>
          <w:sz w:val="24"/>
          <w:szCs w:val="24"/>
        </w:rPr>
        <w:t>10.4.1在初审阶段，属于下列情况的响应文件将不得进入磋商阶段：</w:t>
      </w:r>
    </w:p>
    <w:p w14:paraId="0A823F30">
      <w:pPr>
        <w:spacing w:line="480" w:lineRule="exact"/>
        <w:ind w:firstLine="480" w:firstLineChars="200"/>
        <w:rPr>
          <w:rFonts w:ascii="宋体" w:hAnsi="宋体" w:cs="宋体"/>
          <w:bCs/>
          <w:sz w:val="24"/>
          <w:szCs w:val="24"/>
        </w:rPr>
      </w:pPr>
      <w:r>
        <w:rPr>
          <w:rFonts w:hint="eastAsia" w:ascii="宋体" w:hAnsi="宋体" w:cs="宋体"/>
          <w:bCs/>
          <w:sz w:val="24"/>
          <w:szCs w:val="24"/>
        </w:rPr>
        <w:t>（1）供应商在生成电子化响应文件后，应对电子化响应文件进行签章，未进行</w:t>
      </w:r>
    </w:p>
    <w:p w14:paraId="31F0065E">
      <w:pPr>
        <w:spacing w:line="480" w:lineRule="exact"/>
        <w:ind w:firstLine="480" w:firstLineChars="200"/>
        <w:rPr>
          <w:rFonts w:ascii="宋体" w:hAnsi="宋体" w:cs="宋体"/>
          <w:bCs/>
          <w:sz w:val="24"/>
          <w:szCs w:val="24"/>
        </w:rPr>
      </w:pPr>
      <w:r>
        <w:rPr>
          <w:rFonts w:hint="eastAsia" w:ascii="宋体" w:hAnsi="宋体" w:cs="宋体"/>
          <w:bCs/>
          <w:sz w:val="24"/>
          <w:szCs w:val="24"/>
        </w:rPr>
        <w:t>签章的视为无效投标。</w:t>
      </w:r>
    </w:p>
    <w:p w14:paraId="59A77436">
      <w:pPr>
        <w:spacing w:line="480" w:lineRule="exact"/>
        <w:ind w:firstLine="480" w:firstLineChars="200"/>
        <w:rPr>
          <w:rFonts w:ascii="宋体" w:hAnsi="宋体" w:cs="宋体"/>
          <w:bCs/>
          <w:sz w:val="24"/>
          <w:szCs w:val="24"/>
        </w:rPr>
      </w:pPr>
      <w:r>
        <w:rPr>
          <w:rFonts w:hint="eastAsia" w:ascii="宋体" w:hAnsi="宋体" w:cs="宋体"/>
          <w:bCs/>
          <w:sz w:val="24"/>
          <w:szCs w:val="24"/>
        </w:rPr>
        <w:t>（2）响应文件中有采购人不能接受的其它条件；</w:t>
      </w:r>
    </w:p>
    <w:p w14:paraId="43125B40">
      <w:pPr>
        <w:spacing w:line="480" w:lineRule="exact"/>
        <w:ind w:firstLine="480" w:firstLineChars="200"/>
        <w:rPr>
          <w:rFonts w:ascii="宋体" w:hAnsi="宋体" w:cs="宋体"/>
          <w:bCs/>
          <w:sz w:val="24"/>
          <w:szCs w:val="24"/>
        </w:rPr>
      </w:pPr>
      <w:r>
        <w:rPr>
          <w:rFonts w:hint="eastAsia" w:ascii="宋体" w:hAnsi="宋体" w:cs="宋体"/>
          <w:bCs/>
          <w:sz w:val="24"/>
          <w:szCs w:val="24"/>
        </w:rPr>
        <w:t>（3）资格不合格的供应商。</w:t>
      </w:r>
    </w:p>
    <w:p w14:paraId="4FE70FC1">
      <w:pPr>
        <w:spacing w:line="480" w:lineRule="exact"/>
        <w:ind w:firstLine="480" w:firstLineChars="200"/>
        <w:rPr>
          <w:rFonts w:ascii="宋体" w:hAnsi="宋体" w:cs="宋体"/>
          <w:bCs/>
          <w:sz w:val="24"/>
          <w:szCs w:val="24"/>
        </w:rPr>
      </w:pPr>
      <w:r>
        <w:rPr>
          <w:rFonts w:hint="eastAsia" w:ascii="宋体" w:hAnsi="宋体" w:cs="宋体"/>
          <w:bCs/>
          <w:sz w:val="24"/>
          <w:szCs w:val="24"/>
        </w:rPr>
        <w:t>10.4.2在初审阶段,响应文件出现以下情况之一者，属于重大偏差，为未能对磋商文件作出实质性响应，作废标处理：</w:t>
      </w:r>
    </w:p>
    <w:p w14:paraId="573DFB4E">
      <w:pPr>
        <w:spacing w:line="480" w:lineRule="exact"/>
        <w:ind w:firstLine="480" w:firstLineChars="200"/>
        <w:rPr>
          <w:rFonts w:ascii="宋体" w:hAnsi="宋体" w:cs="宋体"/>
          <w:bCs/>
          <w:sz w:val="24"/>
          <w:szCs w:val="24"/>
        </w:rPr>
      </w:pPr>
      <w:r>
        <w:rPr>
          <w:rFonts w:hint="eastAsia" w:ascii="宋体" w:hAnsi="宋体" w:cs="宋体"/>
          <w:bCs/>
          <w:sz w:val="24"/>
          <w:szCs w:val="24"/>
        </w:rPr>
        <w:t>（1）响应文件未按规定的格式填写、内容不全的；</w:t>
      </w:r>
    </w:p>
    <w:p w14:paraId="49D3A2A0">
      <w:pPr>
        <w:spacing w:line="480" w:lineRule="exact"/>
        <w:ind w:firstLine="480" w:firstLineChars="200"/>
        <w:rPr>
          <w:rFonts w:ascii="宋体" w:hAnsi="宋体" w:cs="宋体"/>
          <w:bCs/>
          <w:sz w:val="24"/>
          <w:szCs w:val="24"/>
        </w:rPr>
      </w:pPr>
      <w:r>
        <w:rPr>
          <w:rFonts w:hint="eastAsia" w:ascii="宋体" w:hAnsi="宋体" w:cs="宋体"/>
          <w:bCs/>
          <w:sz w:val="24"/>
          <w:szCs w:val="24"/>
        </w:rPr>
        <w:t>（2）响应文件中无报价、无服务周期、无质量等达不到磋商文件要求的；</w:t>
      </w:r>
    </w:p>
    <w:p w14:paraId="6B6E3268">
      <w:pPr>
        <w:spacing w:line="480" w:lineRule="exact"/>
        <w:ind w:firstLine="480" w:firstLineChars="200"/>
        <w:rPr>
          <w:rFonts w:ascii="宋体" w:hAnsi="宋体" w:cs="宋体"/>
          <w:bCs/>
          <w:sz w:val="24"/>
          <w:szCs w:val="24"/>
        </w:rPr>
      </w:pPr>
      <w:r>
        <w:rPr>
          <w:rFonts w:hint="eastAsia" w:ascii="宋体" w:hAnsi="宋体" w:cs="宋体"/>
          <w:bCs/>
          <w:sz w:val="24"/>
          <w:szCs w:val="24"/>
        </w:rPr>
        <w:t>（3）响应文件有保留或合同条款有采购人不可接受条件；</w:t>
      </w:r>
    </w:p>
    <w:p w14:paraId="5579B01B">
      <w:pPr>
        <w:spacing w:line="480" w:lineRule="exact"/>
        <w:ind w:firstLine="480" w:firstLineChars="200"/>
        <w:rPr>
          <w:rFonts w:ascii="宋体" w:hAnsi="宋体" w:cs="宋体"/>
          <w:bCs/>
          <w:sz w:val="24"/>
          <w:szCs w:val="24"/>
        </w:rPr>
      </w:pPr>
      <w:r>
        <w:rPr>
          <w:rFonts w:hint="eastAsia" w:ascii="宋体" w:hAnsi="宋体" w:cs="宋体"/>
          <w:bCs/>
          <w:sz w:val="24"/>
          <w:szCs w:val="24"/>
        </w:rPr>
        <w:t>（4）资格证明文件不全，或不满足磋商文件规定的供应商资质要求的；</w:t>
      </w:r>
    </w:p>
    <w:p w14:paraId="73CA1413">
      <w:pPr>
        <w:spacing w:line="480" w:lineRule="exact"/>
        <w:ind w:firstLine="480" w:firstLineChars="200"/>
        <w:rPr>
          <w:rFonts w:ascii="宋体" w:hAnsi="宋体" w:cs="宋体"/>
          <w:bCs/>
          <w:sz w:val="24"/>
          <w:szCs w:val="24"/>
        </w:rPr>
      </w:pPr>
      <w:r>
        <w:rPr>
          <w:rFonts w:hint="eastAsia" w:ascii="宋体" w:hAnsi="宋体" w:cs="宋体"/>
          <w:bCs/>
          <w:sz w:val="24"/>
          <w:szCs w:val="24"/>
        </w:rPr>
        <w:t>10.4.3详细磋商：</w:t>
      </w:r>
    </w:p>
    <w:p w14:paraId="5116F4CD">
      <w:pPr>
        <w:spacing w:line="480" w:lineRule="exact"/>
        <w:ind w:firstLine="480" w:firstLineChars="200"/>
        <w:rPr>
          <w:rFonts w:ascii="宋体" w:hAnsi="宋体" w:cs="宋体"/>
          <w:bCs/>
          <w:sz w:val="24"/>
          <w:szCs w:val="24"/>
        </w:rPr>
      </w:pPr>
      <w:r>
        <w:rPr>
          <w:rFonts w:hint="eastAsia" w:ascii="宋体" w:hAnsi="宋体" w:cs="宋体"/>
          <w:bCs/>
          <w:sz w:val="24"/>
          <w:szCs w:val="24"/>
        </w:rPr>
        <w:t>（1）磋商小组首先要对各供应商的资格性、递交的响应文件的符合性进行审阅，以判定各供应商资格、响应文件的有效性，审阅结束后，要确定进入最终报价磋商阶段的供应商名单；</w:t>
      </w:r>
    </w:p>
    <w:p w14:paraId="39E42951">
      <w:pPr>
        <w:spacing w:line="480" w:lineRule="exact"/>
        <w:ind w:firstLine="480" w:firstLineChars="200"/>
        <w:rPr>
          <w:rFonts w:ascii="宋体" w:hAnsi="宋体" w:cs="宋体"/>
          <w:bCs/>
          <w:sz w:val="24"/>
          <w:szCs w:val="24"/>
        </w:rPr>
      </w:pPr>
      <w:r>
        <w:rPr>
          <w:rFonts w:hint="eastAsia" w:ascii="宋体" w:hAnsi="宋体" w:cs="宋体"/>
          <w:bCs/>
          <w:sz w:val="24"/>
          <w:szCs w:val="24"/>
        </w:rPr>
        <w:t>（2）磋商小组集中与单一供应商分别进行磋商。在磋商中，磋商双方可以就磋商项目所涉及的价格、技术、服务等进行实质性磋商，但磋商的任何一方不得透露与磋商有关的其他供应商的商业秘密、技术资料、价格和其他信息，不得变动磋商文件中的其他内容。</w:t>
      </w:r>
    </w:p>
    <w:p w14:paraId="68FB3086">
      <w:pPr>
        <w:spacing w:line="480" w:lineRule="exact"/>
        <w:ind w:firstLine="480" w:firstLineChars="200"/>
        <w:rPr>
          <w:rFonts w:ascii="宋体" w:hAnsi="宋体" w:cs="宋体"/>
          <w:bCs/>
          <w:sz w:val="24"/>
          <w:szCs w:val="24"/>
        </w:rPr>
      </w:pPr>
      <w:r>
        <w:rPr>
          <w:rFonts w:hint="eastAsia" w:ascii="宋体" w:hAnsi="宋体" w:cs="宋体"/>
          <w:bCs/>
          <w:sz w:val="24"/>
          <w:szCs w:val="24"/>
        </w:rPr>
        <w:t>（3）磋商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FE9199D">
      <w:pPr>
        <w:spacing w:line="480" w:lineRule="exact"/>
        <w:ind w:firstLine="480" w:firstLineChars="200"/>
        <w:rPr>
          <w:rFonts w:ascii="宋体" w:hAnsi="宋体" w:cs="宋体"/>
          <w:bCs/>
          <w:sz w:val="24"/>
          <w:szCs w:val="24"/>
        </w:rPr>
      </w:pPr>
      <w:r>
        <w:rPr>
          <w:rFonts w:hint="eastAsia" w:ascii="宋体" w:hAnsi="宋体" w:cs="宋体"/>
          <w:bCs/>
          <w:sz w:val="24"/>
          <w:szCs w:val="24"/>
        </w:rPr>
        <w:t>（4）磋商小组要求供应商澄清、说明或者更正响应文件应当在系统内作出。</w:t>
      </w:r>
    </w:p>
    <w:p w14:paraId="1FB71FEC">
      <w:pPr>
        <w:spacing w:line="480" w:lineRule="exact"/>
        <w:ind w:firstLine="480" w:firstLineChars="200"/>
        <w:rPr>
          <w:rFonts w:ascii="宋体" w:hAnsi="宋体" w:cs="宋体"/>
          <w:bCs/>
          <w:sz w:val="24"/>
          <w:szCs w:val="24"/>
        </w:rPr>
      </w:pPr>
      <w:r>
        <w:rPr>
          <w:rFonts w:hint="eastAsia" w:ascii="宋体" w:hAnsi="宋体" w:cs="宋体"/>
          <w:bCs/>
          <w:sz w:val="24"/>
          <w:szCs w:val="24"/>
        </w:rPr>
        <w:t>（5）在磋商过程中，磋商小组可以根据磋商文件和磋商情况实质性变动磋商需求中的技术、服务要求以及合同草案条款，但不得变动磋商文件中的其他内容。实质性变动的内容，须经采购人代表确认。对磋商文件作出的实质性变动是磋商文件的有效组成部分，磋商小组应当在系统内通知所有参加磋商的供应商。</w:t>
      </w:r>
    </w:p>
    <w:p w14:paraId="2D2B0B25">
      <w:pPr>
        <w:spacing w:line="480" w:lineRule="exact"/>
        <w:ind w:firstLine="480" w:firstLineChars="200"/>
        <w:rPr>
          <w:rFonts w:ascii="宋体" w:hAnsi="宋体" w:cs="宋体"/>
          <w:bCs/>
          <w:sz w:val="24"/>
          <w:szCs w:val="24"/>
        </w:rPr>
      </w:pPr>
      <w:r>
        <w:rPr>
          <w:rFonts w:hint="eastAsia" w:ascii="宋体" w:hAnsi="宋体" w:cs="宋体"/>
          <w:bCs/>
          <w:sz w:val="24"/>
          <w:szCs w:val="24"/>
        </w:rPr>
        <w:t>（6）磋商文件不能详细列明招标标的的技术、服务要求，需经磋商由供应商提供最终设计方案或解决方案的，磋商结束后，磋商小组应当按照少数服从多数的原则投票推荐2家或以上供应商的设计方案或者解决方案，并要求其在规定时间内提交最后报价。</w:t>
      </w:r>
    </w:p>
    <w:p w14:paraId="3CCC18CD">
      <w:pPr>
        <w:spacing w:line="480" w:lineRule="exact"/>
        <w:ind w:firstLine="480" w:firstLineChars="200"/>
        <w:rPr>
          <w:rFonts w:ascii="宋体" w:hAnsi="宋体" w:cs="宋体"/>
          <w:bCs/>
          <w:sz w:val="24"/>
          <w:szCs w:val="24"/>
        </w:rPr>
      </w:pPr>
      <w:r>
        <w:rPr>
          <w:rFonts w:hint="eastAsia" w:ascii="宋体" w:hAnsi="宋体" w:cs="宋体"/>
          <w:bCs/>
          <w:sz w:val="24"/>
          <w:szCs w:val="24"/>
        </w:rPr>
        <w:t>（7）磋商文件能够详细列明招标标的的技术、服务要求的，磋商结束后，磋商小组应当要求所有继续参加磋商的供应商在规定的时间内提交最后报价。</w:t>
      </w:r>
    </w:p>
    <w:p w14:paraId="7A7B73C1">
      <w:pPr>
        <w:spacing w:line="480" w:lineRule="exact"/>
        <w:ind w:firstLine="480" w:firstLineChars="200"/>
        <w:rPr>
          <w:rFonts w:ascii="宋体" w:hAnsi="宋体" w:cs="宋体"/>
          <w:bCs/>
          <w:sz w:val="24"/>
          <w:szCs w:val="24"/>
        </w:rPr>
      </w:pPr>
      <w:r>
        <w:rPr>
          <w:rFonts w:hint="eastAsia" w:ascii="宋体" w:hAnsi="宋体" w:cs="宋体"/>
          <w:bCs/>
          <w:sz w:val="24"/>
          <w:szCs w:val="24"/>
        </w:rPr>
        <w:t>10.4.4磋商报价</w:t>
      </w:r>
    </w:p>
    <w:p w14:paraId="60760138">
      <w:pPr>
        <w:spacing w:line="480" w:lineRule="exact"/>
        <w:ind w:firstLine="482" w:firstLineChars="200"/>
        <w:rPr>
          <w:rFonts w:ascii="宋体" w:hAnsi="宋体" w:cs="宋体"/>
          <w:b/>
          <w:bCs/>
          <w:sz w:val="24"/>
          <w:szCs w:val="24"/>
        </w:rPr>
      </w:pPr>
      <w:r>
        <w:rPr>
          <w:rFonts w:hint="eastAsia" w:ascii="宋体" w:hAnsi="宋体" w:cs="宋体"/>
          <w:b/>
          <w:bCs/>
          <w:sz w:val="24"/>
          <w:szCs w:val="24"/>
        </w:rPr>
        <w:t>（1）磋商报价采用人民币报价。</w:t>
      </w:r>
    </w:p>
    <w:p w14:paraId="6C6AF7D6">
      <w:pPr>
        <w:spacing w:line="480" w:lineRule="exact"/>
        <w:ind w:firstLine="482" w:firstLineChars="200"/>
        <w:rPr>
          <w:rFonts w:ascii="宋体" w:hAnsi="宋体" w:cs="宋体"/>
          <w:b/>
          <w:bCs/>
          <w:sz w:val="24"/>
          <w:szCs w:val="24"/>
        </w:rPr>
      </w:pPr>
      <w:r>
        <w:rPr>
          <w:rFonts w:hint="eastAsia" w:ascii="宋体" w:hAnsi="宋体" w:cs="宋体"/>
          <w:b/>
          <w:bCs/>
          <w:sz w:val="24"/>
          <w:szCs w:val="24"/>
        </w:rPr>
        <w:t>（2）本次竞争性磋商分为两轮报价。供应商响应性文件中的报价作为第一次报价，不得高于项目预算金额且不公开；第二轮报价不得高于第一轮报价, 参与评标报价以最终报价为准。</w:t>
      </w:r>
    </w:p>
    <w:p w14:paraId="3C65ACC5">
      <w:pPr>
        <w:spacing w:line="480" w:lineRule="exact"/>
        <w:ind w:firstLine="480" w:firstLineChars="200"/>
        <w:rPr>
          <w:rFonts w:ascii="宋体" w:hAnsi="宋体" w:cs="宋体"/>
          <w:bCs/>
          <w:sz w:val="24"/>
          <w:szCs w:val="24"/>
        </w:rPr>
      </w:pPr>
      <w:r>
        <w:rPr>
          <w:rFonts w:hint="eastAsia" w:ascii="宋体" w:hAnsi="宋体" w:cs="宋体"/>
          <w:bCs/>
          <w:sz w:val="24"/>
          <w:szCs w:val="24"/>
        </w:rPr>
        <w:t>（3）磋商报价计量采用中华人民共和国法定的基本计量单位。供应商根据采购人提供的本项目采购清单、答疑纪要、磋商文件及补充答疑文件进行磋商报价。</w:t>
      </w:r>
    </w:p>
    <w:p w14:paraId="08D0A0D3">
      <w:pPr>
        <w:spacing w:line="480" w:lineRule="exact"/>
        <w:ind w:firstLine="480" w:firstLineChars="200"/>
        <w:rPr>
          <w:rFonts w:ascii="宋体" w:hAnsi="宋体" w:cs="宋体"/>
          <w:bCs/>
          <w:sz w:val="24"/>
          <w:szCs w:val="24"/>
        </w:rPr>
      </w:pPr>
      <w:r>
        <w:rPr>
          <w:rFonts w:hint="eastAsia" w:ascii="宋体" w:hAnsi="宋体" w:cs="宋体"/>
          <w:bCs/>
          <w:sz w:val="24"/>
          <w:szCs w:val="24"/>
        </w:rPr>
        <w:t>（4）磋商报价为供应商在响应性文件中提出的各项支付金额的总和，报价应是目的地交货价，含</w:t>
      </w:r>
      <w:r>
        <w:rPr>
          <w:rFonts w:hint="eastAsia" w:ascii="宋体" w:hAnsi="宋体" w:cs="宋体"/>
          <w:color w:val="000000"/>
          <w:sz w:val="24"/>
          <w:szCs w:val="24"/>
        </w:rPr>
        <w:t>报价、服务、税费、售后服务等综合费用及交付使用过程中涉及到的一切费用</w:t>
      </w:r>
      <w:r>
        <w:rPr>
          <w:rFonts w:hint="eastAsia" w:ascii="宋体" w:hAnsi="宋体" w:cs="宋体"/>
          <w:bCs/>
          <w:sz w:val="24"/>
          <w:szCs w:val="24"/>
        </w:rPr>
        <w:t>，成交后不予调整。</w:t>
      </w:r>
    </w:p>
    <w:p w14:paraId="1480F131">
      <w:pPr>
        <w:spacing w:line="480" w:lineRule="exact"/>
        <w:ind w:firstLine="480" w:firstLineChars="200"/>
        <w:rPr>
          <w:rFonts w:ascii="宋体" w:hAnsi="宋体" w:cs="宋体"/>
          <w:bCs/>
          <w:sz w:val="24"/>
          <w:szCs w:val="24"/>
        </w:rPr>
      </w:pPr>
      <w:r>
        <w:rPr>
          <w:rFonts w:hint="eastAsia" w:ascii="宋体" w:hAnsi="宋体" w:cs="宋体"/>
          <w:bCs/>
          <w:sz w:val="24"/>
          <w:szCs w:val="24"/>
        </w:rPr>
        <w:t>（5）经磋商小组确定最终采购需求和提交最终报价的供应商后，由磋商小组采用综合评分法对提交最终报价的供应商的响应文件和最终报价进行综合评分。</w:t>
      </w:r>
    </w:p>
    <w:p w14:paraId="5AD24C85">
      <w:pPr>
        <w:spacing w:line="480" w:lineRule="exact"/>
        <w:ind w:firstLine="480" w:firstLineChars="200"/>
        <w:rPr>
          <w:rFonts w:ascii="宋体" w:hAnsi="宋体" w:cs="宋体"/>
          <w:bCs/>
          <w:sz w:val="24"/>
          <w:szCs w:val="24"/>
        </w:rPr>
      </w:pPr>
      <w:r>
        <w:rPr>
          <w:rFonts w:hint="eastAsia" w:ascii="宋体" w:hAnsi="宋体" w:cs="宋体"/>
          <w:bCs/>
          <w:sz w:val="24"/>
          <w:szCs w:val="24"/>
        </w:rPr>
        <w:t>10.4.5成交原则</w:t>
      </w:r>
    </w:p>
    <w:p w14:paraId="0D9A15A0">
      <w:pPr>
        <w:spacing w:line="480" w:lineRule="exact"/>
        <w:ind w:firstLine="480" w:firstLineChars="200"/>
        <w:rPr>
          <w:rFonts w:ascii="宋体" w:hAnsi="宋体" w:cs="宋体"/>
          <w:bCs/>
          <w:sz w:val="24"/>
          <w:szCs w:val="24"/>
        </w:rPr>
      </w:pPr>
      <w:r>
        <w:rPr>
          <w:rFonts w:hint="eastAsia" w:ascii="宋体" w:hAnsi="宋体" w:cs="宋体"/>
          <w:bCs/>
          <w:sz w:val="24"/>
          <w:szCs w:val="24"/>
        </w:rPr>
        <w:t>磋商小组根据综合评分情况，按照评审得分由高到低顺序推荐2名或3名供应商，并编写评审报告并在报告上签字。评审得分相同的，按照最后报价由低到高的顺序推荐。评审得分且最后报价相同的，按照技术指标优劣顺序推荐。</w:t>
      </w:r>
    </w:p>
    <w:p w14:paraId="47A40641">
      <w:pPr>
        <w:spacing w:line="480" w:lineRule="exact"/>
        <w:ind w:firstLine="480" w:firstLineChars="200"/>
        <w:rPr>
          <w:rFonts w:ascii="宋体" w:hAnsi="宋体" w:cs="宋体"/>
          <w:bCs/>
          <w:sz w:val="24"/>
          <w:szCs w:val="24"/>
        </w:rPr>
      </w:pPr>
      <w:r>
        <w:rPr>
          <w:rFonts w:hint="eastAsia" w:ascii="宋体" w:hAnsi="宋体" w:cs="宋体"/>
          <w:bCs/>
          <w:sz w:val="24"/>
          <w:szCs w:val="24"/>
        </w:rPr>
        <w:t>10.4.6评审报告</w:t>
      </w:r>
    </w:p>
    <w:p w14:paraId="51DFC868">
      <w:pPr>
        <w:spacing w:line="480" w:lineRule="exact"/>
        <w:ind w:firstLine="480" w:firstLineChars="200"/>
        <w:rPr>
          <w:rFonts w:ascii="宋体" w:hAnsi="宋体" w:cs="宋体"/>
          <w:bCs/>
          <w:sz w:val="24"/>
          <w:szCs w:val="24"/>
        </w:rPr>
      </w:pPr>
      <w:r>
        <w:rPr>
          <w:rFonts w:hint="eastAsia" w:ascii="宋体" w:hAnsi="宋体" w:cs="宋体"/>
          <w:bCs/>
          <w:sz w:val="24"/>
          <w:szCs w:val="24"/>
        </w:rPr>
        <w:t>磋商小组应当根据评审记录和评审结果编写评审报告，其主要内容包括：</w:t>
      </w:r>
    </w:p>
    <w:p w14:paraId="698FFED8">
      <w:pPr>
        <w:spacing w:line="480" w:lineRule="exact"/>
        <w:ind w:firstLine="480" w:firstLineChars="200"/>
        <w:rPr>
          <w:rFonts w:ascii="宋体" w:hAnsi="宋体" w:cs="宋体"/>
          <w:bCs/>
          <w:sz w:val="24"/>
          <w:szCs w:val="24"/>
        </w:rPr>
      </w:pPr>
      <w:r>
        <w:rPr>
          <w:rFonts w:hint="eastAsia" w:ascii="宋体" w:hAnsi="宋体" w:cs="宋体"/>
          <w:bCs/>
          <w:sz w:val="24"/>
          <w:szCs w:val="24"/>
        </w:rPr>
        <w:t>（1）招标活动的具体方式和相关情况，以及参加招标活动的投标人名单；</w:t>
      </w:r>
    </w:p>
    <w:p w14:paraId="339AFBE7">
      <w:pPr>
        <w:spacing w:line="480" w:lineRule="exact"/>
        <w:ind w:firstLine="480" w:firstLineChars="200"/>
        <w:rPr>
          <w:rFonts w:ascii="宋体" w:hAnsi="宋体" w:cs="宋体"/>
          <w:bCs/>
          <w:sz w:val="24"/>
          <w:szCs w:val="24"/>
        </w:rPr>
      </w:pPr>
      <w:r>
        <w:rPr>
          <w:rFonts w:hint="eastAsia" w:ascii="宋体" w:hAnsi="宋体" w:cs="宋体"/>
          <w:bCs/>
          <w:sz w:val="24"/>
          <w:szCs w:val="24"/>
        </w:rPr>
        <w:t>（2）评审日期和地点，磋商小组成员名单；</w:t>
      </w:r>
    </w:p>
    <w:p w14:paraId="1630BB10">
      <w:pPr>
        <w:spacing w:line="480" w:lineRule="exact"/>
        <w:ind w:firstLine="480" w:firstLineChars="200"/>
        <w:rPr>
          <w:rFonts w:ascii="宋体" w:hAnsi="宋体" w:cs="宋体"/>
          <w:bCs/>
          <w:sz w:val="24"/>
          <w:szCs w:val="24"/>
        </w:rPr>
      </w:pPr>
      <w:r>
        <w:rPr>
          <w:rFonts w:hint="eastAsia" w:ascii="宋体" w:hAnsi="宋体" w:cs="宋体"/>
          <w:bCs/>
          <w:sz w:val="24"/>
          <w:szCs w:val="24"/>
        </w:rPr>
        <w:t>（3）评审情况记录和说明，包括对供应商的资格审查情况、响应文件评审情况、磋商情况、报价情况等；</w:t>
      </w:r>
    </w:p>
    <w:p w14:paraId="3CA5B41C">
      <w:pPr>
        <w:spacing w:line="480" w:lineRule="exact"/>
        <w:ind w:firstLine="480" w:firstLineChars="200"/>
        <w:rPr>
          <w:rFonts w:ascii="宋体" w:hAnsi="宋体" w:cs="宋体"/>
          <w:bCs/>
          <w:sz w:val="24"/>
          <w:szCs w:val="24"/>
        </w:rPr>
      </w:pPr>
      <w:r>
        <w:rPr>
          <w:rFonts w:hint="eastAsia" w:ascii="宋体" w:hAnsi="宋体" w:cs="宋体"/>
          <w:bCs/>
          <w:sz w:val="24"/>
          <w:szCs w:val="24"/>
        </w:rPr>
        <w:t>（4）提出的成交候选人的名单及理由。</w:t>
      </w:r>
    </w:p>
    <w:p w14:paraId="31E4762E">
      <w:pPr>
        <w:spacing w:line="480" w:lineRule="exact"/>
        <w:ind w:firstLine="480" w:firstLineChars="200"/>
        <w:rPr>
          <w:rFonts w:ascii="宋体" w:hAnsi="宋体" w:cs="宋体"/>
          <w:sz w:val="24"/>
          <w:szCs w:val="24"/>
        </w:rPr>
      </w:pPr>
      <w:r>
        <w:rPr>
          <w:rFonts w:hint="eastAsia" w:ascii="宋体" w:hAnsi="宋体" w:cs="宋体"/>
          <w:bCs/>
          <w:sz w:val="24"/>
          <w:szCs w:val="24"/>
        </w:rPr>
        <w:t>评审报告应当由磋商小组全体人员签字认可。磋商小组成员对评审报告有异议的，磋商小组按照少数服从多数的原则推荐成交候选人，招标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F8DA475">
      <w:pPr>
        <w:spacing w:line="480" w:lineRule="exact"/>
        <w:ind w:firstLine="482" w:firstLineChars="200"/>
        <w:outlineLvl w:val="1"/>
        <w:rPr>
          <w:rFonts w:ascii="宋体" w:hAnsi="宋体" w:cs="宋体"/>
          <w:b/>
          <w:bCs/>
          <w:sz w:val="24"/>
          <w:szCs w:val="24"/>
        </w:rPr>
      </w:pPr>
      <w:bookmarkStart w:id="34" w:name="_Toc15185"/>
      <w:r>
        <w:rPr>
          <w:rFonts w:hint="eastAsia" w:ascii="宋体" w:hAnsi="宋体" w:cs="宋体"/>
          <w:b/>
          <w:bCs/>
          <w:sz w:val="24"/>
          <w:szCs w:val="24"/>
        </w:rPr>
        <w:t>11、响应性文件的提交</w:t>
      </w:r>
      <w:bookmarkEnd w:id="34"/>
      <w:r>
        <w:rPr>
          <w:rFonts w:hint="eastAsia" w:ascii="宋体" w:hAnsi="宋体" w:cs="宋体"/>
          <w:b/>
          <w:bCs/>
          <w:sz w:val="24"/>
          <w:szCs w:val="24"/>
        </w:rPr>
        <w:t xml:space="preserve"> </w:t>
      </w:r>
    </w:p>
    <w:p w14:paraId="79A5EAED">
      <w:pPr>
        <w:spacing w:line="480" w:lineRule="exact"/>
        <w:ind w:firstLine="456" w:firstLineChars="200"/>
        <w:rPr>
          <w:rFonts w:ascii="宋体" w:hAnsi="宋体" w:cs="宋体"/>
          <w:spacing w:val="-6"/>
          <w:sz w:val="24"/>
          <w:szCs w:val="24"/>
        </w:rPr>
      </w:pPr>
      <w:r>
        <w:rPr>
          <w:rFonts w:hint="eastAsia" w:ascii="宋体" w:hAnsi="宋体" w:cs="宋体"/>
          <w:spacing w:val="-6"/>
          <w:sz w:val="24"/>
          <w:szCs w:val="24"/>
        </w:rPr>
        <w:t>响应性文件递交截止时间见供应商须知前附表。</w:t>
      </w:r>
    </w:p>
    <w:p w14:paraId="1677C457">
      <w:pPr>
        <w:spacing w:line="480" w:lineRule="exact"/>
        <w:ind w:firstLine="456" w:firstLineChars="200"/>
        <w:rPr>
          <w:rFonts w:ascii="宋体" w:hAnsi="宋体" w:cs="宋体"/>
          <w:spacing w:val="-6"/>
          <w:sz w:val="24"/>
          <w:szCs w:val="24"/>
        </w:rPr>
      </w:pPr>
      <w:r>
        <w:rPr>
          <w:rFonts w:hint="eastAsia" w:ascii="宋体" w:hAnsi="宋体" w:cs="宋体"/>
          <w:spacing w:val="-6"/>
          <w:sz w:val="24"/>
          <w:szCs w:val="24"/>
        </w:rPr>
        <w:t>响应性文件递交地点见供应商须知前附表。</w:t>
      </w:r>
    </w:p>
    <w:p w14:paraId="75A09999">
      <w:pPr>
        <w:spacing w:line="480" w:lineRule="exact"/>
        <w:ind w:firstLine="482" w:firstLineChars="200"/>
        <w:outlineLvl w:val="1"/>
        <w:rPr>
          <w:rFonts w:ascii="宋体" w:hAnsi="宋体" w:cs="宋体"/>
          <w:sz w:val="24"/>
          <w:szCs w:val="24"/>
        </w:rPr>
      </w:pPr>
      <w:bookmarkStart w:id="35" w:name="_Toc102"/>
      <w:r>
        <w:rPr>
          <w:rFonts w:hint="eastAsia" w:ascii="宋体" w:hAnsi="宋体" w:cs="宋体"/>
          <w:b/>
          <w:bCs/>
          <w:sz w:val="24"/>
          <w:szCs w:val="24"/>
        </w:rPr>
        <w:t>12、</w:t>
      </w:r>
      <w:r>
        <w:rPr>
          <w:rFonts w:hint="eastAsia" w:ascii="宋体" w:hAnsi="宋体" w:cs="宋体"/>
          <w:b/>
          <w:sz w:val="24"/>
          <w:szCs w:val="24"/>
        </w:rPr>
        <w:t>终止竞争性磋商采购活动</w:t>
      </w:r>
      <w:bookmarkEnd w:id="35"/>
    </w:p>
    <w:p w14:paraId="1243FEEC">
      <w:pPr>
        <w:spacing w:line="480" w:lineRule="exact"/>
        <w:ind w:firstLine="480" w:firstLineChars="200"/>
        <w:rPr>
          <w:rFonts w:ascii="宋体" w:hAnsi="宋体" w:cs="宋体"/>
          <w:sz w:val="24"/>
          <w:szCs w:val="24"/>
        </w:rPr>
      </w:pPr>
      <w:r>
        <w:rPr>
          <w:rFonts w:hint="eastAsia" w:ascii="宋体" w:hAnsi="宋体" w:cs="宋体"/>
          <w:sz w:val="24"/>
          <w:szCs w:val="24"/>
        </w:rPr>
        <w:t>出现下列情形之一的，采购人或者招标代理机构应当终止竞争性磋商采购活动，发布项目终止公告并说明原因，重新开展采购活动：</w:t>
      </w:r>
    </w:p>
    <w:p w14:paraId="011F0234">
      <w:pPr>
        <w:spacing w:line="480" w:lineRule="exact"/>
        <w:ind w:firstLine="480" w:firstLineChars="200"/>
        <w:rPr>
          <w:rFonts w:ascii="宋体" w:hAnsi="宋体" w:cs="宋体"/>
          <w:sz w:val="24"/>
          <w:szCs w:val="24"/>
        </w:rPr>
      </w:pPr>
      <w:r>
        <w:rPr>
          <w:rFonts w:hint="eastAsia" w:ascii="宋体" w:hAnsi="宋体" w:cs="宋体"/>
          <w:sz w:val="24"/>
          <w:szCs w:val="24"/>
        </w:rPr>
        <w:t>（1）因情况变化，不再符合规定的竞争性磋商采购方式适用情形的；</w:t>
      </w:r>
    </w:p>
    <w:p w14:paraId="4488F26A">
      <w:pPr>
        <w:spacing w:line="480" w:lineRule="exact"/>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14:paraId="50DD04C8">
      <w:pPr>
        <w:spacing w:line="480" w:lineRule="exact"/>
        <w:ind w:firstLine="480" w:firstLineChars="200"/>
        <w:rPr>
          <w:rFonts w:ascii="宋体" w:hAnsi="宋体" w:cs="宋体"/>
          <w:sz w:val="24"/>
          <w:szCs w:val="24"/>
        </w:rPr>
      </w:pPr>
      <w:r>
        <w:rPr>
          <w:rFonts w:hint="eastAsia" w:ascii="宋体" w:hAnsi="宋体" w:cs="宋体"/>
          <w:sz w:val="24"/>
          <w:szCs w:val="24"/>
        </w:rPr>
        <w:t>（3）在磋商过程中符合竞争要求的供应商或者报价未超过招标预算的供应商不足2家的，但货物和服务项目技术复杂或者性质特殊，不能确定详细规格或者具体要求的情形除外。</w:t>
      </w:r>
    </w:p>
    <w:p w14:paraId="5AE6FC4F">
      <w:pPr>
        <w:spacing w:line="480" w:lineRule="exact"/>
        <w:ind w:firstLine="482" w:firstLineChars="200"/>
        <w:outlineLvl w:val="1"/>
        <w:rPr>
          <w:rFonts w:ascii="宋体" w:hAnsi="宋体" w:cs="宋体"/>
          <w:b/>
          <w:sz w:val="24"/>
          <w:szCs w:val="24"/>
        </w:rPr>
      </w:pPr>
      <w:bookmarkStart w:id="36" w:name="_Toc19534"/>
      <w:r>
        <w:rPr>
          <w:rFonts w:hint="eastAsia" w:ascii="宋体" w:hAnsi="宋体" w:cs="宋体"/>
          <w:b/>
          <w:sz w:val="24"/>
          <w:szCs w:val="24"/>
        </w:rPr>
        <w:t>13、确定成交人</w:t>
      </w:r>
      <w:bookmarkEnd w:id="36"/>
    </w:p>
    <w:p w14:paraId="2087B0B1">
      <w:pPr>
        <w:spacing w:line="480" w:lineRule="exact"/>
        <w:ind w:firstLine="480" w:firstLineChars="200"/>
        <w:rPr>
          <w:rFonts w:ascii="宋体" w:hAnsi="宋体" w:cs="宋体"/>
          <w:sz w:val="24"/>
          <w:szCs w:val="24"/>
        </w:rPr>
      </w:pPr>
      <w:r>
        <w:rPr>
          <w:rFonts w:hint="eastAsia" w:ascii="宋体" w:hAnsi="宋体" w:cs="宋体"/>
          <w:sz w:val="24"/>
          <w:szCs w:val="24"/>
        </w:rPr>
        <w:t>13.1 招标代理机构应当在磋商结束后2个工作日内将评审报告送采购人。采购人应当在收到评审报告后5个工作日内，按照磋商评审报告中推荐的成交候选人顺序确定成交人，并将结果发布网上。</w:t>
      </w:r>
    </w:p>
    <w:p w14:paraId="4A287CBE">
      <w:pPr>
        <w:spacing w:line="480" w:lineRule="exact"/>
        <w:ind w:firstLine="480" w:firstLineChars="200"/>
        <w:rPr>
          <w:rFonts w:ascii="宋体" w:hAnsi="宋体" w:cs="宋体"/>
          <w:bCs/>
          <w:sz w:val="24"/>
          <w:szCs w:val="24"/>
        </w:rPr>
      </w:pPr>
      <w:r>
        <w:rPr>
          <w:rFonts w:hint="eastAsia" w:ascii="宋体" w:hAnsi="宋体" w:cs="宋体"/>
          <w:sz w:val="24"/>
          <w:szCs w:val="24"/>
        </w:rPr>
        <w:t>13.2 采购人也可以授权磋商小组直接确定成交供应商。磋商小组直接确定成交供应商的应在磋商文件中写明。</w:t>
      </w:r>
    </w:p>
    <w:p w14:paraId="7B8B1224">
      <w:pPr>
        <w:spacing w:line="480" w:lineRule="exact"/>
        <w:ind w:firstLine="482" w:firstLineChars="200"/>
        <w:contextualSpacing/>
        <w:outlineLvl w:val="1"/>
        <w:rPr>
          <w:rFonts w:ascii="宋体" w:hAnsi="宋体" w:cs="宋体"/>
          <w:kern w:val="1"/>
          <w:sz w:val="24"/>
          <w:szCs w:val="24"/>
        </w:rPr>
      </w:pPr>
      <w:bookmarkStart w:id="37" w:name="_Toc27472"/>
      <w:r>
        <w:rPr>
          <w:rFonts w:hint="eastAsia" w:ascii="宋体" w:hAnsi="宋体" w:cs="宋体"/>
          <w:b/>
          <w:sz w:val="24"/>
          <w:szCs w:val="24"/>
        </w:rPr>
        <w:t>14、</w:t>
      </w:r>
      <w:r>
        <w:rPr>
          <w:rFonts w:hint="eastAsia" w:ascii="宋体" w:hAnsi="宋体" w:cs="宋体"/>
          <w:b/>
          <w:kern w:val="1"/>
          <w:sz w:val="24"/>
          <w:szCs w:val="24"/>
        </w:rPr>
        <w:t>成交结果公告</w:t>
      </w:r>
      <w:bookmarkEnd w:id="37"/>
    </w:p>
    <w:p w14:paraId="39C0B584">
      <w:pPr>
        <w:spacing w:line="480" w:lineRule="exact"/>
        <w:ind w:firstLine="480" w:firstLineChars="200"/>
        <w:contextualSpacing/>
        <w:rPr>
          <w:rFonts w:ascii="宋体" w:hAnsi="宋体" w:cs="宋体"/>
          <w:kern w:val="1"/>
          <w:sz w:val="24"/>
          <w:szCs w:val="24"/>
        </w:rPr>
      </w:pPr>
      <w:r>
        <w:rPr>
          <w:rFonts w:hint="eastAsia" w:ascii="宋体" w:hAnsi="宋体" w:cs="宋体"/>
          <w:kern w:val="1"/>
          <w:sz w:val="24"/>
          <w:szCs w:val="24"/>
        </w:rPr>
        <w:t>14.1 采购人应当在成交人确定后2个工作日内，在公告发布的同一媒介上发布成交结果，同时向成交供应商发出成交通知书，并将磋商文件随成交结果同时公告，公告期限1个工作日。</w:t>
      </w:r>
    </w:p>
    <w:p w14:paraId="76B3E77F">
      <w:pPr>
        <w:spacing w:line="480" w:lineRule="exact"/>
        <w:ind w:firstLine="480" w:firstLineChars="200"/>
        <w:rPr>
          <w:rFonts w:ascii="宋体" w:hAnsi="宋体" w:cs="宋体"/>
          <w:sz w:val="24"/>
          <w:szCs w:val="24"/>
        </w:rPr>
      </w:pPr>
      <w:bookmarkStart w:id="38" w:name="_Toc454788042"/>
      <w:bookmarkEnd w:id="38"/>
      <w:r>
        <w:rPr>
          <w:rFonts w:hint="eastAsia" w:ascii="宋体" w:hAnsi="宋体" w:cs="宋体"/>
          <w:kern w:val="1"/>
          <w:sz w:val="24"/>
          <w:szCs w:val="24"/>
        </w:rPr>
        <w:t>14.2 成交结果公告内容应当包括采购人和招标代理机构的名称、地址、联系方式，项目名称和项目编号，成交人名称、地址和成交金额，主要成交标的的名称、规格型号、数量、单价、服务要求或标的的基本概况以及磋商小组名单。</w:t>
      </w:r>
    </w:p>
    <w:p w14:paraId="2A7109F6">
      <w:pPr>
        <w:spacing w:line="480" w:lineRule="exact"/>
        <w:ind w:firstLine="482" w:firstLineChars="200"/>
        <w:contextualSpacing/>
        <w:outlineLvl w:val="1"/>
        <w:rPr>
          <w:rFonts w:ascii="宋体" w:hAnsi="宋体" w:cs="宋体"/>
          <w:kern w:val="1"/>
          <w:sz w:val="24"/>
          <w:szCs w:val="24"/>
        </w:rPr>
      </w:pPr>
      <w:bookmarkStart w:id="39" w:name="_Toc18826"/>
      <w:r>
        <w:rPr>
          <w:rFonts w:hint="eastAsia" w:ascii="宋体" w:hAnsi="宋体" w:cs="宋体"/>
          <w:b/>
          <w:sz w:val="24"/>
          <w:szCs w:val="24"/>
        </w:rPr>
        <w:t>15、</w:t>
      </w:r>
      <w:r>
        <w:rPr>
          <w:rFonts w:hint="eastAsia" w:ascii="宋体" w:hAnsi="宋体" w:cs="宋体"/>
          <w:b/>
          <w:kern w:val="1"/>
          <w:sz w:val="24"/>
          <w:szCs w:val="24"/>
        </w:rPr>
        <w:t>合同授予</w:t>
      </w:r>
      <w:bookmarkEnd w:id="39"/>
    </w:p>
    <w:p w14:paraId="35B81E53">
      <w:pPr>
        <w:spacing w:line="480" w:lineRule="exact"/>
        <w:ind w:firstLine="480" w:firstLineChars="200"/>
        <w:contextualSpacing/>
        <w:rPr>
          <w:rFonts w:ascii="宋体" w:hAnsi="宋体" w:cs="宋体"/>
          <w:kern w:val="1"/>
          <w:sz w:val="24"/>
          <w:szCs w:val="24"/>
        </w:rPr>
      </w:pPr>
      <w:r>
        <w:rPr>
          <w:rFonts w:hint="eastAsia" w:ascii="宋体" w:hAnsi="宋体" w:cs="宋体"/>
          <w:kern w:val="1"/>
          <w:sz w:val="24"/>
          <w:szCs w:val="24"/>
        </w:rPr>
        <w:t>15.1 成交结果公示的同时，采购人以书面形式向成交人发出成交通知书。</w:t>
      </w:r>
    </w:p>
    <w:p w14:paraId="509BDDBB">
      <w:pPr>
        <w:spacing w:line="480" w:lineRule="exact"/>
        <w:ind w:firstLine="480" w:firstLineChars="200"/>
        <w:contextualSpacing/>
        <w:rPr>
          <w:rFonts w:ascii="宋体" w:hAnsi="宋体" w:cs="宋体"/>
          <w:kern w:val="1"/>
          <w:sz w:val="24"/>
          <w:szCs w:val="24"/>
        </w:rPr>
      </w:pPr>
      <w:bookmarkStart w:id="40" w:name="_Toc463011501"/>
      <w:bookmarkEnd w:id="40"/>
      <w:bookmarkStart w:id="41" w:name="_Toc511897557"/>
      <w:bookmarkEnd w:id="41"/>
      <w:bookmarkStart w:id="42" w:name="_Toc530663944"/>
      <w:bookmarkEnd w:id="42"/>
      <w:bookmarkStart w:id="43" w:name="_Toc530665447"/>
      <w:bookmarkEnd w:id="43"/>
      <w:bookmarkStart w:id="44" w:name="_Toc530664100"/>
      <w:bookmarkEnd w:id="44"/>
      <w:bookmarkStart w:id="45" w:name="_Toc269470335"/>
      <w:bookmarkEnd w:id="45"/>
      <w:bookmarkStart w:id="46" w:name="_Toc455678262"/>
      <w:bookmarkEnd w:id="46"/>
      <w:bookmarkStart w:id="47" w:name="_Toc511663240"/>
      <w:bookmarkEnd w:id="47"/>
      <w:bookmarkStart w:id="48" w:name="_Toc531936136"/>
      <w:bookmarkEnd w:id="48"/>
      <w:r>
        <w:rPr>
          <w:rFonts w:hint="eastAsia" w:ascii="宋体" w:hAnsi="宋体" w:cs="宋体"/>
          <w:kern w:val="1"/>
          <w:sz w:val="24"/>
          <w:szCs w:val="24"/>
        </w:rPr>
        <w:t>15.2 供应商的最后一轮报价为成交价，成交价即为合同价。</w:t>
      </w:r>
    </w:p>
    <w:p w14:paraId="30E6A1E2">
      <w:pPr>
        <w:spacing w:line="480" w:lineRule="exact"/>
        <w:ind w:firstLine="480" w:firstLineChars="200"/>
        <w:contextualSpacing/>
        <w:rPr>
          <w:rFonts w:ascii="宋体" w:hAnsi="宋体" w:cs="宋体"/>
          <w:kern w:val="1"/>
          <w:sz w:val="24"/>
          <w:szCs w:val="24"/>
        </w:rPr>
      </w:pPr>
      <w:bookmarkStart w:id="49" w:name="_Toc531936137"/>
      <w:bookmarkEnd w:id="49"/>
      <w:bookmarkStart w:id="50" w:name="_Toc530663945"/>
      <w:bookmarkEnd w:id="50"/>
      <w:bookmarkStart w:id="51" w:name="_Toc463011502"/>
      <w:bookmarkEnd w:id="51"/>
      <w:bookmarkStart w:id="52" w:name="_Toc530665448"/>
      <w:bookmarkEnd w:id="52"/>
      <w:bookmarkStart w:id="53" w:name="_Toc455678263"/>
      <w:bookmarkEnd w:id="53"/>
      <w:bookmarkStart w:id="54" w:name="_Toc511663241"/>
      <w:bookmarkEnd w:id="54"/>
      <w:bookmarkStart w:id="55" w:name="_Toc511897558"/>
      <w:bookmarkEnd w:id="55"/>
      <w:bookmarkStart w:id="56" w:name="_Toc530664101"/>
      <w:bookmarkEnd w:id="56"/>
      <w:r>
        <w:rPr>
          <w:rFonts w:hint="eastAsia" w:ascii="宋体" w:hAnsi="宋体" w:cs="宋体"/>
          <w:kern w:val="1"/>
          <w:sz w:val="24"/>
          <w:szCs w:val="24"/>
        </w:rPr>
        <w:t>15.3 采购人和成交人应当自成交通知书发出之日起15天内，根据竞争性磋商文件、供应商的响应性文件及在磋商过程中对响应性文件作出的澄清、解释订立书面合同。供应商无正当理由拒签合同的，采购人取消其成交资格，并追究其违约责任。在此情况下，采购人可将合同授予排名次髙的供应商。</w:t>
      </w:r>
    </w:p>
    <w:p w14:paraId="27C3DA27">
      <w:pPr>
        <w:spacing w:line="480" w:lineRule="exact"/>
        <w:ind w:firstLine="480" w:firstLineChars="200"/>
        <w:rPr>
          <w:rFonts w:ascii="宋体" w:hAnsi="宋体" w:cs="宋体"/>
          <w:sz w:val="24"/>
          <w:szCs w:val="24"/>
        </w:rPr>
      </w:pPr>
      <w:r>
        <w:rPr>
          <w:rFonts w:hint="eastAsia" w:ascii="宋体" w:hAnsi="宋体" w:cs="宋体"/>
          <w:kern w:val="1"/>
          <w:sz w:val="24"/>
          <w:szCs w:val="24"/>
        </w:rPr>
        <w:t>15.4 在签订合同过程中，如发现成交供应商以他人名义磋商或者以其他方式弄虚作假，骗取成交的，采购人有权取消其成交资格。</w:t>
      </w:r>
    </w:p>
    <w:p w14:paraId="76DC0320">
      <w:pPr>
        <w:spacing w:line="480" w:lineRule="exact"/>
        <w:ind w:firstLine="482" w:firstLineChars="200"/>
        <w:contextualSpacing/>
        <w:outlineLvl w:val="1"/>
        <w:rPr>
          <w:rFonts w:ascii="宋体" w:hAnsi="宋体" w:cs="宋体"/>
          <w:kern w:val="1"/>
          <w:sz w:val="24"/>
          <w:szCs w:val="24"/>
        </w:rPr>
      </w:pPr>
      <w:bookmarkStart w:id="57" w:name="_Toc29384"/>
      <w:r>
        <w:rPr>
          <w:rFonts w:hint="eastAsia" w:ascii="宋体" w:hAnsi="宋体" w:cs="宋体"/>
          <w:b/>
          <w:bCs/>
          <w:sz w:val="24"/>
          <w:szCs w:val="24"/>
        </w:rPr>
        <w:t>16、</w:t>
      </w:r>
      <w:r>
        <w:rPr>
          <w:rFonts w:hint="eastAsia" w:ascii="宋体" w:hAnsi="宋体" w:cs="宋体"/>
          <w:b/>
          <w:kern w:val="1"/>
          <w:sz w:val="24"/>
          <w:szCs w:val="24"/>
        </w:rPr>
        <w:t>履约保证金</w:t>
      </w:r>
      <w:bookmarkEnd w:id="57"/>
    </w:p>
    <w:p w14:paraId="6CF9F37E">
      <w:pPr>
        <w:spacing w:line="480" w:lineRule="exact"/>
        <w:ind w:firstLine="480" w:firstLineChars="200"/>
        <w:rPr>
          <w:rFonts w:ascii="宋体" w:hAnsi="宋体" w:cs="宋体"/>
          <w:kern w:val="1"/>
          <w:sz w:val="24"/>
          <w:szCs w:val="24"/>
        </w:rPr>
      </w:pPr>
      <w:bookmarkStart w:id="58" w:name="_Toc463011504"/>
      <w:bookmarkEnd w:id="58"/>
      <w:bookmarkStart w:id="59" w:name="_Toc455678265"/>
      <w:bookmarkEnd w:id="59"/>
      <w:r>
        <w:rPr>
          <w:rFonts w:hint="eastAsia" w:ascii="宋体" w:hAnsi="宋体" w:cs="宋体"/>
          <w:kern w:val="1"/>
          <w:sz w:val="24"/>
          <w:szCs w:val="24"/>
        </w:rPr>
        <w:t>本项目不收取履约保证金。</w:t>
      </w:r>
    </w:p>
    <w:p w14:paraId="006F4840">
      <w:pPr>
        <w:spacing w:line="480" w:lineRule="exact"/>
        <w:ind w:firstLine="482" w:firstLineChars="200"/>
        <w:outlineLvl w:val="1"/>
        <w:rPr>
          <w:rFonts w:ascii="宋体" w:hAnsi="宋体" w:cs="宋体"/>
          <w:b/>
          <w:bCs/>
          <w:sz w:val="24"/>
          <w:szCs w:val="24"/>
        </w:rPr>
      </w:pPr>
      <w:bookmarkStart w:id="60" w:name="_Toc2621"/>
      <w:r>
        <w:rPr>
          <w:rFonts w:hint="eastAsia" w:ascii="宋体" w:hAnsi="宋体" w:cs="宋体"/>
          <w:b/>
          <w:bCs/>
          <w:sz w:val="24"/>
          <w:szCs w:val="24"/>
        </w:rPr>
        <w:t>17、合同授予</w:t>
      </w:r>
      <w:bookmarkEnd w:id="60"/>
    </w:p>
    <w:p w14:paraId="21CD7048">
      <w:pPr>
        <w:spacing w:line="480" w:lineRule="exact"/>
        <w:ind w:firstLine="480" w:firstLineChars="200"/>
        <w:rPr>
          <w:rFonts w:ascii="宋体" w:hAnsi="宋体" w:cs="宋体"/>
          <w:sz w:val="24"/>
          <w:szCs w:val="24"/>
        </w:rPr>
      </w:pPr>
      <w:r>
        <w:rPr>
          <w:rFonts w:hint="eastAsia" w:ascii="宋体" w:hAnsi="宋体" w:cs="宋体"/>
          <w:sz w:val="24"/>
          <w:szCs w:val="24"/>
        </w:rPr>
        <w:t>17.1 成交供应商在收到成交通知书应与采购人签订承包合同。</w:t>
      </w:r>
    </w:p>
    <w:p w14:paraId="637709B2">
      <w:pPr>
        <w:spacing w:line="480" w:lineRule="exact"/>
        <w:ind w:firstLine="480" w:firstLineChars="200"/>
        <w:rPr>
          <w:rFonts w:ascii="宋体" w:hAnsi="宋体" w:cs="宋体"/>
          <w:sz w:val="24"/>
          <w:szCs w:val="24"/>
        </w:rPr>
      </w:pPr>
      <w:r>
        <w:rPr>
          <w:rFonts w:hint="eastAsia" w:ascii="宋体" w:hAnsi="宋体" w:cs="宋体"/>
          <w:sz w:val="24"/>
          <w:szCs w:val="24"/>
        </w:rPr>
        <w:t>竞争性磋商文件成交供应商的响应性文件及其相关澄清、补遗文件等，均为签订合同的依据。</w:t>
      </w:r>
    </w:p>
    <w:p w14:paraId="62EFB565">
      <w:pPr>
        <w:spacing w:line="480" w:lineRule="exact"/>
        <w:ind w:firstLine="480" w:firstLineChars="200"/>
        <w:rPr>
          <w:rFonts w:ascii="宋体" w:hAnsi="宋体" w:cs="宋体"/>
          <w:sz w:val="24"/>
          <w:szCs w:val="24"/>
        </w:rPr>
      </w:pPr>
      <w:r>
        <w:rPr>
          <w:rFonts w:hint="eastAsia" w:ascii="宋体" w:hAnsi="宋体" w:cs="宋体"/>
          <w:sz w:val="24"/>
          <w:szCs w:val="24"/>
        </w:rPr>
        <w:t>17.2 成交供应商如未能按竞争性磋商文件要求，在规定限期内与采购人签订合同，无论何种原因招标方将取消其成交资格、撤销其成交通知书，并没收其磋商保证金。在此情况下，采购人可将合同授予排名次髙的供应商。</w:t>
      </w:r>
    </w:p>
    <w:p w14:paraId="478DB931">
      <w:pPr>
        <w:spacing w:line="480" w:lineRule="exact"/>
        <w:ind w:firstLine="480" w:firstLineChars="200"/>
        <w:rPr>
          <w:rFonts w:ascii="宋体" w:hAnsi="宋体" w:cs="宋体"/>
          <w:sz w:val="24"/>
          <w:szCs w:val="24"/>
        </w:rPr>
      </w:pPr>
      <w:r>
        <w:rPr>
          <w:rFonts w:hint="eastAsia" w:ascii="宋体" w:hAnsi="宋体" w:cs="宋体"/>
          <w:sz w:val="24"/>
          <w:szCs w:val="24"/>
        </w:rPr>
        <w:t>17.3 在签订合同过程中，如发现成交供应商以他人名义磋商或者以其他方式弄虚作假，骗取成交的，采购人有权取消其成交资格。</w:t>
      </w:r>
    </w:p>
    <w:p w14:paraId="581304A2">
      <w:pPr>
        <w:spacing w:line="480" w:lineRule="exact"/>
        <w:ind w:firstLine="482" w:firstLineChars="200"/>
        <w:contextualSpacing/>
        <w:outlineLvl w:val="1"/>
        <w:rPr>
          <w:rFonts w:ascii="宋体" w:hAnsi="宋体" w:cs="宋体"/>
          <w:kern w:val="1"/>
          <w:sz w:val="24"/>
          <w:szCs w:val="24"/>
        </w:rPr>
      </w:pPr>
      <w:bookmarkStart w:id="61" w:name="_Toc11649"/>
      <w:r>
        <w:rPr>
          <w:rFonts w:hint="eastAsia" w:ascii="宋体" w:hAnsi="宋体" w:cs="宋体"/>
          <w:b/>
          <w:bCs/>
          <w:sz w:val="24"/>
          <w:szCs w:val="24"/>
        </w:rPr>
        <w:t>18、</w:t>
      </w:r>
      <w:r>
        <w:rPr>
          <w:rFonts w:hint="eastAsia" w:ascii="宋体" w:hAnsi="宋体" w:cs="宋体"/>
          <w:b/>
          <w:kern w:val="1"/>
          <w:sz w:val="24"/>
          <w:szCs w:val="24"/>
        </w:rPr>
        <w:t>纪律和监督</w:t>
      </w:r>
      <w:bookmarkEnd w:id="61"/>
      <w:bookmarkStart w:id="62" w:name="_Toc277149399"/>
      <w:bookmarkEnd w:id="62"/>
      <w:bookmarkStart w:id="63" w:name="_Toc530665454"/>
      <w:bookmarkEnd w:id="63"/>
      <w:bookmarkStart w:id="64" w:name="_Toc511663247"/>
      <w:bookmarkEnd w:id="64"/>
      <w:bookmarkStart w:id="65" w:name="_Toc428276606"/>
      <w:bookmarkEnd w:id="65"/>
      <w:bookmarkStart w:id="66" w:name="_Toc530664107"/>
      <w:bookmarkEnd w:id="66"/>
      <w:bookmarkStart w:id="67" w:name="_Toc455678274"/>
      <w:bookmarkEnd w:id="67"/>
      <w:bookmarkStart w:id="68" w:name="_Toc511897564"/>
      <w:bookmarkEnd w:id="68"/>
      <w:bookmarkStart w:id="69" w:name="_Toc269470339"/>
      <w:bookmarkEnd w:id="69"/>
      <w:bookmarkStart w:id="70" w:name="_Toc463011513"/>
      <w:bookmarkEnd w:id="70"/>
      <w:bookmarkStart w:id="71" w:name="_Toc531936143"/>
      <w:bookmarkEnd w:id="71"/>
      <w:bookmarkStart w:id="72" w:name="_Toc530663951"/>
      <w:bookmarkEnd w:id="72"/>
      <w:bookmarkStart w:id="73" w:name="_Toc270604838"/>
      <w:bookmarkEnd w:id="73"/>
      <w:bookmarkStart w:id="74" w:name="_Toc454788293"/>
      <w:bookmarkEnd w:id="74"/>
      <w:bookmarkStart w:id="75" w:name="_Toc270604611"/>
      <w:bookmarkEnd w:id="75"/>
    </w:p>
    <w:p w14:paraId="2CB5DADC">
      <w:pPr>
        <w:pStyle w:val="9"/>
        <w:tabs>
          <w:tab w:val="left" w:pos="540"/>
        </w:tabs>
        <w:spacing w:line="480" w:lineRule="exact"/>
        <w:ind w:firstLine="480" w:firstLineChars="200"/>
        <w:jc w:val="both"/>
        <w:outlineLvl w:val="1"/>
        <w:rPr>
          <w:rFonts w:hAnsi="宋体"/>
          <w:color w:val="auto"/>
          <w:kern w:val="2"/>
        </w:rPr>
      </w:pPr>
      <w:bookmarkStart w:id="76" w:name="_Toc23868"/>
      <w:bookmarkStart w:id="77" w:name="_Toc22486"/>
      <w:bookmarkStart w:id="78" w:name="_Toc23882"/>
      <w:bookmarkStart w:id="79" w:name="_Toc50397315"/>
      <w:bookmarkStart w:id="80" w:name="_Toc50397855"/>
      <w:bookmarkStart w:id="81" w:name="_Toc514402140"/>
      <w:bookmarkStart w:id="82" w:name="_Toc4248302"/>
      <w:bookmarkStart w:id="83" w:name="_Toc3206130"/>
      <w:bookmarkStart w:id="84" w:name="_Toc22717750"/>
      <w:bookmarkStart w:id="85" w:name="_Toc27652"/>
      <w:bookmarkStart w:id="86" w:name="_Toc528250057"/>
      <w:bookmarkStart w:id="87" w:name="_Toc13802"/>
      <w:bookmarkStart w:id="88" w:name="_Toc521486763"/>
      <w:bookmarkStart w:id="89" w:name="_Toc19521"/>
      <w:bookmarkStart w:id="90" w:name="_Toc526682544"/>
      <w:bookmarkStart w:id="91" w:name="_Toc17415"/>
      <w:bookmarkStart w:id="92" w:name="_Toc521488919"/>
      <w:bookmarkStart w:id="93" w:name="_Toc21437473"/>
      <w:bookmarkStart w:id="94" w:name="_Toc530142110"/>
      <w:bookmarkStart w:id="95" w:name="_Toc515378707"/>
      <w:bookmarkStart w:id="96" w:name="_Toc521488759"/>
      <w:bookmarkStart w:id="97" w:name="_Toc521488519"/>
      <w:r>
        <w:rPr>
          <w:rFonts w:hint="eastAsia" w:hAnsi="宋体"/>
          <w:color w:val="auto"/>
          <w:kern w:val="2"/>
        </w:rPr>
        <w:t>18.1 对采购人的纪律要求</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125BF174">
      <w:pPr>
        <w:pStyle w:val="9"/>
        <w:tabs>
          <w:tab w:val="left" w:pos="540"/>
        </w:tabs>
        <w:spacing w:line="480" w:lineRule="exact"/>
        <w:ind w:firstLine="480" w:firstLineChars="200"/>
        <w:jc w:val="both"/>
        <w:outlineLvl w:val="1"/>
        <w:rPr>
          <w:rFonts w:hAnsi="宋体"/>
        </w:rPr>
      </w:pPr>
      <w:bookmarkStart w:id="98" w:name="_Toc50397316"/>
      <w:bookmarkStart w:id="99" w:name="_Toc50397856"/>
      <w:bookmarkStart w:id="100" w:name="_Toc530142111"/>
      <w:bookmarkStart w:id="101" w:name="_Toc15908"/>
      <w:bookmarkStart w:id="102" w:name="_Toc22717751"/>
      <w:bookmarkStart w:id="103" w:name="_Toc21437474"/>
      <w:bookmarkStart w:id="104" w:name="_Toc3206131"/>
      <w:bookmarkStart w:id="105" w:name="_Toc4248303"/>
      <w:bookmarkStart w:id="106" w:name="_Toc27053"/>
      <w:r>
        <w:rPr>
          <w:rFonts w:hint="eastAsia" w:hAnsi="宋体"/>
          <w:color w:val="auto"/>
          <w:kern w:val="2"/>
        </w:rPr>
        <w:t>采购人不得泄漏竞争性</w:t>
      </w:r>
      <w:r>
        <w:rPr>
          <w:rFonts w:hint="eastAsia" w:hAnsi="宋体"/>
        </w:rPr>
        <w:t>磋商中应当保密的情况和资料，不得与供应商串通损害国家利益、社会公共利益或者他人合法权益。</w:t>
      </w:r>
      <w:bookmarkEnd w:id="98"/>
      <w:bookmarkEnd w:id="99"/>
      <w:bookmarkEnd w:id="100"/>
      <w:bookmarkEnd w:id="101"/>
      <w:bookmarkEnd w:id="102"/>
      <w:bookmarkEnd w:id="103"/>
      <w:bookmarkEnd w:id="104"/>
      <w:bookmarkEnd w:id="105"/>
      <w:bookmarkEnd w:id="106"/>
    </w:p>
    <w:p w14:paraId="691A0B7A">
      <w:pPr>
        <w:pStyle w:val="9"/>
        <w:tabs>
          <w:tab w:val="left" w:pos="540"/>
        </w:tabs>
        <w:spacing w:line="480" w:lineRule="exact"/>
        <w:ind w:firstLine="480" w:firstLineChars="200"/>
        <w:jc w:val="both"/>
        <w:outlineLvl w:val="1"/>
        <w:rPr>
          <w:rFonts w:hAnsi="宋体"/>
          <w:color w:val="auto"/>
        </w:rPr>
      </w:pPr>
      <w:bookmarkStart w:id="107" w:name="_Toc428276607"/>
      <w:bookmarkStart w:id="108" w:name="_Toc463011514"/>
      <w:bookmarkStart w:id="109" w:name="_Toc521486764"/>
      <w:bookmarkStart w:id="110" w:name="_Toc21437475"/>
      <w:bookmarkStart w:id="111" w:name="_Toc5793"/>
      <w:bookmarkStart w:id="112" w:name="_Toc4248304"/>
      <w:bookmarkStart w:id="113" w:name="_Toc526682545"/>
      <w:bookmarkStart w:id="114" w:name="_Toc270604612"/>
      <w:bookmarkStart w:id="115" w:name="_Toc454788294"/>
      <w:bookmarkStart w:id="116" w:name="_Toc511897565"/>
      <w:bookmarkStart w:id="117" w:name="_Toc50397317"/>
      <w:bookmarkStart w:id="118" w:name="_Toc269470340"/>
      <w:bookmarkStart w:id="119" w:name="_Toc515378708"/>
      <w:bookmarkStart w:id="120" w:name="_Toc511663248"/>
      <w:bookmarkStart w:id="121" w:name="_Toc3206132"/>
      <w:bookmarkStart w:id="122" w:name="_Toc50397857"/>
      <w:bookmarkStart w:id="123" w:name="_Toc530142112"/>
      <w:bookmarkStart w:id="124" w:name="_Toc488"/>
      <w:bookmarkStart w:id="125" w:name="_Toc21776"/>
      <w:bookmarkStart w:id="126" w:name="_Toc3096"/>
      <w:bookmarkStart w:id="127" w:name="_Toc521488520"/>
      <w:bookmarkStart w:id="128" w:name="_Toc521488760"/>
      <w:bookmarkStart w:id="129" w:name="_Toc514402141"/>
      <w:bookmarkStart w:id="130" w:name="_Toc2963"/>
      <w:bookmarkStart w:id="131" w:name="_Toc455678275"/>
      <w:bookmarkStart w:id="132" w:name="_Toc521488920"/>
      <w:bookmarkStart w:id="133" w:name="_Toc277149400"/>
      <w:bookmarkStart w:id="134" w:name="_Toc270604839"/>
      <w:bookmarkStart w:id="135" w:name="_Toc31355"/>
      <w:bookmarkStart w:id="136" w:name="_Toc23986"/>
      <w:bookmarkStart w:id="137" w:name="_Toc528250058"/>
      <w:bookmarkStart w:id="138" w:name="_Toc22717752"/>
      <w:r>
        <w:rPr>
          <w:rFonts w:hint="eastAsia" w:hAnsi="宋体"/>
          <w:color w:val="auto"/>
        </w:rPr>
        <w:t>18.2 对供应商的纪律要求</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5F279D69">
      <w:pPr>
        <w:autoSpaceDE w:val="0"/>
        <w:autoSpaceDN w:val="0"/>
        <w:adjustRightInd w:val="0"/>
        <w:spacing w:line="480" w:lineRule="exact"/>
        <w:ind w:firstLine="480" w:firstLineChars="200"/>
        <w:jc w:val="left"/>
        <w:rPr>
          <w:rFonts w:ascii="宋体" w:hAnsi="宋体" w:cs="宋体"/>
          <w:kern w:val="0"/>
          <w:sz w:val="24"/>
          <w:szCs w:val="24"/>
        </w:rPr>
      </w:pPr>
      <w:r>
        <w:rPr>
          <w:rFonts w:hint="eastAsia" w:ascii="宋体" w:hAnsi="宋体" w:cs="宋体"/>
          <w:kern w:val="0"/>
          <w:sz w:val="24"/>
          <w:szCs w:val="24"/>
        </w:rPr>
        <w:t>供应商不得相互串通或者与采购人串通，不得向采购人或者磋商小组成员行贿谋取</w:t>
      </w:r>
      <w:r>
        <w:rPr>
          <w:rFonts w:hint="eastAsia" w:ascii="宋体" w:hAnsi="宋体" w:cs="宋体"/>
          <w:sz w:val="24"/>
          <w:szCs w:val="24"/>
        </w:rPr>
        <w:t>成交</w:t>
      </w:r>
      <w:r>
        <w:rPr>
          <w:rFonts w:hint="eastAsia" w:ascii="宋体" w:hAnsi="宋体" w:cs="宋体"/>
          <w:kern w:val="0"/>
          <w:sz w:val="24"/>
          <w:szCs w:val="24"/>
        </w:rPr>
        <w:t>，不得以他人名义磋商或者以其他方式弄虚作假骗取</w:t>
      </w:r>
      <w:r>
        <w:rPr>
          <w:rFonts w:hint="eastAsia" w:ascii="宋体" w:hAnsi="宋体" w:cs="宋体"/>
          <w:sz w:val="24"/>
          <w:szCs w:val="24"/>
        </w:rPr>
        <w:t>成交</w:t>
      </w:r>
      <w:r>
        <w:rPr>
          <w:rFonts w:hint="eastAsia" w:ascii="宋体" w:hAnsi="宋体" w:cs="宋体"/>
          <w:kern w:val="0"/>
          <w:sz w:val="24"/>
          <w:szCs w:val="24"/>
        </w:rPr>
        <w:t>；供应商不得以任何方式干扰、影响磋商工作。</w:t>
      </w:r>
    </w:p>
    <w:p w14:paraId="2373FCD5">
      <w:pPr>
        <w:pStyle w:val="9"/>
        <w:tabs>
          <w:tab w:val="left" w:pos="540"/>
        </w:tabs>
        <w:spacing w:line="480" w:lineRule="exact"/>
        <w:ind w:firstLine="480" w:firstLineChars="200"/>
        <w:jc w:val="both"/>
        <w:outlineLvl w:val="1"/>
        <w:rPr>
          <w:rFonts w:hAnsi="宋体"/>
          <w:color w:val="auto"/>
        </w:rPr>
      </w:pPr>
      <w:bookmarkStart w:id="139" w:name="_Toc23023"/>
      <w:bookmarkStart w:id="140" w:name="_Toc455678276"/>
      <w:bookmarkStart w:id="141" w:name="_Toc3206133"/>
      <w:bookmarkStart w:id="142" w:name="_Toc8673"/>
      <w:bookmarkStart w:id="143" w:name="_Toc530142113"/>
      <w:bookmarkStart w:id="144" w:name="_Toc463011515"/>
      <w:bookmarkStart w:id="145" w:name="_Toc32745"/>
      <w:bookmarkStart w:id="146" w:name="_Toc22717753"/>
      <w:bookmarkStart w:id="147" w:name="_Toc270604613"/>
      <w:bookmarkStart w:id="148" w:name="_Toc515378709"/>
      <w:bookmarkStart w:id="149" w:name="_Toc50397318"/>
      <w:bookmarkStart w:id="150" w:name="_Toc270604840"/>
      <w:bookmarkStart w:id="151" w:name="_Toc454788295"/>
      <w:bookmarkStart w:id="152" w:name="_Toc521488761"/>
      <w:bookmarkStart w:id="153" w:name="_Toc428276608"/>
      <w:bookmarkStart w:id="154" w:name="_Toc12234"/>
      <w:bookmarkStart w:id="155" w:name="_Toc21437476"/>
      <w:bookmarkStart w:id="156" w:name="_Toc12854"/>
      <w:bookmarkStart w:id="157" w:name="_Toc50397858"/>
      <w:bookmarkStart w:id="158" w:name="_Toc526682546"/>
      <w:bookmarkStart w:id="159" w:name="_Toc277149401"/>
      <w:bookmarkStart w:id="160" w:name="_Toc269470341"/>
      <w:bookmarkStart w:id="161" w:name="_Toc1427"/>
      <w:bookmarkStart w:id="162" w:name="_Toc521488521"/>
      <w:bookmarkStart w:id="163" w:name="_Toc521488921"/>
      <w:bookmarkStart w:id="164" w:name="_Toc528250059"/>
      <w:bookmarkStart w:id="165" w:name="_Toc514402142"/>
      <w:bookmarkStart w:id="166" w:name="_Toc521486765"/>
      <w:bookmarkStart w:id="167" w:name="_Toc511663249"/>
      <w:bookmarkStart w:id="168" w:name="_Toc9361"/>
      <w:bookmarkStart w:id="169" w:name="_Toc511897566"/>
      <w:bookmarkStart w:id="170" w:name="_Toc4248305"/>
      <w:r>
        <w:rPr>
          <w:rFonts w:hint="eastAsia" w:hAnsi="宋体"/>
          <w:color w:val="auto"/>
        </w:rPr>
        <w:t>18.3 对磋商小组成员的纪律要求</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4A09F76B">
      <w:pPr>
        <w:autoSpaceDE w:val="0"/>
        <w:autoSpaceDN w:val="0"/>
        <w:adjustRightInd w:val="0"/>
        <w:spacing w:line="480" w:lineRule="exact"/>
        <w:ind w:firstLine="480" w:firstLineChars="200"/>
        <w:jc w:val="left"/>
        <w:rPr>
          <w:rFonts w:ascii="宋体" w:hAnsi="宋体" w:cs="宋体"/>
          <w:kern w:val="0"/>
          <w:sz w:val="24"/>
          <w:szCs w:val="24"/>
        </w:rPr>
      </w:pPr>
      <w:r>
        <w:rPr>
          <w:rFonts w:hint="eastAsia" w:ascii="宋体" w:hAnsi="宋体" w:cs="宋体"/>
          <w:kern w:val="0"/>
          <w:sz w:val="24"/>
          <w:szCs w:val="24"/>
        </w:rPr>
        <w:t>磋商小组成员不得收受他人的财物或者其他好处，不得向他人透漏对响应文件的评审和比较、</w:t>
      </w:r>
      <w:r>
        <w:rPr>
          <w:rFonts w:hint="eastAsia" w:ascii="宋体" w:hAnsi="宋体" w:cs="宋体"/>
          <w:sz w:val="24"/>
          <w:szCs w:val="24"/>
        </w:rPr>
        <w:t>成交</w:t>
      </w:r>
      <w:r>
        <w:rPr>
          <w:rFonts w:hint="eastAsia" w:ascii="宋体" w:hAnsi="宋体" w:cs="宋体"/>
          <w:kern w:val="0"/>
          <w:sz w:val="24"/>
          <w:szCs w:val="24"/>
        </w:rPr>
        <w:t>候选人的推荐情况以及与磋商有关的其他情况。在磋商活动中，磋商小组成员不得擅离职守，影响磋商程序正常进行。</w:t>
      </w:r>
    </w:p>
    <w:p w14:paraId="44002521">
      <w:pPr>
        <w:pStyle w:val="9"/>
        <w:tabs>
          <w:tab w:val="left" w:pos="540"/>
        </w:tabs>
        <w:spacing w:line="480" w:lineRule="exact"/>
        <w:ind w:firstLine="480" w:firstLineChars="200"/>
        <w:jc w:val="both"/>
        <w:outlineLvl w:val="1"/>
        <w:rPr>
          <w:rFonts w:hAnsi="宋体"/>
          <w:color w:val="auto"/>
        </w:rPr>
      </w:pPr>
      <w:bookmarkStart w:id="171" w:name="_Toc521488922"/>
      <w:bookmarkStart w:id="172" w:name="_Toc28066"/>
      <w:bookmarkStart w:id="173" w:name="_Toc269470342"/>
      <w:bookmarkStart w:id="174" w:name="_Toc14108"/>
      <w:bookmarkStart w:id="175" w:name="_Toc511663250"/>
      <w:bookmarkStart w:id="176" w:name="_Toc463011516"/>
      <w:bookmarkStart w:id="177" w:name="_Toc8785"/>
      <w:bookmarkStart w:id="178" w:name="_Toc3206134"/>
      <w:bookmarkStart w:id="179" w:name="_Toc455678277"/>
      <w:bookmarkStart w:id="180" w:name="_Toc526682547"/>
      <w:bookmarkStart w:id="181" w:name="_Toc521488522"/>
      <w:bookmarkStart w:id="182" w:name="_Toc270604614"/>
      <w:bookmarkStart w:id="183" w:name="_Toc5597"/>
      <w:bookmarkStart w:id="184" w:name="_Toc270604841"/>
      <w:bookmarkStart w:id="185" w:name="_Toc22717754"/>
      <w:bookmarkStart w:id="186" w:name="_Toc454788296"/>
      <w:bookmarkStart w:id="187" w:name="_Toc530142114"/>
      <w:bookmarkStart w:id="188" w:name="_Toc50397319"/>
      <w:bookmarkStart w:id="189" w:name="_Toc528250060"/>
      <w:bookmarkStart w:id="190" w:name="_Toc50397859"/>
      <w:bookmarkStart w:id="191" w:name="_Toc521488762"/>
      <w:bookmarkStart w:id="192" w:name="_Toc26852"/>
      <w:bookmarkStart w:id="193" w:name="_Toc21437477"/>
      <w:bookmarkStart w:id="194" w:name="_Toc4248306"/>
      <w:bookmarkStart w:id="195" w:name="_Toc23391"/>
      <w:bookmarkStart w:id="196" w:name="_Toc511897567"/>
      <w:bookmarkStart w:id="197" w:name="_Toc514402143"/>
      <w:bookmarkStart w:id="198" w:name="_Toc521486766"/>
      <w:bookmarkStart w:id="199" w:name="_Toc13268"/>
      <w:bookmarkStart w:id="200" w:name="_Toc277149402"/>
      <w:bookmarkStart w:id="201" w:name="_Toc515378710"/>
      <w:bookmarkStart w:id="202" w:name="_Toc428276609"/>
      <w:r>
        <w:rPr>
          <w:rFonts w:hint="eastAsia" w:hAnsi="宋体"/>
          <w:color w:val="auto"/>
        </w:rPr>
        <w:t>18.4 对与磋商活动有关的工作人员的纪律要求</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323F2263">
      <w:pPr>
        <w:autoSpaceDE w:val="0"/>
        <w:autoSpaceDN w:val="0"/>
        <w:adjustRightInd w:val="0"/>
        <w:spacing w:line="480" w:lineRule="exact"/>
        <w:ind w:firstLine="480" w:firstLineChars="200"/>
        <w:jc w:val="left"/>
        <w:rPr>
          <w:rFonts w:ascii="宋体" w:hAnsi="宋体" w:cs="宋体"/>
          <w:kern w:val="0"/>
          <w:sz w:val="24"/>
          <w:szCs w:val="24"/>
        </w:rPr>
      </w:pPr>
      <w:r>
        <w:rPr>
          <w:rFonts w:hint="eastAsia" w:ascii="宋体" w:hAnsi="宋体" w:cs="宋体"/>
          <w:kern w:val="0"/>
          <w:sz w:val="24"/>
          <w:szCs w:val="24"/>
        </w:rPr>
        <w:t>与磋商活动有关的工作人员不得收受他人的财物或者其他好处，不得向他人透漏对响应文件的评审和比较、</w:t>
      </w:r>
      <w:r>
        <w:rPr>
          <w:rFonts w:hint="eastAsia" w:ascii="宋体" w:hAnsi="宋体" w:cs="宋体"/>
          <w:sz w:val="24"/>
          <w:szCs w:val="24"/>
        </w:rPr>
        <w:t>成交</w:t>
      </w:r>
      <w:r>
        <w:rPr>
          <w:rFonts w:hint="eastAsia" w:ascii="宋体" w:hAnsi="宋体" w:cs="宋体"/>
          <w:kern w:val="0"/>
          <w:sz w:val="24"/>
          <w:szCs w:val="24"/>
        </w:rPr>
        <w:t>候选人的推荐情况以及与磋商有关的其他情况。在磋商活动中，与磋商活动有关的工作人员不得擅离职守，影响磋商程序正常进行。</w:t>
      </w:r>
    </w:p>
    <w:p w14:paraId="3A4396AF">
      <w:pPr>
        <w:autoSpaceDE w:val="0"/>
        <w:autoSpaceDN w:val="0"/>
        <w:adjustRightInd w:val="0"/>
        <w:spacing w:line="480" w:lineRule="exact"/>
        <w:ind w:firstLine="480" w:firstLineChars="200"/>
        <w:jc w:val="left"/>
        <w:rPr>
          <w:rFonts w:ascii="宋体" w:hAnsi="宋体" w:cs="宋体"/>
          <w:kern w:val="0"/>
          <w:sz w:val="24"/>
          <w:szCs w:val="24"/>
        </w:rPr>
      </w:pPr>
      <w:bookmarkStart w:id="203" w:name="_Toc521488923"/>
      <w:bookmarkStart w:id="204" w:name="_Toc269470343"/>
      <w:bookmarkStart w:id="205" w:name="_Toc528250061"/>
      <w:bookmarkStart w:id="206" w:name="_Toc515378711"/>
      <w:bookmarkStart w:id="207" w:name="_Toc514402144"/>
      <w:bookmarkStart w:id="208" w:name="_Toc12322"/>
      <w:bookmarkStart w:id="209" w:name="_Toc511897568"/>
      <w:bookmarkStart w:id="210" w:name="_Toc521486767"/>
      <w:bookmarkStart w:id="211" w:name="_Toc526682548"/>
      <w:bookmarkStart w:id="212" w:name="_Toc270604615"/>
      <w:bookmarkStart w:id="213" w:name="_Toc2654"/>
      <w:bookmarkStart w:id="214" w:name="_Toc270604842"/>
      <w:bookmarkStart w:id="215" w:name="_Toc25427"/>
      <w:bookmarkStart w:id="216" w:name="_Toc511663251"/>
      <w:bookmarkStart w:id="217" w:name="_Toc463011517"/>
      <w:bookmarkStart w:id="218" w:name="_Toc277149403"/>
      <w:bookmarkStart w:id="219" w:name="_Toc521488763"/>
      <w:bookmarkStart w:id="220" w:name="_Toc455678278"/>
      <w:bookmarkStart w:id="221" w:name="_Toc20395"/>
      <w:bookmarkStart w:id="222" w:name="_Toc29575"/>
      <w:bookmarkStart w:id="223" w:name="_Toc428276610"/>
      <w:bookmarkStart w:id="224" w:name="_Toc454788297"/>
      <w:bookmarkStart w:id="225" w:name="_Toc521488523"/>
      <w:r>
        <w:rPr>
          <w:rFonts w:hint="eastAsia" w:ascii="宋体" w:hAnsi="宋体" w:cs="宋体"/>
          <w:kern w:val="0"/>
          <w:sz w:val="24"/>
          <w:szCs w:val="24"/>
        </w:rPr>
        <w:t>18.5 投诉</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51EA43F1">
      <w:pPr>
        <w:pStyle w:val="9"/>
        <w:tabs>
          <w:tab w:val="left" w:pos="540"/>
        </w:tabs>
        <w:spacing w:line="480" w:lineRule="exact"/>
        <w:ind w:firstLine="480" w:firstLineChars="200"/>
        <w:jc w:val="both"/>
        <w:outlineLvl w:val="1"/>
        <w:rPr>
          <w:rFonts w:hAnsi="宋体"/>
          <w:color w:val="auto"/>
          <w:kern w:val="2"/>
        </w:rPr>
      </w:pPr>
      <w:bookmarkStart w:id="226" w:name="_Toc4248307"/>
      <w:bookmarkStart w:id="227" w:name="_Toc21437478"/>
      <w:bookmarkStart w:id="228" w:name="_Toc3206135"/>
      <w:bookmarkStart w:id="229" w:name="_Toc22717755"/>
      <w:bookmarkStart w:id="230" w:name="_Toc31834"/>
      <w:bookmarkStart w:id="231" w:name="_Toc50397860"/>
      <w:bookmarkStart w:id="232" w:name="_Toc50397320"/>
      <w:bookmarkStart w:id="233" w:name="_Toc628"/>
      <w:r>
        <w:rPr>
          <w:rFonts w:hint="eastAsia" w:hAnsi="宋体"/>
          <w:color w:val="auto"/>
          <w:kern w:val="2"/>
        </w:rPr>
        <w:t>供应商和其他利害关系人认为本次竞争性磋商违反法律、法规和规章规定的，有权向有关行政监督部门投诉。</w:t>
      </w:r>
      <w:bookmarkEnd w:id="226"/>
      <w:bookmarkEnd w:id="227"/>
      <w:bookmarkEnd w:id="228"/>
      <w:bookmarkEnd w:id="229"/>
      <w:bookmarkEnd w:id="230"/>
      <w:bookmarkEnd w:id="231"/>
      <w:bookmarkEnd w:id="232"/>
      <w:bookmarkEnd w:id="233"/>
    </w:p>
    <w:p w14:paraId="75006A19">
      <w:pPr>
        <w:pStyle w:val="9"/>
        <w:spacing w:line="480" w:lineRule="exact"/>
        <w:ind w:firstLine="482" w:firstLineChars="200"/>
        <w:outlineLvl w:val="1"/>
        <w:rPr>
          <w:rFonts w:hAnsi="宋体"/>
          <w:b/>
          <w:color w:val="auto"/>
          <w:kern w:val="2"/>
        </w:rPr>
      </w:pPr>
      <w:bookmarkStart w:id="234" w:name="_Toc521486768"/>
      <w:bookmarkStart w:id="235" w:name="_Toc18997_WPSOffice_Level2"/>
      <w:bookmarkStart w:id="236" w:name="_Toc15944_WPSOffice_Level2"/>
      <w:bookmarkStart w:id="237" w:name="_Toc28235"/>
      <w:bookmarkStart w:id="238" w:name="_Toc521488524"/>
      <w:bookmarkStart w:id="239" w:name="_Toc32469"/>
      <w:bookmarkStart w:id="240" w:name="_Toc521488924"/>
      <w:bookmarkStart w:id="241" w:name="_Toc454788050"/>
      <w:bookmarkStart w:id="242" w:name="_Toc22717756"/>
      <w:bookmarkStart w:id="243" w:name="_Toc530142115"/>
      <w:bookmarkStart w:id="244" w:name="_Toc428351670"/>
      <w:bookmarkStart w:id="245" w:name="_Toc528250062"/>
      <w:bookmarkStart w:id="246" w:name="_Toc521488764"/>
      <w:bookmarkStart w:id="247" w:name="_Toc8311"/>
      <w:r>
        <w:rPr>
          <w:rFonts w:hint="eastAsia" w:hAnsi="宋体"/>
          <w:b/>
          <w:color w:val="auto"/>
          <w:kern w:val="2"/>
        </w:rPr>
        <w:t>19、</w:t>
      </w:r>
      <w:bookmarkEnd w:id="234"/>
      <w:bookmarkEnd w:id="235"/>
      <w:bookmarkEnd w:id="236"/>
      <w:bookmarkEnd w:id="237"/>
      <w:bookmarkEnd w:id="238"/>
      <w:bookmarkEnd w:id="239"/>
      <w:bookmarkEnd w:id="240"/>
      <w:bookmarkEnd w:id="241"/>
      <w:bookmarkEnd w:id="242"/>
      <w:bookmarkEnd w:id="243"/>
      <w:bookmarkEnd w:id="244"/>
      <w:bookmarkEnd w:id="245"/>
      <w:bookmarkEnd w:id="246"/>
      <w:bookmarkStart w:id="248" w:name="_Toc16552_WPSOffice_Level2"/>
      <w:bookmarkStart w:id="249" w:name="_Toc521488532"/>
      <w:bookmarkStart w:id="250" w:name="_Toc530142122"/>
      <w:bookmarkStart w:id="251" w:name="_Toc528250070"/>
      <w:bookmarkStart w:id="252" w:name="_Toc521488932"/>
      <w:bookmarkStart w:id="253" w:name="_Toc521488772"/>
      <w:bookmarkStart w:id="254" w:name="_Toc4098"/>
      <w:bookmarkStart w:id="255" w:name="_Toc22717764"/>
      <w:bookmarkStart w:id="256" w:name="_Toc521486776"/>
      <w:bookmarkStart w:id="257" w:name="_Toc3774"/>
      <w:bookmarkStart w:id="258" w:name="_Toc30905_WPSOffice_Level2"/>
      <w:r>
        <w:rPr>
          <w:rFonts w:hint="eastAsia" w:hAnsi="宋体"/>
          <w:b/>
          <w:color w:val="auto"/>
          <w:kern w:val="2"/>
        </w:rPr>
        <w:t>质疑程序及处理</w:t>
      </w:r>
      <w:bookmarkEnd w:id="247"/>
      <w:r>
        <w:rPr>
          <w:rFonts w:hint="eastAsia" w:hAnsi="宋体"/>
          <w:b/>
          <w:color w:val="auto"/>
          <w:kern w:val="2"/>
        </w:rPr>
        <w:t xml:space="preserve"> </w:t>
      </w:r>
    </w:p>
    <w:p w14:paraId="693DAA70">
      <w:pPr>
        <w:pStyle w:val="9"/>
        <w:tabs>
          <w:tab w:val="left" w:pos="540"/>
        </w:tabs>
        <w:spacing w:line="480" w:lineRule="exact"/>
        <w:ind w:firstLine="480" w:firstLineChars="200"/>
        <w:jc w:val="both"/>
        <w:outlineLvl w:val="1"/>
        <w:rPr>
          <w:rFonts w:hAnsi="宋体"/>
          <w:color w:val="auto"/>
          <w:kern w:val="2"/>
        </w:rPr>
      </w:pPr>
      <w:bookmarkStart w:id="259" w:name="_Toc50397321"/>
      <w:bookmarkStart w:id="260" w:name="_Toc5256"/>
      <w:bookmarkStart w:id="261" w:name="_Toc8571"/>
      <w:bookmarkStart w:id="262" w:name="_Toc50397861"/>
      <w:r>
        <w:rPr>
          <w:rFonts w:hint="eastAsia" w:hAnsi="宋体"/>
          <w:color w:val="auto"/>
          <w:kern w:val="2"/>
        </w:rPr>
        <w:t>19.1 若供应商认为其磋商未获公平评审或磋商文件、采购过程和成交结果使自己的合法权益受到损害，可以在知道或者应知其权益受到损害之日起7个工作日内，将质疑书原件送达采购人或采购代理机构。提出质疑期限的计算，依照下列规定办理：</w:t>
      </w:r>
      <w:bookmarkEnd w:id="259"/>
      <w:bookmarkEnd w:id="260"/>
      <w:bookmarkEnd w:id="261"/>
      <w:bookmarkEnd w:id="262"/>
      <w:r>
        <w:rPr>
          <w:rFonts w:hint="eastAsia" w:hAnsi="宋体"/>
          <w:color w:val="auto"/>
          <w:kern w:val="2"/>
        </w:rPr>
        <w:t xml:space="preserve"> </w:t>
      </w:r>
    </w:p>
    <w:p w14:paraId="130367AA">
      <w:pPr>
        <w:spacing w:line="480" w:lineRule="exact"/>
        <w:ind w:firstLine="480" w:firstLineChars="200"/>
        <w:rPr>
          <w:rFonts w:ascii="宋体" w:hAnsi="宋体" w:cs="宋体"/>
          <w:sz w:val="24"/>
          <w:szCs w:val="24"/>
        </w:rPr>
      </w:pPr>
      <w:r>
        <w:rPr>
          <w:rFonts w:hint="eastAsia" w:ascii="宋体" w:hAnsi="宋体" w:cs="宋体"/>
          <w:sz w:val="24"/>
          <w:szCs w:val="24"/>
        </w:rPr>
        <w:t>（一）对可以质疑的磋商文件提出质疑的，为收到磋商文件之日或者磋商文件公告期限届满之日；</w:t>
      </w:r>
    </w:p>
    <w:p w14:paraId="2489EBCD">
      <w:pPr>
        <w:autoSpaceDE w:val="0"/>
        <w:autoSpaceDN w:val="0"/>
        <w:adjustRightInd w:val="0"/>
        <w:spacing w:line="480" w:lineRule="exact"/>
        <w:ind w:firstLine="480" w:firstLineChars="200"/>
        <w:jc w:val="left"/>
        <w:rPr>
          <w:rFonts w:ascii="宋体" w:hAnsi="宋体" w:cs="宋体"/>
          <w:sz w:val="24"/>
          <w:szCs w:val="24"/>
        </w:rPr>
      </w:pPr>
      <w:r>
        <w:rPr>
          <w:rFonts w:hint="eastAsia" w:ascii="宋体" w:hAnsi="宋体" w:cs="宋体"/>
          <w:sz w:val="24"/>
          <w:szCs w:val="24"/>
        </w:rPr>
        <w:t xml:space="preserve">（二）对采购过程提出质疑的，为各采购程序环节结束之日； </w:t>
      </w:r>
    </w:p>
    <w:p w14:paraId="462260BD">
      <w:pPr>
        <w:autoSpaceDE w:val="0"/>
        <w:autoSpaceDN w:val="0"/>
        <w:adjustRightInd w:val="0"/>
        <w:spacing w:line="480" w:lineRule="exact"/>
        <w:ind w:firstLine="480" w:firstLineChars="200"/>
        <w:jc w:val="left"/>
        <w:rPr>
          <w:rFonts w:ascii="宋体" w:hAnsi="宋体" w:cs="宋体"/>
          <w:sz w:val="24"/>
          <w:szCs w:val="24"/>
        </w:rPr>
      </w:pPr>
      <w:r>
        <w:rPr>
          <w:rFonts w:hint="eastAsia" w:ascii="宋体" w:hAnsi="宋体" w:cs="宋体"/>
          <w:sz w:val="24"/>
          <w:szCs w:val="24"/>
        </w:rPr>
        <w:t xml:space="preserve">（三）对成交结果提出质疑的，为成交结果公告期限届满之日。 </w:t>
      </w:r>
    </w:p>
    <w:p w14:paraId="2E6AD836">
      <w:pPr>
        <w:autoSpaceDE w:val="0"/>
        <w:autoSpaceDN w:val="0"/>
        <w:adjustRightInd w:val="0"/>
        <w:spacing w:line="48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19.2 质疑书应当包括下列主要内容，并按照“谁主张、谁举证”的原则，附上相关证明材料。否则，采购人不予受理： </w:t>
      </w:r>
    </w:p>
    <w:p w14:paraId="3288F82E">
      <w:pPr>
        <w:autoSpaceDE w:val="0"/>
        <w:autoSpaceDN w:val="0"/>
        <w:adjustRightInd w:val="0"/>
        <w:spacing w:line="48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（一）质疑供应商全称、地址、法定代表人、联系人及联系电话、邮政编码等； </w:t>
      </w:r>
    </w:p>
    <w:p w14:paraId="6B55FDA0">
      <w:pPr>
        <w:autoSpaceDE w:val="0"/>
        <w:autoSpaceDN w:val="0"/>
        <w:adjustRightInd w:val="0"/>
        <w:spacing w:line="48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（二）被质疑采购项目的名称、编号； </w:t>
      </w:r>
    </w:p>
    <w:p w14:paraId="4847F661">
      <w:pPr>
        <w:autoSpaceDE w:val="0"/>
        <w:autoSpaceDN w:val="0"/>
        <w:adjustRightInd w:val="0"/>
        <w:spacing w:line="48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（三）质疑的具体事项、明确的请求和主张；</w:t>
      </w:r>
    </w:p>
    <w:p w14:paraId="0365B2C4">
      <w:pPr>
        <w:autoSpaceDE w:val="0"/>
        <w:autoSpaceDN w:val="0"/>
        <w:adjustRightInd w:val="0"/>
        <w:spacing w:line="48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（四）质疑所依据的法律依据（具体条款）、具体事实和具体理由。质疑书依据理由部分只有主观陈述、推理、猜测等，而没有提供客观事实依据、法律依据的； </w:t>
      </w:r>
    </w:p>
    <w:p w14:paraId="63F7D7A8">
      <w:pPr>
        <w:autoSpaceDE w:val="0"/>
        <w:autoSpaceDN w:val="0"/>
        <w:adjustRightInd w:val="0"/>
        <w:spacing w:line="48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五）质疑事项按照有关法律、法规和规章规定及竞争性磋商文件要求属于保密或者处于保密阶段的事项，磋商响应供应商必须提供正常的信息来源或有效证据，磋商响应供应商不能提供或者拒绝提供合法的信息来源或有效证据的； </w:t>
      </w:r>
    </w:p>
    <w:p w14:paraId="3ED045D4">
      <w:pPr>
        <w:autoSpaceDE w:val="0"/>
        <w:autoSpaceDN w:val="0"/>
        <w:adjustRightInd w:val="0"/>
        <w:spacing w:line="48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（六）充足有效的相关证明材料；如果涉及到产品功能或技术指标的，应出具相关制造商的证明文件； </w:t>
      </w:r>
    </w:p>
    <w:p w14:paraId="78D85967">
      <w:pPr>
        <w:autoSpaceDE w:val="0"/>
        <w:autoSpaceDN w:val="0"/>
        <w:adjustRightInd w:val="0"/>
        <w:spacing w:line="48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（七）质疑材料中有外文资料的，应一并附上中文译本，并以中文译本为准。 </w:t>
      </w:r>
    </w:p>
    <w:p w14:paraId="415BF6B4">
      <w:pPr>
        <w:autoSpaceDE w:val="0"/>
        <w:autoSpaceDN w:val="0"/>
        <w:adjustRightInd w:val="0"/>
        <w:spacing w:line="48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（八）提起质疑的日期</w:t>
      </w:r>
    </w:p>
    <w:p w14:paraId="0ECA6281">
      <w:pPr>
        <w:autoSpaceDE w:val="0"/>
        <w:autoSpaceDN w:val="0"/>
        <w:adjustRightInd w:val="0"/>
        <w:spacing w:line="48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19.3 供应商质疑实行实名制并须在质疑书上署名。供应商不得进行虚假、恶意质疑，不得以质疑为手段获取不当得利、实现非法目的。供应商为自然人的，应当由本人签字；供应商为法人的，应当由法定代表人签字或盖章并加盖公章；供应商为其他组织的，应当由主要负责人签字或盖章并加盖公章。供应商其他工作人员或代理人员在质疑书上的署名不具有法律效力。 </w:t>
      </w:r>
    </w:p>
    <w:p w14:paraId="10507E42">
      <w:pPr>
        <w:autoSpaceDE w:val="0"/>
        <w:autoSpaceDN w:val="0"/>
        <w:adjustRightInd w:val="0"/>
        <w:spacing w:line="48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19.4 供应商委托代理人办理质疑事宜，应当提交授权委托书，并载明委托代理的具体权限和事项。授权委托书应当由委托人签字并加盖单位公章。 </w:t>
      </w:r>
    </w:p>
    <w:p w14:paraId="0CEB7533">
      <w:pPr>
        <w:autoSpaceDE w:val="0"/>
        <w:autoSpaceDN w:val="0"/>
        <w:adjustRightInd w:val="0"/>
        <w:spacing w:line="48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19.5 提交质疑书时，供应商应同时提交本人身份证，委托他人代理质疑事宜的，还应提交被委托人的身份证。供应商是法人的，应一并提交法人营业执照和法定代表人身份证；供应商是其他组织的，应一并提交其他组织经营许可证和主要负责人身份证。供应商应当提供上述证明材料的原件及复印件，原件经采购人核对无误后返还。</w:t>
      </w:r>
    </w:p>
    <w:p w14:paraId="6D612227">
      <w:pPr>
        <w:autoSpaceDE w:val="0"/>
        <w:autoSpaceDN w:val="0"/>
        <w:adjustRightInd w:val="0"/>
        <w:spacing w:line="48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19.6 质疑书提交方式。供应商或者其委托代理人应当当面提交质疑书及相关证明材料。供应商以电子邮件、传真等其他方式提交质疑书及相关证明材料的，或者不是供应商或者其委托代理人提交质疑书及相关证明材料的，采购人或采购机构可以拒收。 </w:t>
      </w:r>
    </w:p>
    <w:p w14:paraId="5873B916">
      <w:pPr>
        <w:autoSpaceDE w:val="0"/>
        <w:autoSpaceDN w:val="0"/>
        <w:adjustRightInd w:val="0"/>
        <w:spacing w:line="48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19.7 供应商不得虚假质疑和恶意质疑，并对质疑内容的真实性承担责任。供应商或者其他利害关系人通过捏造事实、伪造证明材料等方式提出异议或投诉，阻碍磋商活动正常进行的，属于严重不良行为，采购人将提请财政部门将其列入不良行为记录名单，并依法予以处罚。</w:t>
      </w:r>
    </w:p>
    <w:p w14:paraId="00194BCC">
      <w:pPr>
        <w:autoSpaceDE w:val="0"/>
        <w:autoSpaceDN w:val="0"/>
        <w:adjustRightInd w:val="0"/>
        <w:spacing w:line="48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19.8 采购人将在收到符合上述条件的书面质疑后 7 个工作日内审查质疑事项，作出答复或相关处理决定，并以书面形式通知质疑供应商和其他有关供应商，但答复的内容不涉及商业秘密。若质疑涉及磋商制度或程序，将被转交政府采购的管理部门审查。采购人遵循“谁过错谁负担”的原则，有过错的一方承担调查论证费用。</w:t>
      </w:r>
    </w:p>
    <w:p w14:paraId="6A5A6AD2">
      <w:pPr>
        <w:autoSpaceDE w:val="0"/>
        <w:autoSpaceDN w:val="0"/>
        <w:adjustRightInd w:val="0"/>
        <w:spacing w:line="48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19.9 质疑供应商对采购人的答复不满意以及采购人未在规定的时间内做出答复的，可以在答复期满后15个工作日内向财政部门投诉。</w:t>
      </w:r>
    </w:p>
    <w:p w14:paraId="178D0189">
      <w:pPr>
        <w:pStyle w:val="9"/>
        <w:tabs>
          <w:tab w:val="left" w:pos="540"/>
        </w:tabs>
        <w:spacing w:line="480" w:lineRule="exact"/>
        <w:ind w:firstLine="482" w:firstLineChars="200"/>
        <w:jc w:val="both"/>
        <w:outlineLvl w:val="1"/>
        <w:rPr>
          <w:rFonts w:hAnsi="宋体"/>
          <w:b/>
          <w:color w:val="auto"/>
          <w:kern w:val="2"/>
        </w:rPr>
      </w:pPr>
      <w:bookmarkStart w:id="263" w:name="_Toc21446"/>
      <w:bookmarkStart w:id="264" w:name="_Toc25482"/>
      <w:bookmarkStart w:id="265" w:name="_Toc50397862"/>
      <w:bookmarkStart w:id="266" w:name="_Toc50397322"/>
      <w:r>
        <w:rPr>
          <w:rFonts w:hint="eastAsia" w:hAnsi="宋体"/>
          <w:b/>
          <w:color w:val="auto"/>
          <w:kern w:val="2"/>
        </w:rPr>
        <w:t>20、需要补充的其他内容</w:t>
      </w:r>
      <w:bookmarkEnd w:id="248"/>
      <w:bookmarkEnd w:id="249"/>
      <w:bookmarkEnd w:id="250"/>
      <w:bookmarkEnd w:id="251"/>
      <w:bookmarkEnd w:id="252"/>
      <w:bookmarkEnd w:id="253"/>
      <w:bookmarkEnd w:id="254"/>
      <w:bookmarkEnd w:id="255"/>
      <w:bookmarkEnd w:id="256"/>
      <w:bookmarkEnd w:id="257"/>
      <w:bookmarkEnd w:id="258"/>
      <w:bookmarkEnd w:id="263"/>
      <w:bookmarkEnd w:id="264"/>
      <w:bookmarkEnd w:id="265"/>
      <w:bookmarkEnd w:id="266"/>
    </w:p>
    <w:p w14:paraId="3088FFE8">
      <w:pPr>
        <w:pStyle w:val="9"/>
        <w:tabs>
          <w:tab w:val="left" w:pos="540"/>
        </w:tabs>
        <w:spacing w:line="480" w:lineRule="exact"/>
        <w:ind w:firstLine="480" w:firstLineChars="200"/>
        <w:jc w:val="both"/>
        <w:outlineLvl w:val="1"/>
        <w:rPr>
          <w:rFonts w:hAnsi="宋体"/>
          <w:color w:val="auto"/>
          <w:kern w:val="2"/>
        </w:rPr>
      </w:pPr>
      <w:bookmarkStart w:id="267" w:name="_Toc50397863"/>
      <w:bookmarkStart w:id="268" w:name="_Toc21437488"/>
      <w:bookmarkStart w:id="269" w:name="_Toc4248317"/>
      <w:bookmarkStart w:id="270" w:name="_Toc22717765"/>
      <w:bookmarkStart w:id="271" w:name="_Toc3206145"/>
      <w:bookmarkStart w:id="272" w:name="_Toc50397323"/>
      <w:bookmarkStart w:id="273" w:name="_Toc530142123"/>
      <w:bookmarkStart w:id="274" w:name="_Toc20368"/>
      <w:bookmarkStart w:id="275" w:name="_Toc27186"/>
      <w:r>
        <w:rPr>
          <w:rFonts w:hint="eastAsia" w:hAnsi="宋体"/>
          <w:color w:val="auto"/>
          <w:kern w:val="2"/>
        </w:rPr>
        <w:t>需要补充的其他内容：见&lt;供应商须知前附表&gt;。</w:t>
      </w:r>
      <w:bookmarkEnd w:id="267"/>
      <w:bookmarkEnd w:id="268"/>
      <w:bookmarkEnd w:id="269"/>
      <w:bookmarkEnd w:id="270"/>
      <w:bookmarkEnd w:id="271"/>
      <w:bookmarkEnd w:id="272"/>
      <w:bookmarkEnd w:id="273"/>
      <w:bookmarkEnd w:id="274"/>
      <w:bookmarkEnd w:id="275"/>
    </w:p>
    <w:p w14:paraId="1C43B8B3">
      <w:pPr>
        <w:pStyle w:val="9"/>
        <w:tabs>
          <w:tab w:val="left" w:pos="540"/>
        </w:tabs>
        <w:spacing w:line="480" w:lineRule="exact"/>
        <w:ind w:firstLine="482" w:firstLineChars="200"/>
        <w:jc w:val="both"/>
        <w:outlineLvl w:val="1"/>
        <w:rPr>
          <w:rFonts w:hAnsi="宋体"/>
          <w:b/>
          <w:color w:val="auto"/>
          <w:kern w:val="2"/>
        </w:rPr>
      </w:pPr>
      <w:bookmarkStart w:id="276" w:name="_Toc12366"/>
      <w:r>
        <w:rPr>
          <w:rFonts w:hint="eastAsia" w:hAnsi="宋体"/>
          <w:b/>
          <w:color w:val="auto"/>
          <w:kern w:val="2"/>
        </w:rPr>
        <w:t>21、 政府采购政策要求</w:t>
      </w:r>
      <w:bookmarkEnd w:id="276"/>
    </w:p>
    <w:bookmarkEnd w:id="9"/>
    <w:bookmarkEnd w:id="10"/>
    <w:bookmarkEnd w:id="11"/>
    <w:bookmarkEnd w:id="12"/>
    <w:bookmarkEnd w:id="13"/>
    <w:bookmarkEnd w:id="14"/>
    <w:bookmarkEnd w:id="15"/>
    <w:bookmarkEnd w:id="16"/>
    <w:p w14:paraId="40650392">
      <w:pPr>
        <w:tabs>
          <w:tab w:val="left" w:pos="540"/>
        </w:tabs>
        <w:autoSpaceDE w:val="0"/>
        <w:autoSpaceDN w:val="0"/>
        <w:adjustRightInd w:val="0"/>
        <w:spacing w:line="460" w:lineRule="exact"/>
        <w:ind w:firstLine="480" w:firstLineChars="200"/>
        <w:outlineLvl w:val="1"/>
        <w:rPr>
          <w:rFonts w:cs="宋体"/>
          <w:sz w:val="24"/>
        </w:rPr>
      </w:pPr>
      <w:bookmarkStart w:id="277" w:name="_Toc395"/>
      <w:bookmarkStart w:id="278" w:name="_Toc168042048"/>
      <w:bookmarkStart w:id="279" w:name="_Toc7361"/>
      <w:bookmarkStart w:id="280" w:name="_Toc17527"/>
      <w:bookmarkStart w:id="281" w:name="_Toc127797725"/>
      <w:bookmarkStart w:id="282" w:name="_Toc3494"/>
      <w:bookmarkStart w:id="283" w:name="_Toc488052454"/>
      <w:bookmarkStart w:id="284" w:name="_Toc31861"/>
      <w:r>
        <w:rPr>
          <w:rFonts w:hint="eastAsia" w:cs="宋体"/>
          <w:sz w:val="24"/>
          <w:lang w:val="en-US" w:eastAsia="zh-CN"/>
        </w:rPr>
        <w:t>21</w:t>
      </w:r>
      <w:r>
        <w:rPr>
          <w:rFonts w:hint="eastAsia" w:cs="宋体"/>
          <w:sz w:val="24"/>
        </w:rPr>
        <w:t>.1、响应产品符合国家环保、节能标准，并载入财政部、国家发改委和国家环保总局发布的最新《环境标志产品政府采购清单》、《节能产品政府采购清单》内（若政府采购活动开始后，尚未进入评审环节前，相关部门重新发布新一期《环境标志产品政府采购清单》、《节能产品政府采购清单》的，可同时执行上期和最新一期环保、节能清单），且具有在有效期内的《国家节能产品认证证书》或《中国环境标志产品认证证书》（供应商必须提供有关证明材料），将分别给予供应商在投标过程中规定的标准分值进行减价评审。</w:t>
      </w:r>
      <w:bookmarkEnd w:id="277"/>
      <w:bookmarkEnd w:id="278"/>
      <w:bookmarkEnd w:id="279"/>
      <w:bookmarkEnd w:id="280"/>
      <w:bookmarkEnd w:id="281"/>
    </w:p>
    <w:p w14:paraId="1289935D">
      <w:pPr>
        <w:tabs>
          <w:tab w:val="left" w:pos="540"/>
        </w:tabs>
        <w:autoSpaceDE w:val="0"/>
        <w:autoSpaceDN w:val="0"/>
        <w:adjustRightInd w:val="0"/>
        <w:spacing w:line="460" w:lineRule="exact"/>
        <w:ind w:firstLine="480" w:firstLineChars="200"/>
        <w:outlineLvl w:val="1"/>
        <w:rPr>
          <w:rFonts w:cs="宋体"/>
          <w:sz w:val="24"/>
        </w:rPr>
      </w:pPr>
      <w:bookmarkStart w:id="285" w:name="_Toc25885"/>
      <w:bookmarkStart w:id="286" w:name="_Toc127797726"/>
      <w:bookmarkStart w:id="287" w:name="_Toc16733"/>
      <w:bookmarkStart w:id="288" w:name="_Toc5234"/>
      <w:bookmarkStart w:id="289" w:name="_Toc168042049"/>
      <w:r>
        <w:rPr>
          <w:rFonts w:hint="eastAsia" w:cs="宋体"/>
          <w:sz w:val="24"/>
          <w:lang w:val="en-US" w:eastAsia="zh-CN"/>
        </w:rPr>
        <w:t>21</w:t>
      </w:r>
      <w:r>
        <w:rPr>
          <w:rFonts w:hint="eastAsia" w:cs="宋体"/>
          <w:sz w:val="24"/>
        </w:rPr>
        <w:t>.2、如采购产品属于财政部和国家发展改革委发布的最新《节能产品政府采购清单》中要求的强制政府采购产品的（若政府采购活动开始后，尚未进入评审环节前，相关部门重新发布新一期《节能产品政府采购清单》的，可同时执行上期和最新一期节能清单），供应商必须提供所投产品属于清单中要求的制造厂家生产的指定型号产品，如提供非最新《节能产品政府采购清单》中要求的强制政府采购产品的，磋商响应文件、成交结果无效。</w:t>
      </w:r>
      <w:bookmarkEnd w:id="285"/>
      <w:bookmarkEnd w:id="286"/>
      <w:bookmarkEnd w:id="287"/>
      <w:bookmarkEnd w:id="288"/>
      <w:bookmarkEnd w:id="289"/>
    </w:p>
    <w:p w14:paraId="7B0CF2F9">
      <w:pPr>
        <w:tabs>
          <w:tab w:val="left" w:pos="540"/>
        </w:tabs>
        <w:autoSpaceDE w:val="0"/>
        <w:autoSpaceDN w:val="0"/>
        <w:adjustRightInd w:val="0"/>
        <w:spacing w:line="460" w:lineRule="exact"/>
        <w:ind w:firstLine="480" w:firstLineChars="200"/>
        <w:outlineLvl w:val="1"/>
        <w:rPr>
          <w:rFonts w:cs="宋体"/>
          <w:sz w:val="24"/>
        </w:rPr>
      </w:pPr>
      <w:bookmarkStart w:id="290" w:name="_Toc20462"/>
      <w:bookmarkStart w:id="291" w:name="_Toc19731"/>
      <w:bookmarkStart w:id="292" w:name="_Toc7417"/>
      <w:bookmarkStart w:id="293" w:name="_Toc168042050"/>
      <w:bookmarkStart w:id="294" w:name="_Toc127797727"/>
      <w:r>
        <w:rPr>
          <w:rFonts w:hint="eastAsia" w:cs="宋体"/>
          <w:sz w:val="24"/>
          <w:lang w:val="en-US" w:eastAsia="zh-CN"/>
        </w:rPr>
        <w:t>21</w:t>
      </w:r>
      <w:r>
        <w:rPr>
          <w:rFonts w:hint="eastAsia" w:cs="宋体"/>
          <w:sz w:val="24"/>
        </w:rPr>
        <w:t>.3、采购货物为国家强制性认证产品的，必须符合强制性标准并提供国家及相关部门的认证材料和证书。</w:t>
      </w:r>
      <w:bookmarkEnd w:id="290"/>
      <w:bookmarkEnd w:id="291"/>
      <w:bookmarkEnd w:id="292"/>
      <w:bookmarkEnd w:id="293"/>
      <w:bookmarkEnd w:id="294"/>
    </w:p>
    <w:p w14:paraId="613394BE">
      <w:pPr>
        <w:tabs>
          <w:tab w:val="left" w:pos="540"/>
        </w:tabs>
        <w:autoSpaceDE w:val="0"/>
        <w:autoSpaceDN w:val="0"/>
        <w:adjustRightInd w:val="0"/>
        <w:spacing w:line="460" w:lineRule="exact"/>
        <w:ind w:firstLine="480" w:firstLineChars="200"/>
        <w:outlineLvl w:val="1"/>
        <w:rPr>
          <w:rFonts w:cs="宋体"/>
          <w:sz w:val="24"/>
        </w:rPr>
      </w:pPr>
      <w:bookmarkStart w:id="295" w:name="_Toc168042051"/>
      <w:bookmarkStart w:id="296" w:name="_Toc13923"/>
      <w:bookmarkStart w:id="297" w:name="_Toc17277"/>
      <w:bookmarkStart w:id="298" w:name="_Toc127797728"/>
      <w:bookmarkStart w:id="299" w:name="_Toc3550"/>
      <w:r>
        <w:rPr>
          <w:rFonts w:hint="eastAsia" w:cs="宋体"/>
          <w:sz w:val="24"/>
          <w:lang w:val="en-US" w:eastAsia="zh-CN"/>
        </w:rPr>
        <w:t>21</w:t>
      </w:r>
      <w:r>
        <w:rPr>
          <w:rFonts w:hint="eastAsia" w:cs="宋体"/>
          <w:sz w:val="24"/>
        </w:rPr>
        <w:t>.4、优先采购本国产品。采购进口产品应符合《中华人民共和国政府采购法》并依法办理论证、公示、审批手续。</w:t>
      </w:r>
      <w:bookmarkEnd w:id="295"/>
      <w:bookmarkEnd w:id="296"/>
      <w:bookmarkEnd w:id="297"/>
      <w:bookmarkEnd w:id="298"/>
      <w:bookmarkEnd w:id="299"/>
    </w:p>
    <w:p w14:paraId="0B9B971B">
      <w:pPr>
        <w:tabs>
          <w:tab w:val="left" w:pos="540"/>
        </w:tabs>
        <w:autoSpaceDE w:val="0"/>
        <w:autoSpaceDN w:val="0"/>
        <w:adjustRightInd w:val="0"/>
        <w:spacing w:line="460" w:lineRule="exact"/>
        <w:ind w:firstLine="480" w:firstLineChars="200"/>
        <w:outlineLvl w:val="1"/>
        <w:rPr>
          <w:rFonts w:cs="宋体"/>
          <w:sz w:val="24"/>
        </w:rPr>
      </w:pPr>
      <w:bookmarkStart w:id="300" w:name="_Toc127797729"/>
      <w:bookmarkStart w:id="301" w:name="_Toc168042052"/>
      <w:bookmarkStart w:id="302" w:name="_Toc9914"/>
      <w:bookmarkStart w:id="303" w:name="_Toc16651"/>
      <w:bookmarkStart w:id="304" w:name="_Toc28981"/>
      <w:r>
        <w:rPr>
          <w:rFonts w:hint="eastAsia" w:cs="宋体"/>
          <w:sz w:val="24"/>
          <w:lang w:val="en-US" w:eastAsia="zh-CN"/>
        </w:rPr>
        <w:t>21</w:t>
      </w:r>
      <w:r>
        <w:rPr>
          <w:rFonts w:hint="eastAsia" w:cs="宋体"/>
          <w:sz w:val="24"/>
        </w:rPr>
        <w:t>.5、采购信息安全产品的，应当采购经国家认证的信息安全产品，供应商应提供由中国信息安全认证中心按国家标准颁发的有效认证证书。</w:t>
      </w:r>
      <w:bookmarkEnd w:id="300"/>
      <w:bookmarkEnd w:id="301"/>
      <w:bookmarkEnd w:id="302"/>
      <w:bookmarkEnd w:id="303"/>
      <w:bookmarkEnd w:id="304"/>
    </w:p>
    <w:p w14:paraId="77ACB99D">
      <w:pPr>
        <w:tabs>
          <w:tab w:val="left" w:pos="540"/>
        </w:tabs>
        <w:autoSpaceDE w:val="0"/>
        <w:autoSpaceDN w:val="0"/>
        <w:adjustRightInd w:val="0"/>
        <w:spacing w:line="460" w:lineRule="exact"/>
        <w:ind w:firstLine="480" w:firstLineChars="200"/>
        <w:outlineLvl w:val="1"/>
        <w:rPr>
          <w:rFonts w:cs="宋体"/>
          <w:sz w:val="24"/>
        </w:rPr>
      </w:pPr>
      <w:bookmarkStart w:id="305" w:name="_Toc127797730"/>
      <w:bookmarkStart w:id="306" w:name="_Toc23987"/>
      <w:bookmarkStart w:id="307" w:name="_Toc26321"/>
      <w:bookmarkStart w:id="308" w:name="_Toc168042053"/>
      <w:bookmarkStart w:id="309" w:name="_Toc24388"/>
      <w:r>
        <w:rPr>
          <w:rFonts w:hint="eastAsia" w:cs="宋体"/>
          <w:sz w:val="24"/>
          <w:lang w:val="en-US" w:eastAsia="zh-CN"/>
        </w:rPr>
        <w:t>21</w:t>
      </w:r>
      <w:r>
        <w:rPr>
          <w:rFonts w:hint="eastAsia" w:cs="宋体"/>
          <w:sz w:val="24"/>
        </w:rPr>
        <w:t>.6、鼓励创新，首购和订购的产品具有首创和自主研发性质，属于自主创新产品的，必须执行《自主创新产品政府收购和订购管理办法》。</w:t>
      </w:r>
      <w:bookmarkEnd w:id="305"/>
      <w:bookmarkEnd w:id="306"/>
      <w:bookmarkEnd w:id="307"/>
      <w:bookmarkEnd w:id="308"/>
      <w:bookmarkEnd w:id="309"/>
    </w:p>
    <w:p w14:paraId="25380408">
      <w:pPr>
        <w:tabs>
          <w:tab w:val="left" w:pos="540"/>
        </w:tabs>
        <w:autoSpaceDE w:val="0"/>
        <w:autoSpaceDN w:val="0"/>
        <w:adjustRightInd w:val="0"/>
        <w:spacing w:line="480" w:lineRule="exact"/>
        <w:ind w:firstLine="480" w:firstLineChars="200"/>
        <w:outlineLvl w:val="1"/>
        <w:rPr>
          <w:rFonts w:cs="宋体"/>
          <w:sz w:val="24"/>
        </w:rPr>
      </w:pPr>
      <w:bookmarkStart w:id="310" w:name="_Toc127797732"/>
      <w:bookmarkStart w:id="311" w:name="_Toc16873"/>
      <w:bookmarkStart w:id="312" w:name="_Toc168042054"/>
      <w:bookmarkStart w:id="313" w:name="_Toc31463"/>
      <w:bookmarkStart w:id="314" w:name="_Toc8710"/>
      <w:r>
        <w:rPr>
          <w:rFonts w:hint="eastAsia" w:cs="宋体"/>
          <w:sz w:val="24"/>
          <w:lang w:val="en-US" w:eastAsia="zh-CN"/>
        </w:rPr>
        <w:t>21</w:t>
      </w:r>
      <w:r>
        <w:rPr>
          <w:rFonts w:hint="eastAsia" w:cs="宋体"/>
          <w:sz w:val="24"/>
        </w:rPr>
        <w:t>.7、开源节流，执行低价优先的采购政策规定。</w:t>
      </w:r>
      <w:bookmarkEnd w:id="310"/>
      <w:bookmarkEnd w:id="311"/>
      <w:bookmarkEnd w:id="312"/>
      <w:bookmarkEnd w:id="313"/>
      <w:bookmarkEnd w:id="314"/>
    </w:p>
    <w:p w14:paraId="661A6907">
      <w:pPr>
        <w:spacing w:line="360" w:lineRule="auto"/>
        <w:ind w:firstLine="482" w:firstLineChars="200"/>
        <w:jc w:val="center"/>
        <w:rPr>
          <w:rFonts w:ascii="宋体" w:hAnsi="宋体"/>
          <w:b/>
          <w:bCs/>
          <w:sz w:val="24"/>
        </w:rPr>
      </w:pPr>
      <w:r>
        <w:rPr>
          <w:rFonts w:hint="eastAsia" w:ascii="宋体" w:hAnsi="宋体"/>
          <w:b/>
          <w:bCs/>
          <w:sz w:val="24"/>
        </w:rPr>
        <w:t>国家统计局关于印发《统计上大中小微型企业划分办法（</w:t>
      </w:r>
      <w:r>
        <w:rPr>
          <w:rFonts w:ascii="宋体" w:hAnsi="宋体"/>
          <w:b/>
          <w:bCs/>
          <w:sz w:val="24"/>
        </w:rPr>
        <w:t>2017</w:t>
      </w:r>
      <w:r>
        <w:rPr>
          <w:rFonts w:hint="eastAsia" w:ascii="宋体" w:hAnsi="宋体"/>
          <w:b/>
          <w:bCs/>
          <w:sz w:val="24"/>
        </w:rPr>
        <w:t>）》的通知</w:t>
      </w:r>
    </w:p>
    <w:p w14:paraId="00DAD6F4">
      <w:pPr>
        <w:spacing w:line="360" w:lineRule="auto"/>
        <w:ind w:firstLine="480" w:firstLineChars="200"/>
        <w:rPr>
          <w:rFonts w:ascii="宋体" w:hAnsi="宋体"/>
          <w:sz w:val="24"/>
        </w:rPr>
      </w:pPr>
      <w:r>
        <w:rPr>
          <w:rFonts w:hint="eastAsia" w:ascii="宋体" w:hAnsi="宋体"/>
          <w:sz w:val="24"/>
        </w:rPr>
        <w:t>各省、自治区、直辖市统计局，新疆生产建设兵团统计局，国务院各有关部门，国家统计局各调查总队：</w:t>
      </w:r>
    </w:p>
    <w:p w14:paraId="66CDB710">
      <w:pPr>
        <w:spacing w:line="360" w:lineRule="auto"/>
        <w:ind w:firstLine="480" w:firstLineChars="200"/>
        <w:rPr>
          <w:rFonts w:ascii="宋体" w:hAnsi="宋体"/>
          <w:sz w:val="24"/>
        </w:rPr>
      </w:pPr>
      <w:r>
        <w:rPr>
          <w:rFonts w:hint="eastAsia" w:ascii="宋体" w:hAnsi="宋体"/>
          <w:sz w:val="24"/>
        </w:rPr>
        <w:t>《国民经济行业分类》（</w:t>
      </w:r>
      <w:r>
        <w:rPr>
          <w:rFonts w:ascii="宋体" w:hAnsi="宋体"/>
          <w:sz w:val="24"/>
        </w:rPr>
        <w:t>GB/T 4754</w:t>
      </w:r>
      <w:r>
        <w:rPr>
          <w:rFonts w:hint="eastAsia" w:ascii="宋体" w:hAnsi="宋体"/>
          <w:sz w:val="24"/>
        </w:rPr>
        <w:t>—</w:t>
      </w:r>
      <w:r>
        <w:rPr>
          <w:rFonts w:ascii="宋体" w:hAnsi="宋体"/>
          <w:sz w:val="24"/>
        </w:rPr>
        <w:t>2017</w:t>
      </w:r>
      <w:r>
        <w:rPr>
          <w:rFonts w:hint="eastAsia" w:ascii="宋体" w:hAnsi="宋体"/>
          <w:sz w:val="24"/>
        </w:rPr>
        <w:t>）已正式实施，现对</w:t>
      </w:r>
      <w:r>
        <w:rPr>
          <w:rFonts w:ascii="宋体" w:hAnsi="宋体"/>
          <w:sz w:val="24"/>
        </w:rPr>
        <w:t>2011</w:t>
      </w:r>
      <w:r>
        <w:rPr>
          <w:rFonts w:hint="eastAsia" w:ascii="宋体" w:hAnsi="宋体"/>
          <w:sz w:val="24"/>
        </w:rPr>
        <w:t>年制定的《统计上大中小微型企业划分办法》进行修订。本次修订保持原有的分类原则、方法、结构框架和适用范围，仅将所涉及的行业按照《国民经济行业分类》（</w:t>
      </w:r>
      <w:r>
        <w:rPr>
          <w:rFonts w:ascii="宋体" w:hAnsi="宋体"/>
          <w:sz w:val="24"/>
        </w:rPr>
        <w:t>GB/T 4754</w:t>
      </w:r>
      <w:r>
        <w:rPr>
          <w:rFonts w:hint="eastAsia" w:ascii="宋体" w:hAnsi="宋体"/>
          <w:sz w:val="24"/>
        </w:rPr>
        <w:t>—</w:t>
      </w:r>
      <w:r>
        <w:rPr>
          <w:rFonts w:ascii="宋体" w:hAnsi="宋体"/>
          <w:sz w:val="24"/>
        </w:rPr>
        <w:t>2011</w:t>
      </w:r>
      <w:r>
        <w:rPr>
          <w:rFonts w:hint="eastAsia" w:ascii="宋体" w:hAnsi="宋体"/>
          <w:sz w:val="24"/>
        </w:rPr>
        <w:t>）和《国民经济行业分类》（</w:t>
      </w:r>
      <w:r>
        <w:rPr>
          <w:rFonts w:ascii="宋体" w:hAnsi="宋体"/>
          <w:sz w:val="24"/>
        </w:rPr>
        <w:t>GB/T 4754</w:t>
      </w:r>
      <w:r>
        <w:rPr>
          <w:rFonts w:hint="eastAsia" w:ascii="宋体" w:hAnsi="宋体"/>
          <w:sz w:val="24"/>
        </w:rPr>
        <w:t>—</w:t>
      </w:r>
      <w:r>
        <w:rPr>
          <w:rFonts w:ascii="宋体" w:hAnsi="宋体"/>
          <w:sz w:val="24"/>
        </w:rPr>
        <w:t>2017</w:t>
      </w:r>
      <w:r>
        <w:rPr>
          <w:rFonts w:hint="eastAsia" w:ascii="宋体" w:hAnsi="宋体"/>
          <w:sz w:val="24"/>
        </w:rPr>
        <w:t>）的对应关系，进行相应调整，形成《统计上大中小微型企业划分办法（</w:t>
      </w:r>
      <w:r>
        <w:rPr>
          <w:rFonts w:ascii="宋体" w:hAnsi="宋体"/>
          <w:sz w:val="24"/>
        </w:rPr>
        <w:t>2017</w:t>
      </w:r>
      <w:r>
        <w:rPr>
          <w:rFonts w:hint="eastAsia" w:ascii="宋体" w:hAnsi="宋体"/>
          <w:sz w:val="24"/>
        </w:rPr>
        <w:t>）》。现将《统计上大中小微型企业划分办法（</w:t>
      </w:r>
      <w:r>
        <w:rPr>
          <w:rFonts w:ascii="宋体" w:hAnsi="宋体"/>
          <w:sz w:val="24"/>
        </w:rPr>
        <w:t>2017</w:t>
      </w:r>
      <w:r>
        <w:rPr>
          <w:rFonts w:hint="eastAsia" w:ascii="宋体" w:hAnsi="宋体"/>
          <w:sz w:val="24"/>
        </w:rPr>
        <w:t>）》印发给你们，请在统计工作中认真贯彻执行。</w:t>
      </w:r>
    </w:p>
    <w:p w14:paraId="59A7A908">
      <w:pPr>
        <w:spacing w:line="360" w:lineRule="auto"/>
        <w:ind w:firstLine="480" w:firstLineChars="200"/>
        <w:outlineLvl w:val="0"/>
        <w:rPr>
          <w:rFonts w:ascii="宋体" w:hAnsi="宋体"/>
          <w:sz w:val="24"/>
        </w:rPr>
      </w:pPr>
      <w:bookmarkStart w:id="315" w:name="_Toc27514"/>
      <w:bookmarkStart w:id="316" w:name="_Toc29291"/>
      <w:r>
        <w:rPr>
          <w:rFonts w:hint="eastAsia" w:ascii="宋体" w:hAnsi="宋体"/>
          <w:sz w:val="24"/>
        </w:rPr>
        <w:t>附件：《统计上大中小微型企业划分办法（</w:t>
      </w:r>
      <w:r>
        <w:rPr>
          <w:rFonts w:ascii="宋体" w:hAnsi="宋体"/>
          <w:sz w:val="24"/>
        </w:rPr>
        <w:t>2017</w:t>
      </w:r>
      <w:r>
        <w:rPr>
          <w:rFonts w:hint="eastAsia" w:ascii="宋体" w:hAnsi="宋体"/>
          <w:sz w:val="24"/>
        </w:rPr>
        <w:t>）》修订说明</w:t>
      </w:r>
      <w:bookmarkEnd w:id="315"/>
      <w:bookmarkEnd w:id="316"/>
    </w:p>
    <w:p w14:paraId="0E70F580">
      <w:pPr>
        <w:spacing w:line="360" w:lineRule="auto"/>
        <w:ind w:firstLine="480" w:firstLineChars="200"/>
        <w:jc w:val="right"/>
        <w:rPr>
          <w:rFonts w:ascii="宋体" w:hAnsi="宋体"/>
          <w:sz w:val="24"/>
        </w:rPr>
      </w:pPr>
      <w:r>
        <w:rPr>
          <w:rFonts w:hint="eastAsia" w:ascii="宋体" w:hAnsi="宋体"/>
          <w:sz w:val="24"/>
        </w:rPr>
        <w:t>国家统计局</w:t>
      </w:r>
      <w:r>
        <w:rPr>
          <w:rFonts w:ascii="宋体" w:hAnsi="宋体"/>
          <w:sz w:val="24"/>
        </w:rPr>
        <w:t xml:space="preserve">   </w:t>
      </w:r>
    </w:p>
    <w:p w14:paraId="33BFA2A5">
      <w:pPr>
        <w:spacing w:line="360" w:lineRule="auto"/>
        <w:ind w:firstLine="480" w:firstLineChars="200"/>
        <w:jc w:val="right"/>
        <w:rPr>
          <w:rFonts w:ascii="宋体" w:hAnsi="宋体"/>
          <w:sz w:val="24"/>
        </w:rPr>
      </w:pPr>
      <w:r>
        <w:rPr>
          <w:rFonts w:ascii="宋体" w:hAnsi="宋体"/>
          <w:sz w:val="24"/>
        </w:rPr>
        <w:t>2017</w:t>
      </w:r>
      <w:r>
        <w:rPr>
          <w:rFonts w:hint="eastAsia" w:ascii="宋体" w:hAnsi="宋体"/>
          <w:sz w:val="24"/>
        </w:rPr>
        <w:t>年</w:t>
      </w:r>
      <w:r>
        <w:rPr>
          <w:rFonts w:ascii="宋体" w:hAnsi="宋体"/>
          <w:sz w:val="24"/>
        </w:rPr>
        <w:t>12</w:t>
      </w:r>
      <w:r>
        <w:rPr>
          <w:rFonts w:hint="eastAsia" w:ascii="宋体" w:hAnsi="宋体"/>
          <w:sz w:val="24"/>
        </w:rPr>
        <w:t>月</w:t>
      </w:r>
      <w:r>
        <w:rPr>
          <w:rFonts w:ascii="宋体" w:hAnsi="宋体"/>
          <w:sz w:val="24"/>
        </w:rPr>
        <w:t>28</w:t>
      </w:r>
      <w:r>
        <w:rPr>
          <w:rFonts w:hint="eastAsia" w:ascii="宋体" w:hAnsi="宋体"/>
          <w:sz w:val="24"/>
        </w:rPr>
        <w:t>日</w:t>
      </w:r>
    </w:p>
    <w:p w14:paraId="7E50657C">
      <w:pPr>
        <w:ind w:firstLine="480" w:firstLineChars="200"/>
        <w:jc w:val="center"/>
        <w:rPr>
          <w:rFonts w:hint="eastAsia" w:ascii="宋体" w:hAnsi="宋体"/>
          <w:sz w:val="24"/>
        </w:rPr>
      </w:pPr>
    </w:p>
    <w:p w14:paraId="6856E756">
      <w:pPr>
        <w:spacing w:line="276" w:lineRule="auto"/>
        <w:ind w:firstLine="480" w:firstLineChars="200"/>
        <w:jc w:val="center"/>
        <w:rPr>
          <w:rFonts w:ascii="宋体" w:hAnsi="宋体"/>
          <w:sz w:val="24"/>
        </w:rPr>
      </w:pPr>
      <w:r>
        <w:rPr>
          <w:rFonts w:hint="eastAsia" w:ascii="宋体" w:hAnsi="宋体"/>
          <w:sz w:val="24"/>
        </w:rPr>
        <w:t>统计上大中小微型企业划分办法（</w:t>
      </w:r>
      <w:r>
        <w:rPr>
          <w:rFonts w:ascii="宋体" w:hAnsi="宋体"/>
          <w:sz w:val="24"/>
        </w:rPr>
        <w:t>2017</w:t>
      </w:r>
      <w:r>
        <w:rPr>
          <w:rFonts w:hint="eastAsia" w:ascii="宋体" w:hAnsi="宋体"/>
          <w:sz w:val="24"/>
        </w:rPr>
        <w:t>）</w:t>
      </w:r>
    </w:p>
    <w:p w14:paraId="12E51432">
      <w:pPr>
        <w:spacing w:line="276" w:lineRule="auto"/>
        <w:ind w:firstLine="480" w:firstLineChars="200"/>
        <w:rPr>
          <w:rFonts w:ascii="宋体" w:hAnsi="宋体"/>
          <w:sz w:val="24"/>
        </w:rPr>
      </w:pPr>
      <w:r>
        <w:rPr>
          <w:rFonts w:hint="eastAsia" w:ascii="宋体" w:hAnsi="宋体"/>
          <w:sz w:val="24"/>
        </w:rPr>
        <w:t>一、根据工业和信息化部、国家统计局、国家发展改革委、财政部《关于印发中小企业划型标准规定的通知》（工信部联企业〔</w:t>
      </w:r>
      <w:r>
        <w:rPr>
          <w:rFonts w:ascii="宋体" w:hAnsi="宋体"/>
          <w:sz w:val="24"/>
        </w:rPr>
        <w:t>2011</w:t>
      </w:r>
      <w:r>
        <w:rPr>
          <w:rFonts w:hint="eastAsia" w:ascii="宋体" w:hAnsi="宋体"/>
          <w:sz w:val="24"/>
        </w:rPr>
        <w:t>〕</w:t>
      </w:r>
      <w:r>
        <w:rPr>
          <w:rFonts w:ascii="宋体" w:hAnsi="宋体"/>
          <w:sz w:val="24"/>
        </w:rPr>
        <w:t>300</w:t>
      </w:r>
      <w:r>
        <w:rPr>
          <w:rFonts w:hint="eastAsia" w:ascii="宋体" w:hAnsi="宋体"/>
          <w:sz w:val="24"/>
        </w:rPr>
        <w:t>号），以《国民经济行业分类》（</w:t>
      </w:r>
      <w:r>
        <w:rPr>
          <w:rFonts w:ascii="宋体" w:hAnsi="宋体"/>
          <w:sz w:val="24"/>
        </w:rPr>
        <w:t>GB/T4754-2017</w:t>
      </w:r>
      <w:r>
        <w:rPr>
          <w:rFonts w:hint="eastAsia" w:ascii="宋体" w:hAnsi="宋体"/>
          <w:sz w:val="24"/>
        </w:rPr>
        <w:t>）为基础，结合统计工作的实际情况，制定本办法。</w:t>
      </w:r>
    </w:p>
    <w:p w14:paraId="7247FEC3">
      <w:pPr>
        <w:spacing w:line="276" w:lineRule="auto"/>
        <w:ind w:firstLine="480" w:firstLineChars="200"/>
        <w:rPr>
          <w:rFonts w:ascii="宋体" w:hAnsi="宋体"/>
          <w:sz w:val="24"/>
        </w:rPr>
      </w:pPr>
      <w:r>
        <w:rPr>
          <w:rFonts w:hint="eastAsia" w:ascii="宋体" w:hAnsi="宋体"/>
          <w:sz w:val="24"/>
        </w:rPr>
        <w:t>二、本办法适用对象为在中华人民共和国境内依法设立的各种组织形式的法人企业或单位。个体工商户参照本办法进行划分。</w:t>
      </w:r>
    </w:p>
    <w:p w14:paraId="4E579DD8">
      <w:pPr>
        <w:spacing w:line="276" w:lineRule="auto"/>
        <w:ind w:firstLine="480" w:firstLineChars="200"/>
        <w:rPr>
          <w:rFonts w:ascii="宋体" w:hAnsi="宋体"/>
          <w:sz w:val="24"/>
        </w:rPr>
      </w:pPr>
      <w:r>
        <w:rPr>
          <w:rFonts w:hint="eastAsia" w:ascii="宋体" w:hAnsi="宋体"/>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Pr>
          <w:rFonts w:ascii="宋体" w:hAnsi="宋体"/>
          <w:sz w:val="24"/>
        </w:rPr>
        <w:t>15</w:t>
      </w:r>
      <w:r>
        <w:rPr>
          <w:rFonts w:hint="eastAsia" w:ascii="宋体" w:hAnsi="宋体"/>
          <w:sz w:val="24"/>
        </w:rPr>
        <w:t>个行业门类以及社会工作行业大类。</w:t>
      </w:r>
    </w:p>
    <w:p w14:paraId="3B8BC54D">
      <w:pPr>
        <w:spacing w:line="276" w:lineRule="auto"/>
        <w:ind w:firstLine="480" w:firstLineChars="200"/>
        <w:rPr>
          <w:rFonts w:ascii="宋体" w:hAnsi="宋体"/>
          <w:sz w:val="24"/>
        </w:rPr>
      </w:pPr>
      <w:r>
        <w:rPr>
          <w:rFonts w:hint="eastAsia" w:ascii="宋体" w:hAnsi="宋体"/>
          <w:sz w:val="24"/>
        </w:rPr>
        <w:t>四、本办法按照行业门类、大类、中类和组合类别，依据从业人员、营业收入、资产总额等指标或替代指标，将我国的企业划分为大型、中型、小型、微型等四种类型。具体划分标准见附表。</w:t>
      </w:r>
    </w:p>
    <w:p w14:paraId="26B4D16E">
      <w:pPr>
        <w:spacing w:line="276" w:lineRule="auto"/>
        <w:ind w:firstLine="480" w:firstLineChars="200"/>
        <w:rPr>
          <w:rFonts w:ascii="宋体" w:hAnsi="宋体"/>
          <w:sz w:val="24"/>
        </w:rPr>
      </w:pPr>
      <w:r>
        <w:rPr>
          <w:rFonts w:hint="eastAsia" w:ascii="宋体" w:hAnsi="宋体"/>
          <w:sz w:val="24"/>
        </w:rPr>
        <w:t>五、企业划分由政府综合统计部门根据统计年报每年确定一次，定报统计原则上不进行调整。</w:t>
      </w:r>
    </w:p>
    <w:p w14:paraId="2EACC5F4">
      <w:pPr>
        <w:spacing w:line="276" w:lineRule="auto"/>
        <w:ind w:firstLine="480" w:firstLineChars="200"/>
        <w:rPr>
          <w:rFonts w:ascii="宋体" w:hAnsi="宋体"/>
          <w:sz w:val="24"/>
        </w:rPr>
      </w:pPr>
      <w:r>
        <w:rPr>
          <w:rFonts w:hint="eastAsia" w:ascii="宋体" w:hAnsi="宋体"/>
          <w:sz w:val="24"/>
        </w:rPr>
        <w:t>六、本办法自印发之日起执行，国家统计局</w:t>
      </w:r>
      <w:r>
        <w:rPr>
          <w:rFonts w:ascii="宋体" w:hAnsi="宋体"/>
          <w:sz w:val="24"/>
        </w:rPr>
        <w:t>2011</w:t>
      </w:r>
      <w:r>
        <w:rPr>
          <w:rFonts w:hint="eastAsia" w:ascii="宋体" w:hAnsi="宋体"/>
          <w:sz w:val="24"/>
        </w:rPr>
        <w:t>年印发的《统计上大中小微型企业划分办法》（国统字〔</w:t>
      </w:r>
      <w:r>
        <w:rPr>
          <w:rFonts w:ascii="宋体" w:hAnsi="宋体"/>
          <w:sz w:val="24"/>
        </w:rPr>
        <w:t>2011</w:t>
      </w:r>
      <w:r>
        <w:rPr>
          <w:rFonts w:hint="eastAsia" w:ascii="宋体" w:hAnsi="宋体"/>
          <w:sz w:val="24"/>
        </w:rPr>
        <w:t>〕</w:t>
      </w:r>
      <w:r>
        <w:rPr>
          <w:rFonts w:ascii="宋体" w:hAnsi="宋体"/>
          <w:sz w:val="24"/>
        </w:rPr>
        <w:t>75</w:t>
      </w:r>
      <w:r>
        <w:rPr>
          <w:rFonts w:hint="eastAsia" w:ascii="宋体" w:hAnsi="宋体"/>
          <w:sz w:val="24"/>
        </w:rPr>
        <w:t>号）同时废止。</w:t>
      </w:r>
    </w:p>
    <w:p w14:paraId="17CF70C7">
      <w:pPr>
        <w:spacing w:line="276" w:lineRule="auto"/>
        <w:rPr>
          <w:rFonts w:ascii="宋体" w:hAnsi="宋体"/>
          <w:sz w:val="24"/>
        </w:rPr>
      </w:pPr>
      <w:r>
        <w:rPr>
          <w:rFonts w:hint="eastAsia" w:ascii="宋体" w:hAnsi="宋体"/>
          <w:sz w:val="24"/>
        </w:rPr>
        <w:t>附表：统计上大中小微型企业划分标准</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1560"/>
        <w:gridCol w:w="850"/>
        <w:gridCol w:w="1276"/>
        <w:gridCol w:w="1788"/>
        <w:gridCol w:w="1614"/>
        <w:gridCol w:w="804"/>
      </w:tblGrid>
      <w:tr w14:paraId="4A89E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543" w:type="dxa"/>
            <w:noWrap w:val="0"/>
            <w:vAlign w:val="center"/>
          </w:tcPr>
          <w:p w14:paraId="00CFEF36">
            <w:pPr>
              <w:widowControl/>
              <w:spacing w:line="240" w:lineRule="exact"/>
              <w:jc w:val="center"/>
              <w:rPr>
                <w:rFonts w:ascii="宋体" w:hAnsi="宋体" w:cs="宋体"/>
                <w:b/>
                <w:bCs/>
                <w:color w:val="000000"/>
                <w:kern w:val="0"/>
                <w:sz w:val="24"/>
              </w:rPr>
            </w:pPr>
            <w:r>
              <w:rPr>
                <w:rFonts w:hint="eastAsia" w:ascii="宋体" w:hAnsi="宋体" w:cs="宋体"/>
                <w:b/>
                <w:bCs/>
                <w:color w:val="000000"/>
                <w:kern w:val="0"/>
                <w:sz w:val="24"/>
              </w:rPr>
              <w:t>行业名称</w:t>
            </w:r>
          </w:p>
        </w:tc>
        <w:tc>
          <w:tcPr>
            <w:tcW w:w="1560" w:type="dxa"/>
            <w:noWrap w:val="0"/>
            <w:vAlign w:val="center"/>
          </w:tcPr>
          <w:p w14:paraId="65ADCE59">
            <w:pPr>
              <w:widowControl/>
              <w:jc w:val="center"/>
              <w:rPr>
                <w:rFonts w:ascii="宋体" w:hAnsi="宋体" w:cs="宋体"/>
                <w:b/>
                <w:bCs/>
                <w:color w:val="000000"/>
                <w:kern w:val="0"/>
                <w:sz w:val="24"/>
              </w:rPr>
            </w:pPr>
            <w:r>
              <w:rPr>
                <w:rFonts w:hint="eastAsia" w:ascii="宋体" w:hAnsi="宋体" w:cs="宋体"/>
                <w:b/>
                <w:bCs/>
                <w:color w:val="000000"/>
                <w:kern w:val="0"/>
                <w:sz w:val="24"/>
              </w:rPr>
              <w:t>指标名称</w:t>
            </w:r>
          </w:p>
        </w:tc>
        <w:tc>
          <w:tcPr>
            <w:tcW w:w="850" w:type="dxa"/>
            <w:noWrap w:val="0"/>
            <w:vAlign w:val="center"/>
          </w:tcPr>
          <w:p w14:paraId="3BC19537">
            <w:pPr>
              <w:widowControl/>
              <w:jc w:val="center"/>
              <w:rPr>
                <w:rFonts w:hint="eastAsia" w:ascii="宋体" w:hAnsi="宋体" w:cs="宋体"/>
                <w:b/>
                <w:bCs/>
                <w:color w:val="000000"/>
                <w:kern w:val="0"/>
                <w:sz w:val="24"/>
              </w:rPr>
            </w:pPr>
            <w:r>
              <w:rPr>
                <w:rFonts w:hint="eastAsia" w:ascii="宋体" w:hAnsi="宋体" w:cs="宋体"/>
                <w:b/>
                <w:bCs/>
                <w:color w:val="000000"/>
                <w:kern w:val="0"/>
                <w:sz w:val="24"/>
              </w:rPr>
              <w:t>计量</w:t>
            </w:r>
          </w:p>
          <w:p w14:paraId="3A676C52">
            <w:pPr>
              <w:widowControl/>
              <w:jc w:val="center"/>
              <w:rPr>
                <w:rFonts w:ascii="宋体" w:hAnsi="宋体" w:cs="宋体"/>
                <w:b/>
                <w:bCs/>
                <w:color w:val="000000"/>
                <w:kern w:val="0"/>
                <w:sz w:val="24"/>
              </w:rPr>
            </w:pPr>
            <w:r>
              <w:rPr>
                <w:rFonts w:hint="eastAsia" w:ascii="宋体" w:hAnsi="宋体" w:cs="宋体"/>
                <w:b/>
                <w:bCs/>
                <w:color w:val="000000"/>
                <w:kern w:val="0"/>
                <w:sz w:val="24"/>
              </w:rPr>
              <w:t>单位</w:t>
            </w:r>
          </w:p>
        </w:tc>
        <w:tc>
          <w:tcPr>
            <w:tcW w:w="1276" w:type="dxa"/>
            <w:noWrap w:val="0"/>
            <w:vAlign w:val="center"/>
          </w:tcPr>
          <w:p w14:paraId="4DF86010">
            <w:pPr>
              <w:widowControl/>
              <w:jc w:val="center"/>
              <w:rPr>
                <w:rFonts w:ascii="宋体" w:hAnsi="宋体" w:cs="宋体"/>
                <w:b/>
                <w:bCs/>
                <w:color w:val="000000"/>
                <w:kern w:val="0"/>
                <w:sz w:val="24"/>
              </w:rPr>
            </w:pPr>
            <w:r>
              <w:rPr>
                <w:rFonts w:hint="eastAsia" w:ascii="宋体" w:hAnsi="宋体" w:cs="宋体"/>
                <w:b/>
                <w:bCs/>
                <w:color w:val="000000"/>
                <w:kern w:val="0"/>
                <w:sz w:val="24"/>
              </w:rPr>
              <w:t>大型</w:t>
            </w:r>
          </w:p>
        </w:tc>
        <w:tc>
          <w:tcPr>
            <w:tcW w:w="1788" w:type="dxa"/>
            <w:noWrap w:val="0"/>
            <w:vAlign w:val="center"/>
          </w:tcPr>
          <w:p w14:paraId="382FD7E9">
            <w:pPr>
              <w:widowControl/>
              <w:jc w:val="center"/>
              <w:rPr>
                <w:rFonts w:ascii="宋体" w:hAnsi="宋体" w:cs="宋体"/>
                <w:b/>
                <w:bCs/>
                <w:color w:val="000000"/>
                <w:kern w:val="0"/>
                <w:sz w:val="24"/>
              </w:rPr>
            </w:pPr>
            <w:r>
              <w:rPr>
                <w:rFonts w:hint="eastAsia" w:ascii="宋体" w:hAnsi="宋体" w:cs="宋体"/>
                <w:b/>
                <w:bCs/>
                <w:color w:val="000000"/>
                <w:kern w:val="0"/>
                <w:sz w:val="24"/>
              </w:rPr>
              <w:t>中型</w:t>
            </w:r>
          </w:p>
        </w:tc>
        <w:tc>
          <w:tcPr>
            <w:tcW w:w="1614" w:type="dxa"/>
            <w:noWrap w:val="0"/>
            <w:vAlign w:val="center"/>
          </w:tcPr>
          <w:p w14:paraId="4B03E6B3">
            <w:pPr>
              <w:widowControl/>
              <w:jc w:val="center"/>
              <w:rPr>
                <w:rFonts w:ascii="宋体" w:hAnsi="宋体" w:cs="宋体"/>
                <w:b/>
                <w:bCs/>
                <w:color w:val="000000"/>
                <w:kern w:val="0"/>
                <w:sz w:val="24"/>
              </w:rPr>
            </w:pPr>
            <w:r>
              <w:rPr>
                <w:rFonts w:hint="eastAsia" w:ascii="宋体" w:hAnsi="宋体" w:cs="宋体"/>
                <w:b/>
                <w:bCs/>
                <w:color w:val="000000"/>
                <w:kern w:val="0"/>
                <w:sz w:val="24"/>
              </w:rPr>
              <w:t>小型</w:t>
            </w:r>
          </w:p>
        </w:tc>
        <w:tc>
          <w:tcPr>
            <w:tcW w:w="804" w:type="dxa"/>
            <w:noWrap w:val="0"/>
            <w:vAlign w:val="center"/>
          </w:tcPr>
          <w:p w14:paraId="140C27A8">
            <w:pPr>
              <w:widowControl/>
              <w:jc w:val="center"/>
              <w:rPr>
                <w:rFonts w:ascii="宋体" w:hAnsi="宋体" w:cs="宋体"/>
                <w:b/>
                <w:bCs/>
                <w:color w:val="000000"/>
                <w:kern w:val="0"/>
                <w:sz w:val="24"/>
              </w:rPr>
            </w:pPr>
            <w:r>
              <w:rPr>
                <w:rFonts w:hint="eastAsia" w:ascii="宋体" w:hAnsi="宋体" w:cs="宋体"/>
                <w:b/>
                <w:bCs/>
                <w:color w:val="000000"/>
                <w:kern w:val="0"/>
                <w:sz w:val="24"/>
              </w:rPr>
              <w:t>微型</w:t>
            </w:r>
          </w:p>
        </w:tc>
      </w:tr>
      <w:tr w14:paraId="2E3BE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543" w:type="dxa"/>
            <w:noWrap w:val="0"/>
            <w:vAlign w:val="center"/>
          </w:tcPr>
          <w:p w14:paraId="001567D5">
            <w:pPr>
              <w:widowControl/>
              <w:spacing w:line="240" w:lineRule="exact"/>
              <w:jc w:val="left"/>
              <w:rPr>
                <w:rFonts w:ascii="宋体" w:hAnsi="宋体" w:cs="宋体"/>
                <w:color w:val="000000"/>
                <w:kern w:val="0"/>
                <w:sz w:val="24"/>
              </w:rPr>
            </w:pPr>
            <w:r>
              <w:rPr>
                <w:rFonts w:hint="eastAsia" w:ascii="宋体" w:hAnsi="宋体" w:cs="宋体"/>
                <w:color w:val="000000"/>
                <w:kern w:val="0"/>
                <w:sz w:val="24"/>
              </w:rPr>
              <w:t>农、林、牧、渔业</w:t>
            </w:r>
          </w:p>
        </w:tc>
        <w:tc>
          <w:tcPr>
            <w:tcW w:w="1560" w:type="dxa"/>
            <w:noWrap w:val="0"/>
            <w:vAlign w:val="center"/>
          </w:tcPr>
          <w:p w14:paraId="3F645DB9">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850" w:type="dxa"/>
            <w:noWrap w:val="0"/>
            <w:vAlign w:val="center"/>
          </w:tcPr>
          <w:p w14:paraId="1F6EE30E">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276" w:type="dxa"/>
            <w:noWrap w:val="0"/>
            <w:vAlign w:val="center"/>
          </w:tcPr>
          <w:p w14:paraId="0F93FB5F">
            <w:pPr>
              <w:widowControl/>
              <w:jc w:val="center"/>
              <w:rPr>
                <w:rFonts w:ascii="宋体" w:hAnsi="宋体" w:cs="宋体"/>
                <w:color w:val="000000"/>
                <w:kern w:val="0"/>
                <w:sz w:val="24"/>
              </w:rPr>
            </w:pPr>
            <w:r>
              <w:rPr>
                <w:rFonts w:hint="eastAsia" w:ascii="宋体" w:hAnsi="宋体" w:cs="宋体"/>
                <w:color w:val="000000"/>
                <w:kern w:val="0"/>
                <w:sz w:val="24"/>
              </w:rPr>
              <w:t>Y≥20000</w:t>
            </w:r>
          </w:p>
        </w:tc>
        <w:tc>
          <w:tcPr>
            <w:tcW w:w="1788" w:type="dxa"/>
            <w:noWrap w:val="0"/>
            <w:vAlign w:val="center"/>
          </w:tcPr>
          <w:p w14:paraId="7BC3B692">
            <w:pPr>
              <w:widowControl/>
              <w:jc w:val="center"/>
              <w:rPr>
                <w:rFonts w:ascii="宋体" w:hAnsi="宋体" w:cs="宋体"/>
                <w:color w:val="000000"/>
                <w:kern w:val="0"/>
                <w:sz w:val="24"/>
              </w:rPr>
            </w:pPr>
            <w:r>
              <w:rPr>
                <w:rFonts w:hint="eastAsia" w:ascii="宋体" w:hAnsi="宋体" w:cs="宋体"/>
                <w:color w:val="000000"/>
                <w:kern w:val="0"/>
                <w:sz w:val="24"/>
              </w:rPr>
              <w:t xml:space="preserve"> 500≤Y＜20000</w:t>
            </w:r>
          </w:p>
        </w:tc>
        <w:tc>
          <w:tcPr>
            <w:tcW w:w="1614" w:type="dxa"/>
            <w:noWrap w:val="0"/>
            <w:vAlign w:val="center"/>
          </w:tcPr>
          <w:p w14:paraId="66DDBCDE">
            <w:pPr>
              <w:widowControl/>
              <w:jc w:val="center"/>
              <w:rPr>
                <w:rFonts w:ascii="宋体" w:hAnsi="宋体" w:cs="宋体"/>
                <w:color w:val="000000"/>
                <w:kern w:val="0"/>
                <w:sz w:val="24"/>
              </w:rPr>
            </w:pPr>
            <w:r>
              <w:rPr>
                <w:rFonts w:hint="eastAsia" w:ascii="宋体" w:hAnsi="宋体" w:cs="宋体"/>
                <w:color w:val="000000"/>
                <w:kern w:val="0"/>
                <w:sz w:val="24"/>
              </w:rPr>
              <w:t xml:space="preserve"> 50≤Y＜500</w:t>
            </w:r>
          </w:p>
        </w:tc>
        <w:tc>
          <w:tcPr>
            <w:tcW w:w="804" w:type="dxa"/>
            <w:noWrap w:val="0"/>
            <w:vAlign w:val="center"/>
          </w:tcPr>
          <w:p w14:paraId="7D6EC2CA">
            <w:pPr>
              <w:widowControl/>
              <w:jc w:val="center"/>
              <w:rPr>
                <w:rFonts w:ascii="宋体" w:hAnsi="宋体" w:cs="宋体"/>
                <w:color w:val="000000"/>
                <w:kern w:val="0"/>
                <w:sz w:val="24"/>
              </w:rPr>
            </w:pPr>
            <w:r>
              <w:rPr>
                <w:rFonts w:hint="eastAsia" w:ascii="宋体" w:hAnsi="宋体" w:cs="宋体"/>
                <w:color w:val="000000"/>
                <w:kern w:val="0"/>
                <w:sz w:val="24"/>
              </w:rPr>
              <w:t>Y＜50</w:t>
            </w:r>
          </w:p>
        </w:tc>
      </w:tr>
      <w:tr w14:paraId="7D5F3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14:paraId="453528CE">
            <w:pPr>
              <w:widowControl/>
              <w:spacing w:line="240" w:lineRule="exact"/>
              <w:jc w:val="left"/>
              <w:rPr>
                <w:rFonts w:ascii="宋体" w:hAnsi="宋体" w:cs="宋体"/>
                <w:color w:val="000000"/>
                <w:kern w:val="0"/>
                <w:sz w:val="24"/>
              </w:rPr>
            </w:pPr>
            <w:r>
              <w:rPr>
                <w:rFonts w:hint="eastAsia" w:ascii="宋体" w:hAnsi="宋体" w:cs="宋体"/>
                <w:color w:val="000000"/>
                <w:kern w:val="0"/>
                <w:sz w:val="24"/>
              </w:rPr>
              <w:t>工业 *</w:t>
            </w:r>
          </w:p>
        </w:tc>
        <w:tc>
          <w:tcPr>
            <w:tcW w:w="1560" w:type="dxa"/>
            <w:noWrap w:val="0"/>
            <w:vAlign w:val="center"/>
          </w:tcPr>
          <w:p w14:paraId="07C45B16">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850" w:type="dxa"/>
            <w:noWrap w:val="0"/>
            <w:vAlign w:val="center"/>
          </w:tcPr>
          <w:p w14:paraId="6063BAB2">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276" w:type="dxa"/>
            <w:noWrap w:val="0"/>
            <w:vAlign w:val="center"/>
          </w:tcPr>
          <w:p w14:paraId="429DD266">
            <w:pPr>
              <w:widowControl/>
              <w:jc w:val="center"/>
              <w:rPr>
                <w:rFonts w:ascii="宋体" w:hAnsi="宋体" w:cs="宋体"/>
                <w:color w:val="000000"/>
                <w:kern w:val="0"/>
                <w:sz w:val="24"/>
              </w:rPr>
            </w:pPr>
            <w:r>
              <w:rPr>
                <w:rFonts w:hint="eastAsia" w:ascii="宋体" w:hAnsi="宋体" w:cs="宋体"/>
                <w:color w:val="000000"/>
                <w:kern w:val="0"/>
                <w:sz w:val="24"/>
              </w:rPr>
              <w:t>X≥1000</w:t>
            </w:r>
          </w:p>
        </w:tc>
        <w:tc>
          <w:tcPr>
            <w:tcW w:w="1788" w:type="dxa"/>
            <w:noWrap w:val="0"/>
            <w:vAlign w:val="center"/>
          </w:tcPr>
          <w:p w14:paraId="2A3C6D5D">
            <w:pPr>
              <w:widowControl/>
              <w:jc w:val="center"/>
              <w:rPr>
                <w:rFonts w:ascii="宋体" w:hAnsi="宋体" w:cs="宋体"/>
                <w:color w:val="000000"/>
                <w:kern w:val="0"/>
                <w:sz w:val="24"/>
              </w:rPr>
            </w:pPr>
            <w:r>
              <w:rPr>
                <w:rFonts w:hint="eastAsia" w:ascii="宋体" w:hAnsi="宋体" w:cs="宋体"/>
                <w:color w:val="000000"/>
                <w:kern w:val="0"/>
                <w:sz w:val="24"/>
              </w:rPr>
              <w:t>300≤X＜1000</w:t>
            </w:r>
          </w:p>
        </w:tc>
        <w:tc>
          <w:tcPr>
            <w:tcW w:w="1614" w:type="dxa"/>
            <w:noWrap w:val="0"/>
            <w:vAlign w:val="center"/>
          </w:tcPr>
          <w:p w14:paraId="3FE55472">
            <w:pPr>
              <w:widowControl/>
              <w:jc w:val="center"/>
              <w:rPr>
                <w:rFonts w:ascii="宋体" w:hAnsi="宋体" w:cs="宋体"/>
                <w:color w:val="000000"/>
                <w:kern w:val="0"/>
                <w:sz w:val="24"/>
              </w:rPr>
            </w:pPr>
            <w:r>
              <w:rPr>
                <w:rFonts w:hint="eastAsia" w:ascii="宋体" w:hAnsi="宋体" w:cs="宋体"/>
                <w:color w:val="000000"/>
                <w:kern w:val="0"/>
                <w:sz w:val="24"/>
              </w:rPr>
              <w:t xml:space="preserve"> 20≤X＜300</w:t>
            </w:r>
          </w:p>
        </w:tc>
        <w:tc>
          <w:tcPr>
            <w:tcW w:w="804" w:type="dxa"/>
            <w:noWrap w:val="0"/>
            <w:vAlign w:val="center"/>
          </w:tcPr>
          <w:p w14:paraId="438F4BA0">
            <w:pPr>
              <w:widowControl/>
              <w:jc w:val="center"/>
              <w:rPr>
                <w:rFonts w:ascii="宋体" w:hAnsi="宋体" w:cs="宋体"/>
                <w:color w:val="000000"/>
                <w:kern w:val="0"/>
                <w:sz w:val="24"/>
              </w:rPr>
            </w:pPr>
            <w:r>
              <w:rPr>
                <w:rFonts w:hint="eastAsia" w:ascii="宋体" w:hAnsi="宋体" w:cs="宋体"/>
                <w:color w:val="000000"/>
                <w:kern w:val="0"/>
                <w:sz w:val="24"/>
              </w:rPr>
              <w:t>X＜20</w:t>
            </w:r>
          </w:p>
        </w:tc>
      </w:tr>
      <w:tr w14:paraId="798AB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noWrap w:val="0"/>
            <w:vAlign w:val="center"/>
          </w:tcPr>
          <w:p w14:paraId="41BC09B8">
            <w:pPr>
              <w:widowControl/>
              <w:jc w:val="left"/>
              <w:rPr>
                <w:rFonts w:ascii="宋体" w:hAnsi="宋体" w:cs="宋体"/>
                <w:color w:val="000000"/>
                <w:kern w:val="0"/>
                <w:sz w:val="24"/>
              </w:rPr>
            </w:pPr>
          </w:p>
        </w:tc>
        <w:tc>
          <w:tcPr>
            <w:tcW w:w="1560" w:type="dxa"/>
            <w:noWrap w:val="0"/>
            <w:vAlign w:val="center"/>
          </w:tcPr>
          <w:p w14:paraId="4E4F8E1F">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营业收入(Y)</w:t>
            </w:r>
          </w:p>
        </w:tc>
        <w:tc>
          <w:tcPr>
            <w:tcW w:w="850" w:type="dxa"/>
            <w:noWrap w:val="0"/>
            <w:vAlign w:val="center"/>
          </w:tcPr>
          <w:p w14:paraId="2A428574">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276" w:type="dxa"/>
            <w:noWrap w:val="0"/>
            <w:vAlign w:val="center"/>
          </w:tcPr>
          <w:p w14:paraId="43ADE2B3">
            <w:pPr>
              <w:widowControl/>
              <w:jc w:val="center"/>
              <w:rPr>
                <w:rFonts w:ascii="宋体" w:hAnsi="宋体" w:cs="宋体"/>
                <w:color w:val="000000"/>
                <w:kern w:val="0"/>
                <w:sz w:val="24"/>
              </w:rPr>
            </w:pPr>
            <w:r>
              <w:rPr>
                <w:rFonts w:hint="eastAsia" w:ascii="宋体" w:hAnsi="宋体" w:cs="宋体"/>
                <w:color w:val="000000"/>
                <w:kern w:val="0"/>
                <w:sz w:val="24"/>
              </w:rPr>
              <w:t>Y≥40000</w:t>
            </w:r>
          </w:p>
        </w:tc>
        <w:tc>
          <w:tcPr>
            <w:tcW w:w="1788" w:type="dxa"/>
            <w:noWrap w:val="0"/>
            <w:vAlign w:val="center"/>
          </w:tcPr>
          <w:p w14:paraId="2DF58117">
            <w:pPr>
              <w:widowControl/>
              <w:jc w:val="center"/>
              <w:rPr>
                <w:rFonts w:ascii="宋体" w:hAnsi="宋体" w:cs="宋体"/>
                <w:color w:val="000000"/>
                <w:kern w:val="0"/>
                <w:sz w:val="24"/>
              </w:rPr>
            </w:pPr>
            <w:r>
              <w:rPr>
                <w:rFonts w:hint="eastAsia" w:ascii="宋体" w:hAnsi="宋体" w:cs="宋体"/>
                <w:color w:val="000000"/>
                <w:kern w:val="0"/>
                <w:sz w:val="24"/>
              </w:rPr>
              <w:t>2000≤Y＜40000</w:t>
            </w:r>
          </w:p>
        </w:tc>
        <w:tc>
          <w:tcPr>
            <w:tcW w:w="1614" w:type="dxa"/>
            <w:noWrap w:val="0"/>
            <w:vAlign w:val="center"/>
          </w:tcPr>
          <w:p w14:paraId="55567D01">
            <w:pPr>
              <w:widowControl/>
              <w:jc w:val="center"/>
              <w:rPr>
                <w:rFonts w:ascii="宋体" w:hAnsi="宋体" w:cs="宋体"/>
                <w:color w:val="000000"/>
                <w:kern w:val="0"/>
                <w:sz w:val="24"/>
              </w:rPr>
            </w:pPr>
            <w:r>
              <w:rPr>
                <w:rFonts w:hint="eastAsia" w:ascii="宋体" w:hAnsi="宋体" w:cs="宋体"/>
                <w:color w:val="000000"/>
                <w:kern w:val="0"/>
                <w:sz w:val="24"/>
              </w:rPr>
              <w:t xml:space="preserve"> 300≤Y＜2000</w:t>
            </w:r>
          </w:p>
        </w:tc>
        <w:tc>
          <w:tcPr>
            <w:tcW w:w="804" w:type="dxa"/>
            <w:noWrap w:val="0"/>
            <w:vAlign w:val="center"/>
          </w:tcPr>
          <w:p w14:paraId="0E553E55">
            <w:pPr>
              <w:widowControl/>
              <w:jc w:val="center"/>
              <w:rPr>
                <w:rFonts w:ascii="宋体" w:hAnsi="宋体" w:cs="宋体"/>
                <w:color w:val="000000"/>
                <w:kern w:val="0"/>
                <w:sz w:val="24"/>
              </w:rPr>
            </w:pPr>
            <w:r>
              <w:rPr>
                <w:rFonts w:hint="eastAsia" w:ascii="宋体" w:hAnsi="宋体" w:cs="宋体"/>
                <w:color w:val="000000"/>
                <w:kern w:val="0"/>
                <w:sz w:val="24"/>
              </w:rPr>
              <w:t>Y＜300</w:t>
            </w:r>
          </w:p>
        </w:tc>
      </w:tr>
      <w:tr w14:paraId="3A97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14:paraId="4812F2DF">
            <w:pPr>
              <w:widowControl/>
              <w:spacing w:line="240" w:lineRule="exact"/>
              <w:jc w:val="left"/>
              <w:rPr>
                <w:rFonts w:ascii="宋体" w:hAnsi="宋体" w:cs="宋体"/>
                <w:color w:val="000000"/>
                <w:kern w:val="0"/>
                <w:sz w:val="24"/>
              </w:rPr>
            </w:pPr>
            <w:r>
              <w:rPr>
                <w:rFonts w:hint="eastAsia" w:ascii="宋体" w:hAnsi="宋体" w:cs="宋体"/>
                <w:color w:val="000000"/>
                <w:kern w:val="0"/>
                <w:sz w:val="24"/>
              </w:rPr>
              <w:t>建筑业</w:t>
            </w:r>
          </w:p>
        </w:tc>
        <w:tc>
          <w:tcPr>
            <w:tcW w:w="1560" w:type="dxa"/>
            <w:noWrap w:val="0"/>
            <w:vAlign w:val="center"/>
          </w:tcPr>
          <w:p w14:paraId="504281BD">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850" w:type="dxa"/>
            <w:noWrap w:val="0"/>
            <w:vAlign w:val="center"/>
          </w:tcPr>
          <w:p w14:paraId="7561146D">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276" w:type="dxa"/>
            <w:noWrap w:val="0"/>
            <w:vAlign w:val="center"/>
          </w:tcPr>
          <w:p w14:paraId="1EC31DB8">
            <w:pPr>
              <w:widowControl/>
              <w:jc w:val="center"/>
              <w:rPr>
                <w:rFonts w:ascii="宋体" w:hAnsi="宋体" w:cs="宋体"/>
                <w:color w:val="000000"/>
                <w:kern w:val="0"/>
                <w:sz w:val="24"/>
              </w:rPr>
            </w:pPr>
            <w:r>
              <w:rPr>
                <w:rFonts w:hint="eastAsia" w:ascii="宋体" w:hAnsi="宋体" w:cs="宋体"/>
                <w:color w:val="000000"/>
                <w:kern w:val="0"/>
                <w:sz w:val="24"/>
              </w:rPr>
              <w:t>Y≥80000</w:t>
            </w:r>
          </w:p>
        </w:tc>
        <w:tc>
          <w:tcPr>
            <w:tcW w:w="1788" w:type="dxa"/>
            <w:noWrap w:val="0"/>
            <w:vAlign w:val="center"/>
          </w:tcPr>
          <w:p w14:paraId="6F70DB78">
            <w:pPr>
              <w:widowControl/>
              <w:jc w:val="center"/>
              <w:rPr>
                <w:rFonts w:ascii="宋体" w:hAnsi="宋体" w:cs="宋体"/>
                <w:color w:val="000000"/>
                <w:kern w:val="0"/>
                <w:sz w:val="24"/>
              </w:rPr>
            </w:pPr>
            <w:r>
              <w:rPr>
                <w:rFonts w:hint="eastAsia" w:ascii="宋体" w:hAnsi="宋体" w:cs="宋体"/>
                <w:color w:val="000000"/>
                <w:kern w:val="0"/>
                <w:sz w:val="24"/>
              </w:rPr>
              <w:t>6000≤Y＜80000</w:t>
            </w:r>
          </w:p>
        </w:tc>
        <w:tc>
          <w:tcPr>
            <w:tcW w:w="1614" w:type="dxa"/>
            <w:noWrap w:val="0"/>
            <w:vAlign w:val="center"/>
          </w:tcPr>
          <w:p w14:paraId="60E3799B">
            <w:pPr>
              <w:widowControl/>
              <w:jc w:val="center"/>
              <w:rPr>
                <w:rFonts w:ascii="宋体" w:hAnsi="宋体" w:cs="宋体"/>
                <w:color w:val="000000"/>
                <w:kern w:val="0"/>
                <w:sz w:val="24"/>
              </w:rPr>
            </w:pPr>
            <w:r>
              <w:rPr>
                <w:rFonts w:hint="eastAsia" w:ascii="宋体" w:hAnsi="宋体" w:cs="宋体"/>
                <w:color w:val="000000"/>
                <w:kern w:val="0"/>
                <w:sz w:val="24"/>
              </w:rPr>
              <w:t xml:space="preserve"> 300≤Y＜6000</w:t>
            </w:r>
          </w:p>
        </w:tc>
        <w:tc>
          <w:tcPr>
            <w:tcW w:w="804" w:type="dxa"/>
            <w:noWrap w:val="0"/>
            <w:vAlign w:val="center"/>
          </w:tcPr>
          <w:p w14:paraId="6DB9D0A8">
            <w:pPr>
              <w:widowControl/>
              <w:jc w:val="center"/>
              <w:rPr>
                <w:rFonts w:ascii="宋体" w:hAnsi="宋体" w:cs="宋体"/>
                <w:color w:val="000000"/>
                <w:kern w:val="0"/>
                <w:sz w:val="24"/>
              </w:rPr>
            </w:pPr>
            <w:r>
              <w:rPr>
                <w:rFonts w:hint="eastAsia" w:ascii="宋体" w:hAnsi="宋体" w:cs="宋体"/>
                <w:color w:val="000000"/>
                <w:kern w:val="0"/>
                <w:sz w:val="24"/>
              </w:rPr>
              <w:t>Y＜300</w:t>
            </w:r>
          </w:p>
        </w:tc>
      </w:tr>
      <w:tr w14:paraId="41A9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noWrap w:val="0"/>
            <w:vAlign w:val="center"/>
          </w:tcPr>
          <w:p w14:paraId="4E451C50">
            <w:pPr>
              <w:widowControl/>
              <w:jc w:val="left"/>
              <w:rPr>
                <w:rFonts w:ascii="宋体" w:hAnsi="宋体" w:cs="宋体"/>
                <w:color w:val="000000"/>
                <w:kern w:val="0"/>
                <w:sz w:val="24"/>
              </w:rPr>
            </w:pPr>
          </w:p>
        </w:tc>
        <w:tc>
          <w:tcPr>
            <w:tcW w:w="1560" w:type="dxa"/>
            <w:noWrap w:val="0"/>
            <w:vAlign w:val="center"/>
          </w:tcPr>
          <w:p w14:paraId="77F73AF8">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资产总额(Z)</w:t>
            </w:r>
          </w:p>
        </w:tc>
        <w:tc>
          <w:tcPr>
            <w:tcW w:w="850" w:type="dxa"/>
            <w:noWrap w:val="0"/>
            <w:vAlign w:val="center"/>
          </w:tcPr>
          <w:p w14:paraId="3B556A6B">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276" w:type="dxa"/>
            <w:noWrap w:val="0"/>
            <w:vAlign w:val="center"/>
          </w:tcPr>
          <w:p w14:paraId="008EBD5A">
            <w:pPr>
              <w:widowControl/>
              <w:jc w:val="center"/>
              <w:rPr>
                <w:rFonts w:ascii="宋体" w:hAnsi="宋体" w:cs="宋体"/>
                <w:color w:val="000000"/>
                <w:kern w:val="0"/>
                <w:sz w:val="24"/>
              </w:rPr>
            </w:pPr>
            <w:r>
              <w:rPr>
                <w:rFonts w:hint="eastAsia" w:ascii="宋体" w:hAnsi="宋体" w:cs="宋体"/>
                <w:color w:val="000000"/>
                <w:kern w:val="0"/>
                <w:sz w:val="24"/>
              </w:rPr>
              <w:t>Z≥80000</w:t>
            </w:r>
          </w:p>
        </w:tc>
        <w:tc>
          <w:tcPr>
            <w:tcW w:w="1788" w:type="dxa"/>
            <w:noWrap w:val="0"/>
            <w:vAlign w:val="center"/>
          </w:tcPr>
          <w:p w14:paraId="6455D0D4">
            <w:pPr>
              <w:widowControl/>
              <w:jc w:val="center"/>
              <w:rPr>
                <w:rFonts w:ascii="宋体" w:hAnsi="宋体" w:cs="宋体"/>
                <w:color w:val="000000"/>
                <w:kern w:val="0"/>
                <w:sz w:val="24"/>
              </w:rPr>
            </w:pPr>
            <w:r>
              <w:rPr>
                <w:rFonts w:hint="eastAsia" w:ascii="宋体" w:hAnsi="宋体" w:cs="宋体"/>
                <w:color w:val="000000"/>
                <w:kern w:val="0"/>
                <w:sz w:val="24"/>
              </w:rPr>
              <w:t>5000≤Z＜80000</w:t>
            </w:r>
          </w:p>
        </w:tc>
        <w:tc>
          <w:tcPr>
            <w:tcW w:w="1614" w:type="dxa"/>
            <w:noWrap w:val="0"/>
            <w:vAlign w:val="center"/>
          </w:tcPr>
          <w:p w14:paraId="57FCC9EE">
            <w:pPr>
              <w:widowControl/>
              <w:jc w:val="center"/>
              <w:rPr>
                <w:rFonts w:ascii="宋体" w:hAnsi="宋体" w:cs="宋体"/>
                <w:color w:val="000000"/>
                <w:kern w:val="0"/>
                <w:sz w:val="24"/>
              </w:rPr>
            </w:pPr>
            <w:r>
              <w:rPr>
                <w:rFonts w:hint="eastAsia" w:ascii="宋体" w:hAnsi="宋体" w:cs="宋体"/>
                <w:color w:val="000000"/>
                <w:kern w:val="0"/>
                <w:sz w:val="24"/>
              </w:rPr>
              <w:t xml:space="preserve"> 300≤Z＜5000</w:t>
            </w:r>
          </w:p>
        </w:tc>
        <w:tc>
          <w:tcPr>
            <w:tcW w:w="804" w:type="dxa"/>
            <w:noWrap w:val="0"/>
            <w:vAlign w:val="center"/>
          </w:tcPr>
          <w:p w14:paraId="4FD0B310">
            <w:pPr>
              <w:widowControl/>
              <w:jc w:val="center"/>
              <w:rPr>
                <w:rFonts w:ascii="宋体" w:hAnsi="宋体" w:cs="宋体"/>
                <w:color w:val="000000"/>
                <w:kern w:val="0"/>
                <w:sz w:val="24"/>
              </w:rPr>
            </w:pPr>
            <w:r>
              <w:rPr>
                <w:rFonts w:hint="eastAsia" w:ascii="宋体" w:hAnsi="宋体" w:cs="宋体"/>
                <w:color w:val="000000"/>
                <w:kern w:val="0"/>
                <w:sz w:val="24"/>
              </w:rPr>
              <w:t>Z＜300</w:t>
            </w:r>
          </w:p>
        </w:tc>
      </w:tr>
      <w:tr w14:paraId="5F871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14:paraId="7D206A02">
            <w:pPr>
              <w:widowControl/>
              <w:spacing w:line="240" w:lineRule="exact"/>
              <w:jc w:val="left"/>
              <w:rPr>
                <w:rFonts w:ascii="宋体" w:hAnsi="宋体" w:cs="宋体"/>
                <w:color w:val="000000"/>
                <w:kern w:val="0"/>
                <w:sz w:val="24"/>
              </w:rPr>
            </w:pPr>
            <w:r>
              <w:rPr>
                <w:rFonts w:hint="eastAsia" w:ascii="宋体" w:hAnsi="宋体" w:cs="宋体"/>
                <w:color w:val="000000"/>
                <w:kern w:val="0"/>
                <w:sz w:val="24"/>
              </w:rPr>
              <w:t>批发业</w:t>
            </w:r>
          </w:p>
        </w:tc>
        <w:tc>
          <w:tcPr>
            <w:tcW w:w="1560" w:type="dxa"/>
            <w:noWrap w:val="0"/>
            <w:vAlign w:val="center"/>
          </w:tcPr>
          <w:p w14:paraId="29AAD262">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850" w:type="dxa"/>
            <w:noWrap w:val="0"/>
            <w:vAlign w:val="center"/>
          </w:tcPr>
          <w:p w14:paraId="29B80821">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276" w:type="dxa"/>
            <w:noWrap w:val="0"/>
            <w:vAlign w:val="center"/>
          </w:tcPr>
          <w:p w14:paraId="0BDDC769">
            <w:pPr>
              <w:widowControl/>
              <w:jc w:val="center"/>
              <w:rPr>
                <w:rFonts w:ascii="宋体" w:hAnsi="宋体" w:cs="宋体"/>
                <w:color w:val="000000"/>
                <w:kern w:val="0"/>
                <w:sz w:val="24"/>
              </w:rPr>
            </w:pPr>
            <w:r>
              <w:rPr>
                <w:rFonts w:hint="eastAsia" w:ascii="宋体" w:hAnsi="宋体" w:cs="宋体"/>
                <w:color w:val="000000"/>
                <w:kern w:val="0"/>
                <w:sz w:val="24"/>
              </w:rPr>
              <w:t>X≥200</w:t>
            </w:r>
          </w:p>
        </w:tc>
        <w:tc>
          <w:tcPr>
            <w:tcW w:w="1788" w:type="dxa"/>
            <w:noWrap w:val="0"/>
            <w:vAlign w:val="center"/>
          </w:tcPr>
          <w:p w14:paraId="60CA8C6C">
            <w:pPr>
              <w:widowControl/>
              <w:jc w:val="center"/>
              <w:rPr>
                <w:rFonts w:ascii="宋体" w:hAnsi="宋体" w:cs="宋体"/>
                <w:color w:val="000000"/>
                <w:kern w:val="0"/>
                <w:sz w:val="24"/>
              </w:rPr>
            </w:pPr>
            <w:r>
              <w:rPr>
                <w:rFonts w:hint="eastAsia" w:ascii="宋体" w:hAnsi="宋体" w:cs="宋体"/>
                <w:color w:val="000000"/>
                <w:kern w:val="0"/>
                <w:sz w:val="24"/>
              </w:rPr>
              <w:t>20≤X＜200</w:t>
            </w:r>
          </w:p>
        </w:tc>
        <w:tc>
          <w:tcPr>
            <w:tcW w:w="1614" w:type="dxa"/>
            <w:noWrap w:val="0"/>
            <w:vAlign w:val="center"/>
          </w:tcPr>
          <w:p w14:paraId="20C92B55">
            <w:pPr>
              <w:widowControl/>
              <w:jc w:val="center"/>
              <w:rPr>
                <w:rFonts w:ascii="宋体" w:hAnsi="宋体" w:cs="宋体"/>
                <w:color w:val="000000"/>
                <w:kern w:val="0"/>
                <w:sz w:val="24"/>
              </w:rPr>
            </w:pPr>
            <w:r>
              <w:rPr>
                <w:rFonts w:hint="eastAsia" w:ascii="宋体" w:hAnsi="宋体" w:cs="宋体"/>
                <w:color w:val="000000"/>
                <w:kern w:val="0"/>
                <w:sz w:val="24"/>
              </w:rPr>
              <w:t xml:space="preserve"> 5≤X＜20</w:t>
            </w:r>
          </w:p>
        </w:tc>
        <w:tc>
          <w:tcPr>
            <w:tcW w:w="804" w:type="dxa"/>
            <w:noWrap w:val="0"/>
            <w:vAlign w:val="center"/>
          </w:tcPr>
          <w:p w14:paraId="20A7148E">
            <w:pPr>
              <w:widowControl/>
              <w:jc w:val="center"/>
              <w:rPr>
                <w:rFonts w:ascii="宋体" w:hAnsi="宋体" w:cs="宋体"/>
                <w:color w:val="000000"/>
                <w:kern w:val="0"/>
                <w:sz w:val="24"/>
              </w:rPr>
            </w:pPr>
            <w:r>
              <w:rPr>
                <w:rFonts w:hint="eastAsia" w:ascii="宋体" w:hAnsi="宋体" w:cs="宋体"/>
                <w:color w:val="000000"/>
                <w:kern w:val="0"/>
                <w:sz w:val="24"/>
              </w:rPr>
              <w:t>X＜5</w:t>
            </w:r>
          </w:p>
        </w:tc>
      </w:tr>
      <w:tr w14:paraId="2C9F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noWrap w:val="0"/>
            <w:vAlign w:val="center"/>
          </w:tcPr>
          <w:p w14:paraId="25BE7FA4">
            <w:pPr>
              <w:widowControl/>
              <w:jc w:val="left"/>
              <w:rPr>
                <w:rFonts w:ascii="宋体" w:hAnsi="宋体" w:cs="宋体"/>
                <w:color w:val="000000"/>
                <w:kern w:val="0"/>
                <w:sz w:val="24"/>
              </w:rPr>
            </w:pPr>
          </w:p>
        </w:tc>
        <w:tc>
          <w:tcPr>
            <w:tcW w:w="1560" w:type="dxa"/>
            <w:noWrap w:val="0"/>
            <w:vAlign w:val="center"/>
          </w:tcPr>
          <w:p w14:paraId="3D5B7EE7">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营业收入(Y)</w:t>
            </w:r>
          </w:p>
        </w:tc>
        <w:tc>
          <w:tcPr>
            <w:tcW w:w="850" w:type="dxa"/>
            <w:noWrap w:val="0"/>
            <w:vAlign w:val="center"/>
          </w:tcPr>
          <w:p w14:paraId="4A5B5293">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276" w:type="dxa"/>
            <w:noWrap w:val="0"/>
            <w:vAlign w:val="center"/>
          </w:tcPr>
          <w:p w14:paraId="47B7B503">
            <w:pPr>
              <w:widowControl/>
              <w:jc w:val="center"/>
              <w:rPr>
                <w:rFonts w:ascii="宋体" w:hAnsi="宋体" w:cs="宋体"/>
                <w:color w:val="000000"/>
                <w:kern w:val="0"/>
                <w:sz w:val="24"/>
              </w:rPr>
            </w:pPr>
            <w:r>
              <w:rPr>
                <w:rFonts w:hint="eastAsia" w:ascii="宋体" w:hAnsi="宋体" w:cs="宋体"/>
                <w:color w:val="000000"/>
                <w:kern w:val="0"/>
                <w:sz w:val="24"/>
              </w:rPr>
              <w:t>Y≥40000</w:t>
            </w:r>
          </w:p>
        </w:tc>
        <w:tc>
          <w:tcPr>
            <w:tcW w:w="1788" w:type="dxa"/>
            <w:noWrap w:val="0"/>
            <w:vAlign w:val="center"/>
          </w:tcPr>
          <w:p w14:paraId="638DBC7E">
            <w:pPr>
              <w:widowControl/>
              <w:jc w:val="center"/>
              <w:rPr>
                <w:rFonts w:ascii="宋体" w:hAnsi="宋体" w:cs="宋体"/>
                <w:color w:val="000000"/>
                <w:kern w:val="0"/>
                <w:sz w:val="24"/>
              </w:rPr>
            </w:pPr>
            <w:r>
              <w:rPr>
                <w:rFonts w:hint="eastAsia" w:ascii="宋体" w:hAnsi="宋体" w:cs="宋体"/>
                <w:color w:val="000000"/>
                <w:kern w:val="0"/>
                <w:sz w:val="24"/>
              </w:rPr>
              <w:t>5000≤Y＜40000</w:t>
            </w:r>
          </w:p>
        </w:tc>
        <w:tc>
          <w:tcPr>
            <w:tcW w:w="1614" w:type="dxa"/>
            <w:noWrap w:val="0"/>
            <w:vAlign w:val="center"/>
          </w:tcPr>
          <w:p w14:paraId="56475C74">
            <w:pPr>
              <w:widowControl/>
              <w:ind w:left="-1" w:leftChars="-1" w:hanging="1"/>
              <w:jc w:val="center"/>
              <w:rPr>
                <w:rFonts w:ascii="宋体" w:hAnsi="宋体" w:cs="宋体"/>
                <w:color w:val="000000"/>
                <w:kern w:val="0"/>
                <w:sz w:val="24"/>
              </w:rPr>
            </w:pPr>
            <w:r>
              <w:rPr>
                <w:rFonts w:hint="eastAsia" w:ascii="宋体" w:hAnsi="宋体" w:cs="宋体"/>
                <w:color w:val="000000"/>
                <w:kern w:val="0"/>
                <w:sz w:val="24"/>
              </w:rPr>
              <w:t>1000≤Y＜5000</w:t>
            </w:r>
          </w:p>
        </w:tc>
        <w:tc>
          <w:tcPr>
            <w:tcW w:w="804" w:type="dxa"/>
            <w:noWrap w:val="0"/>
            <w:vAlign w:val="center"/>
          </w:tcPr>
          <w:p w14:paraId="6C9BF04A">
            <w:pPr>
              <w:widowControl/>
              <w:jc w:val="center"/>
              <w:rPr>
                <w:rFonts w:ascii="宋体" w:hAnsi="宋体" w:cs="宋体"/>
                <w:color w:val="000000"/>
                <w:kern w:val="0"/>
                <w:sz w:val="24"/>
              </w:rPr>
            </w:pPr>
            <w:r>
              <w:rPr>
                <w:rFonts w:hint="eastAsia" w:ascii="宋体" w:hAnsi="宋体" w:cs="宋体"/>
                <w:color w:val="000000"/>
                <w:kern w:val="0"/>
                <w:sz w:val="24"/>
              </w:rPr>
              <w:t>Y＜1000</w:t>
            </w:r>
          </w:p>
        </w:tc>
      </w:tr>
      <w:tr w14:paraId="7E0A6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14:paraId="7E7D07C4">
            <w:pPr>
              <w:widowControl/>
              <w:spacing w:line="240" w:lineRule="exact"/>
              <w:jc w:val="left"/>
              <w:rPr>
                <w:rFonts w:ascii="宋体" w:hAnsi="宋体" w:cs="宋体"/>
                <w:color w:val="000000"/>
                <w:kern w:val="0"/>
                <w:sz w:val="24"/>
              </w:rPr>
            </w:pPr>
            <w:r>
              <w:rPr>
                <w:rFonts w:hint="eastAsia" w:ascii="宋体" w:hAnsi="宋体" w:cs="宋体"/>
                <w:color w:val="000000"/>
                <w:kern w:val="0"/>
                <w:sz w:val="24"/>
              </w:rPr>
              <w:t>零售业</w:t>
            </w:r>
          </w:p>
        </w:tc>
        <w:tc>
          <w:tcPr>
            <w:tcW w:w="1560" w:type="dxa"/>
            <w:noWrap w:val="0"/>
            <w:vAlign w:val="center"/>
          </w:tcPr>
          <w:p w14:paraId="4AB8F0A9">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850" w:type="dxa"/>
            <w:noWrap w:val="0"/>
            <w:vAlign w:val="center"/>
          </w:tcPr>
          <w:p w14:paraId="71479D1A">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276" w:type="dxa"/>
            <w:noWrap w:val="0"/>
            <w:vAlign w:val="center"/>
          </w:tcPr>
          <w:p w14:paraId="75BCF3CC">
            <w:pPr>
              <w:widowControl/>
              <w:jc w:val="center"/>
              <w:rPr>
                <w:rFonts w:ascii="宋体" w:hAnsi="宋体" w:cs="宋体"/>
                <w:color w:val="000000"/>
                <w:kern w:val="0"/>
                <w:sz w:val="24"/>
              </w:rPr>
            </w:pPr>
            <w:r>
              <w:rPr>
                <w:rFonts w:hint="eastAsia" w:ascii="宋体" w:hAnsi="宋体" w:cs="宋体"/>
                <w:color w:val="000000"/>
                <w:kern w:val="0"/>
                <w:sz w:val="24"/>
              </w:rPr>
              <w:t>X≥300</w:t>
            </w:r>
          </w:p>
        </w:tc>
        <w:tc>
          <w:tcPr>
            <w:tcW w:w="1788" w:type="dxa"/>
            <w:noWrap w:val="0"/>
            <w:vAlign w:val="center"/>
          </w:tcPr>
          <w:p w14:paraId="1891AC4D">
            <w:pPr>
              <w:widowControl/>
              <w:jc w:val="center"/>
              <w:rPr>
                <w:rFonts w:ascii="宋体" w:hAnsi="宋体" w:cs="宋体"/>
                <w:color w:val="000000"/>
                <w:kern w:val="0"/>
                <w:sz w:val="24"/>
              </w:rPr>
            </w:pPr>
            <w:r>
              <w:rPr>
                <w:rFonts w:hint="eastAsia" w:ascii="宋体" w:hAnsi="宋体" w:cs="宋体"/>
                <w:color w:val="000000"/>
                <w:kern w:val="0"/>
                <w:sz w:val="24"/>
              </w:rPr>
              <w:t>50≤X＜300</w:t>
            </w:r>
          </w:p>
        </w:tc>
        <w:tc>
          <w:tcPr>
            <w:tcW w:w="1614" w:type="dxa"/>
            <w:noWrap w:val="0"/>
            <w:vAlign w:val="center"/>
          </w:tcPr>
          <w:p w14:paraId="35507DEE">
            <w:pPr>
              <w:widowControl/>
              <w:ind w:left="-1" w:leftChars="-1" w:hanging="1"/>
              <w:jc w:val="center"/>
              <w:rPr>
                <w:rFonts w:ascii="宋体" w:hAnsi="宋体" w:cs="宋体"/>
                <w:color w:val="000000"/>
                <w:kern w:val="0"/>
                <w:sz w:val="24"/>
              </w:rPr>
            </w:pPr>
            <w:r>
              <w:rPr>
                <w:rFonts w:hint="eastAsia" w:ascii="宋体" w:hAnsi="宋体" w:cs="宋体"/>
                <w:color w:val="000000"/>
                <w:kern w:val="0"/>
                <w:sz w:val="24"/>
              </w:rPr>
              <w:t xml:space="preserve">10≤X＜50 </w:t>
            </w:r>
          </w:p>
        </w:tc>
        <w:tc>
          <w:tcPr>
            <w:tcW w:w="804" w:type="dxa"/>
            <w:noWrap w:val="0"/>
            <w:vAlign w:val="center"/>
          </w:tcPr>
          <w:p w14:paraId="3159ACA3">
            <w:pPr>
              <w:widowControl/>
              <w:jc w:val="center"/>
              <w:rPr>
                <w:rFonts w:ascii="宋体" w:hAnsi="宋体" w:cs="宋体"/>
                <w:color w:val="000000"/>
                <w:kern w:val="0"/>
                <w:sz w:val="24"/>
              </w:rPr>
            </w:pPr>
            <w:r>
              <w:rPr>
                <w:rFonts w:hint="eastAsia" w:ascii="宋体" w:hAnsi="宋体" w:cs="宋体"/>
                <w:color w:val="000000"/>
                <w:kern w:val="0"/>
                <w:sz w:val="24"/>
              </w:rPr>
              <w:t>X＜10</w:t>
            </w:r>
          </w:p>
        </w:tc>
      </w:tr>
      <w:tr w14:paraId="62EB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noWrap w:val="0"/>
            <w:vAlign w:val="center"/>
          </w:tcPr>
          <w:p w14:paraId="0F25935B">
            <w:pPr>
              <w:widowControl/>
              <w:jc w:val="left"/>
              <w:rPr>
                <w:rFonts w:ascii="宋体" w:hAnsi="宋体" w:cs="宋体"/>
                <w:color w:val="000000"/>
                <w:kern w:val="0"/>
                <w:sz w:val="24"/>
              </w:rPr>
            </w:pPr>
          </w:p>
        </w:tc>
        <w:tc>
          <w:tcPr>
            <w:tcW w:w="1560" w:type="dxa"/>
            <w:noWrap w:val="0"/>
            <w:vAlign w:val="center"/>
          </w:tcPr>
          <w:p w14:paraId="2A03DF0B">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营业收入(Y)</w:t>
            </w:r>
          </w:p>
        </w:tc>
        <w:tc>
          <w:tcPr>
            <w:tcW w:w="850" w:type="dxa"/>
            <w:noWrap w:val="0"/>
            <w:vAlign w:val="center"/>
          </w:tcPr>
          <w:p w14:paraId="5D5C5441">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276" w:type="dxa"/>
            <w:noWrap w:val="0"/>
            <w:vAlign w:val="center"/>
          </w:tcPr>
          <w:p w14:paraId="210B598D">
            <w:pPr>
              <w:widowControl/>
              <w:jc w:val="center"/>
              <w:rPr>
                <w:rFonts w:ascii="宋体" w:hAnsi="宋体" w:cs="宋体"/>
                <w:color w:val="000000"/>
                <w:kern w:val="0"/>
                <w:sz w:val="24"/>
              </w:rPr>
            </w:pPr>
            <w:r>
              <w:rPr>
                <w:rFonts w:hint="eastAsia" w:ascii="宋体" w:hAnsi="宋体" w:cs="宋体"/>
                <w:color w:val="000000"/>
                <w:kern w:val="0"/>
                <w:sz w:val="24"/>
              </w:rPr>
              <w:t>Y≥20000</w:t>
            </w:r>
          </w:p>
        </w:tc>
        <w:tc>
          <w:tcPr>
            <w:tcW w:w="1788" w:type="dxa"/>
            <w:noWrap w:val="0"/>
            <w:vAlign w:val="center"/>
          </w:tcPr>
          <w:p w14:paraId="05CA366B">
            <w:pPr>
              <w:widowControl/>
              <w:jc w:val="center"/>
              <w:rPr>
                <w:rFonts w:ascii="宋体" w:hAnsi="宋体" w:cs="宋体"/>
                <w:color w:val="000000"/>
                <w:kern w:val="0"/>
                <w:sz w:val="24"/>
              </w:rPr>
            </w:pPr>
            <w:r>
              <w:rPr>
                <w:rFonts w:hint="eastAsia" w:ascii="宋体" w:hAnsi="宋体" w:cs="宋体"/>
                <w:color w:val="000000"/>
                <w:kern w:val="0"/>
                <w:sz w:val="24"/>
              </w:rPr>
              <w:t xml:space="preserve"> 500≤Y＜20000</w:t>
            </w:r>
          </w:p>
        </w:tc>
        <w:tc>
          <w:tcPr>
            <w:tcW w:w="1614" w:type="dxa"/>
            <w:noWrap w:val="0"/>
            <w:vAlign w:val="center"/>
          </w:tcPr>
          <w:p w14:paraId="795A2A0E">
            <w:pPr>
              <w:widowControl/>
              <w:ind w:left="-1" w:leftChars="-1" w:hanging="1"/>
              <w:jc w:val="center"/>
              <w:rPr>
                <w:rFonts w:ascii="宋体" w:hAnsi="宋体" w:cs="宋体"/>
                <w:color w:val="000000"/>
                <w:kern w:val="0"/>
                <w:sz w:val="24"/>
              </w:rPr>
            </w:pPr>
            <w:r>
              <w:rPr>
                <w:rFonts w:hint="eastAsia" w:ascii="宋体" w:hAnsi="宋体" w:cs="宋体"/>
                <w:color w:val="000000"/>
                <w:kern w:val="0"/>
                <w:sz w:val="24"/>
              </w:rPr>
              <w:t xml:space="preserve">100≤Y＜500 </w:t>
            </w:r>
          </w:p>
        </w:tc>
        <w:tc>
          <w:tcPr>
            <w:tcW w:w="804" w:type="dxa"/>
            <w:noWrap w:val="0"/>
            <w:vAlign w:val="center"/>
          </w:tcPr>
          <w:p w14:paraId="5061F2BD">
            <w:pPr>
              <w:widowControl/>
              <w:jc w:val="center"/>
              <w:rPr>
                <w:rFonts w:ascii="宋体" w:hAnsi="宋体" w:cs="宋体"/>
                <w:color w:val="000000"/>
                <w:kern w:val="0"/>
                <w:sz w:val="24"/>
              </w:rPr>
            </w:pPr>
            <w:r>
              <w:rPr>
                <w:rFonts w:hint="eastAsia" w:ascii="宋体" w:hAnsi="宋体" w:cs="宋体"/>
                <w:color w:val="000000"/>
                <w:kern w:val="0"/>
                <w:sz w:val="24"/>
              </w:rPr>
              <w:t>Y＜100</w:t>
            </w:r>
          </w:p>
        </w:tc>
      </w:tr>
      <w:tr w14:paraId="4767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14:paraId="76FC97DF">
            <w:pPr>
              <w:widowControl/>
              <w:spacing w:line="240" w:lineRule="exact"/>
              <w:jc w:val="left"/>
              <w:rPr>
                <w:rFonts w:ascii="宋体" w:hAnsi="宋体" w:cs="宋体"/>
                <w:color w:val="000000"/>
                <w:kern w:val="0"/>
                <w:sz w:val="24"/>
              </w:rPr>
            </w:pPr>
            <w:r>
              <w:rPr>
                <w:rFonts w:hint="eastAsia" w:ascii="宋体" w:hAnsi="宋体" w:cs="宋体"/>
                <w:color w:val="000000"/>
                <w:kern w:val="0"/>
                <w:sz w:val="24"/>
              </w:rPr>
              <w:t>交通运输业 *</w:t>
            </w:r>
          </w:p>
        </w:tc>
        <w:tc>
          <w:tcPr>
            <w:tcW w:w="1560" w:type="dxa"/>
            <w:noWrap w:val="0"/>
            <w:vAlign w:val="center"/>
          </w:tcPr>
          <w:p w14:paraId="7780742C">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850" w:type="dxa"/>
            <w:noWrap w:val="0"/>
            <w:vAlign w:val="center"/>
          </w:tcPr>
          <w:p w14:paraId="2EC173DD">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276" w:type="dxa"/>
            <w:noWrap w:val="0"/>
            <w:vAlign w:val="center"/>
          </w:tcPr>
          <w:p w14:paraId="1FF5EFCC">
            <w:pPr>
              <w:widowControl/>
              <w:jc w:val="center"/>
              <w:rPr>
                <w:rFonts w:ascii="宋体" w:hAnsi="宋体" w:cs="宋体"/>
                <w:color w:val="000000"/>
                <w:kern w:val="0"/>
                <w:sz w:val="24"/>
              </w:rPr>
            </w:pPr>
            <w:r>
              <w:rPr>
                <w:rFonts w:hint="eastAsia" w:ascii="宋体" w:hAnsi="宋体" w:cs="宋体"/>
                <w:color w:val="000000"/>
                <w:kern w:val="0"/>
                <w:sz w:val="24"/>
              </w:rPr>
              <w:t>X≥1000</w:t>
            </w:r>
          </w:p>
        </w:tc>
        <w:tc>
          <w:tcPr>
            <w:tcW w:w="1788" w:type="dxa"/>
            <w:noWrap w:val="0"/>
            <w:vAlign w:val="center"/>
          </w:tcPr>
          <w:p w14:paraId="1B2E8459">
            <w:pPr>
              <w:widowControl/>
              <w:jc w:val="center"/>
              <w:rPr>
                <w:rFonts w:ascii="宋体" w:hAnsi="宋体" w:cs="宋体"/>
                <w:color w:val="000000"/>
                <w:kern w:val="0"/>
                <w:sz w:val="24"/>
              </w:rPr>
            </w:pPr>
            <w:r>
              <w:rPr>
                <w:rFonts w:hint="eastAsia" w:ascii="宋体" w:hAnsi="宋体" w:cs="宋体"/>
                <w:color w:val="000000"/>
                <w:kern w:val="0"/>
                <w:sz w:val="24"/>
              </w:rPr>
              <w:t>300≤X＜1000</w:t>
            </w:r>
          </w:p>
        </w:tc>
        <w:tc>
          <w:tcPr>
            <w:tcW w:w="1614" w:type="dxa"/>
            <w:noWrap w:val="0"/>
            <w:vAlign w:val="center"/>
          </w:tcPr>
          <w:p w14:paraId="0029AEAC">
            <w:pPr>
              <w:widowControl/>
              <w:jc w:val="center"/>
              <w:rPr>
                <w:rFonts w:ascii="宋体" w:hAnsi="宋体" w:cs="宋体"/>
                <w:color w:val="000000"/>
                <w:kern w:val="0"/>
                <w:sz w:val="24"/>
              </w:rPr>
            </w:pPr>
            <w:r>
              <w:rPr>
                <w:rFonts w:hint="eastAsia" w:ascii="宋体" w:hAnsi="宋体" w:cs="宋体"/>
                <w:color w:val="000000"/>
                <w:kern w:val="0"/>
                <w:sz w:val="24"/>
              </w:rPr>
              <w:t xml:space="preserve"> 20≤X＜300</w:t>
            </w:r>
          </w:p>
        </w:tc>
        <w:tc>
          <w:tcPr>
            <w:tcW w:w="804" w:type="dxa"/>
            <w:noWrap w:val="0"/>
            <w:vAlign w:val="center"/>
          </w:tcPr>
          <w:p w14:paraId="33F7F9A4">
            <w:pPr>
              <w:widowControl/>
              <w:jc w:val="center"/>
              <w:rPr>
                <w:rFonts w:ascii="宋体" w:hAnsi="宋体" w:cs="宋体"/>
                <w:color w:val="000000"/>
                <w:kern w:val="0"/>
                <w:sz w:val="24"/>
              </w:rPr>
            </w:pPr>
            <w:r>
              <w:rPr>
                <w:rFonts w:hint="eastAsia" w:ascii="宋体" w:hAnsi="宋体" w:cs="宋体"/>
                <w:color w:val="000000"/>
                <w:kern w:val="0"/>
                <w:sz w:val="24"/>
              </w:rPr>
              <w:t>X＜20</w:t>
            </w:r>
          </w:p>
        </w:tc>
      </w:tr>
      <w:tr w14:paraId="05FAD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continue"/>
            <w:noWrap w:val="0"/>
            <w:vAlign w:val="center"/>
          </w:tcPr>
          <w:p w14:paraId="256915C9">
            <w:pPr>
              <w:widowControl/>
              <w:jc w:val="left"/>
              <w:rPr>
                <w:rFonts w:ascii="宋体" w:hAnsi="宋体" w:cs="宋体"/>
                <w:color w:val="000000"/>
                <w:kern w:val="0"/>
                <w:sz w:val="24"/>
              </w:rPr>
            </w:pPr>
          </w:p>
        </w:tc>
        <w:tc>
          <w:tcPr>
            <w:tcW w:w="1560" w:type="dxa"/>
            <w:noWrap w:val="0"/>
            <w:vAlign w:val="center"/>
          </w:tcPr>
          <w:p w14:paraId="285A6F2A">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营业收入(Y)</w:t>
            </w:r>
          </w:p>
        </w:tc>
        <w:tc>
          <w:tcPr>
            <w:tcW w:w="850" w:type="dxa"/>
            <w:noWrap w:val="0"/>
            <w:vAlign w:val="center"/>
          </w:tcPr>
          <w:p w14:paraId="7A419F12">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276" w:type="dxa"/>
            <w:noWrap w:val="0"/>
            <w:vAlign w:val="center"/>
          </w:tcPr>
          <w:p w14:paraId="3D7A7400">
            <w:pPr>
              <w:widowControl/>
              <w:jc w:val="center"/>
              <w:rPr>
                <w:rFonts w:ascii="宋体" w:hAnsi="宋体" w:cs="宋体"/>
                <w:color w:val="000000"/>
                <w:kern w:val="0"/>
                <w:sz w:val="24"/>
              </w:rPr>
            </w:pPr>
            <w:r>
              <w:rPr>
                <w:rFonts w:hint="eastAsia" w:ascii="宋体" w:hAnsi="宋体" w:cs="宋体"/>
                <w:color w:val="000000"/>
                <w:kern w:val="0"/>
                <w:sz w:val="24"/>
              </w:rPr>
              <w:t>Y≥30000</w:t>
            </w:r>
          </w:p>
        </w:tc>
        <w:tc>
          <w:tcPr>
            <w:tcW w:w="1788" w:type="dxa"/>
            <w:noWrap w:val="0"/>
            <w:vAlign w:val="center"/>
          </w:tcPr>
          <w:p w14:paraId="4C0D1C3F">
            <w:pPr>
              <w:widowControl/>
              <w:jc w:val="center"/>
              <w:rPr>
                <w:rFonts w:ascii="宋体" w:hAnsi="宋体" w:cs="宋体"/>
                <w:color w:val="000000"/>
                <w:kern w:val="0"/>
                <w:sz w:val="24"/>
              </w:rPr>
            </w:pPr>
            <w:r>
              <w:rPr>
                <w:rFonts w:hint="eastAsia" w:ascii="宋体" w:hAnsi="宋体" w:cs="宋体"/>
                <w:color w:val="000000"/>
                <w:kern w:val="0"/>
                <w:sz w:val="24"/>
              </w:rPr>
              <w:t>3000≤Y＜30000</w:t>
            </w:r>
          </w:p>
        </w:tc>
        <w:tc>
          <w:tcPr>
            <w:tcW w:w="1614" w:type="dxa"/>
            <w:noWrap w:val="0"/>
            <w:vAlign w:val="center"/>
          </w:tcPr>
          <w:p w14:paraId="7232D7E6">
            <w:pPr>
              <w:widowControl/>
              <w:jc w:val="center"/>
              <w:rPr>
                <w:rFonts w:ascii="宋体" w:hAnsi="宋体" w:cs="宋体"/>
                <w:color w:val="000000"/>
                <w:kern w:val="0"/>
                <w:sz w:val="24"/>
              </w:rPr>
            </w:pPr>
            <w:r>
              <w:rPr>
                <w:rFonts w:hint="eastAsia" w:ascii="宋体" w:hAnsi="宋体" w:cs="宋体"/>
                <w:color w:val="000000"/>
                <w:kern w:val="0"/>
                <w:sz w:val="24"/>
              </w:rPr>
              <w:t xml:space="preserve"> 200≤Y＜3000</w:t>
            </w:r>
          </w:p>
        </w:tc>
        <w:tc>
          <w:tcPr>
            <w:tcW w:w="804" w:type="dxa"/>
            <w:noWrap w:val="0"/>
            <w:vAlign w:val="center"/>
          </w:tcPr>
          <w:p w14:paraId="2B094B6E">
            <w:pPr>
              <w:widowControl/>
              <w:jc w:val="center"/>
              <w:rPr>
                <w:rFonts w:ascii="宋体" w:hAnsi="宋体" w:cs="宋体"/>
                <w:color w:val="000000"/>
                <w:kern w:val="0"/>
                <w:sz w:val="24"/>
              </w:rPr>
            </w:pPr>
            <w:r>
              <w:rPr>
                <w:rFonts w:hint="eastAsia" w:ascii="宋体" w:hAnsi="宋体" w:cs="宋体"/>
                <w:color w:val="000000"/>
                <w:kern w:val="0"/>
                <w:sz w:val="24"/>
              </w:rPr>
              <w:t>Y＜200</w:t>
            </w:r>
          </w:p>
        </w:tc>
      </w:tr>
      <w:tr w14:paraId="57A17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14:paraId="356DBFCA">
            <w:pPr>
              <w:widowControl/>
              <w:spacing w:line="240" w:lineRule="exact"/>
              <w:jc w:val="left"/>
              <w:rPr>
                <w:rFonts w:ascii="宋体" w:hAnsi="宋体" w:cs="宋体"/>
                <w:color w:val="000000"/>
                <w:kern w:val="0"/>
                <w:sz w:val="24"/>
              </w:rPr>
            </w:pPr>
            <w:r>
              <w:rPr>
                <w:rFonts w:hint="eastAsia" w:ascii="宋体" w:hAnsi="宋体" w:cs="宋体"/>
                <w:color w:val="000000"/>
                <w:kern w:val="0"/>
                <w:sz w:val="24"/>
              </w:rPr>
              <w:t>仓储业*</w:t>
            </w:r>
          </w:p>
        </w:tc>
        <w:tc>
          <w:tcPr>
            <w:tcW w:w="1560" w:type="dxa"/>
            <w:noWrap w:val="0"/>
            <w:vAlign w:val="center"/>
          </w:tcPr>
          <w:p w14:paraId="174F6E66">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850" w:type="dxa"/>
            <w:noWrap w:val="0"/>
            <w:vAlign w:val="center"/>
          </w:tcPr>
          <w:p w14:paraId="598501E9">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276" w:type="dxa"/>
            <w:noWrap w:val="0"/>
            <w:vAlign w:val="center"/>
          </w:tcPr>
          <w:p w14:paraId="61312DC7">
            <w:pPr>
              <w:widowControl/>
              <w:jc w:val="center"/>
              <w:rPr>
                <w:rFonts w:ascii="宋体" w:hAnsi="宋体" w:cs="宋体"/>
                <w:color w:val="000000"/>
                <w:kern w:val="0"/>
                <w:sz w:val="24"/>
              </w:rPr>
            </w:pPr>
            <w:r>
              <w:rPr>
                <w:rFonts w:hint="eastAsia" w:ascii="宋体" w:hAnsi="宋体" w:cs="宋体"/>
                <w:color w:val="000000"/>
                <w:kern w:val="0"/>
                <w:sz w:val="24"/>
              </w:rPr>
              <w:t>X≥200</w:t>
            </w:r>
          </w:p>
        </w:tc>
        <w:tc>
          <w:tcPr>
            <w:tcW w:w="1788" w:type="dxa"/>
            <w:noWrap w:val="0"/>
            <w:vAlign w:val="center"/>
          </w:tcPr>
          <w:p w14:paraId="570F43C3">
            <w:pPr>
              <w:widowControl/>
              <w:ind w:left="37" w:leftChars="-51" w:hanging="144" w:hangingChars="60"/>
              <w:jc w:val="center"/>
              <w:rPr>
                <w:rFonts w:ascii="宋体" w:hAnsi="宋体" w:cs="宋体"/>
                <w:color w:val="000000"/>
                <w:kern w:val="0"/>
                <w:sz w:val="24"/>
              </w:rPr>
            </w:pPr>
            <w:r>
              <w:rPr>
                <w:rFonts w:hint="eastAsia" w:ascii="宋体" w:hAnsi="宋体" w:cs="宋体"/>
                <w:color w:val="000000"/>
                <w:kern w:val="0"/>
                <w:sz w:val="24"/>
              </w:rPr>
              <w:t>100≤X＜200</w:t>
            </w:r>
          </w:p>
        </w:tc>
        <w:tc>
          <w:tcPr>
            <w:tcW w:w="1614" w:type="dxa"/>
            <w:noWrap w:val="0"/>
            <w:vAlign w:val="center"/>
          </w:tcPr>
          <w:p w14:paraId="68594F7D">
            <w:pPr>
              <w:widowControl/>
              <w:jc w:val="center"/>
              <w:rPr>
                <w:rFonts w:ascii="宋体" w:hAnsi="宋体" w:cs="宋体"/>
                <w:color w:val="000000"/>
                <w:kern w:val="0"/>
                <w:sz w:val="24"/>
              </w:rPr>
            </w:pPr>
            <w:r>
              <w:rPr>
                <w:rFonts w:hint="eastAsia" w:ascii="宋体" w:hAnsi="宋体" w:cs="宋体"/>
                <w:color w:val="000000"/>
                <w:kern w:val="0"/>
                <w:sz w:val="24"/>
              </w:rPr>
              <w:t xml:space="preserve"> 20≤X＜100</w:t>
            </w:r>
          </w:p>
        </w:tc>
        <w:tc>
          <w:tcPr>
            <w:tcW w:w="804" w:type="dxa"/>
            <w:noWrap w:val="0"/>
            <w:vAlign w:val="center"/>
          </w:tcPr>
          <w:p w14:paraId="6475786B">
            <w:pPr>
              <w:widowControl/>
              <w:jc w:val="center"/>
              <w:rPr>
                <w:rFonts w:ascii="宋体" w:hAnsi="宋体" w:cs="宋体"/>
                <w:color w:val="000000"/>
                <w:kern w:val="0"/>
                <w:sz w:val="24"/>
              </w:rPr>
            </w:pPr>
            <w:r>
              <w:rPr>
                <w:rFonts w:hint="eastAsia" w:ascii="宋体" w:hAnsi="宋体" w:cs="宋体"/>
                <w:color w:val="000000"/>
                <w:kern w:val="0"/>
                <w:sz w:val="24"/>
              </w:rPr>
              <w:t>X＜20</w:t>
            </w:r>
          </w:p>
        </w:tc>
      </w:tr>
      <w:tr w14:paraId="69B9D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exact"/>
          <w:jc w:val="center"/>
        </w:trPr>
        <w:tc>
          <w:tcPr>
            <w:tcW w:w="1543" w:type="dxa"/>
            <w:vMerge w:val="continue"/>
            <w:noWrap w:val="0"/>
            <w:vAlign w:val="center"/>
          </w:tcPr>
          <w:p w14:paraId="498E9B9F">
            <w:pPr>
              <w:widowControl/>
              <w:jc w:val="left"/>
              <w:rPr>
                <w:rFonts w:ascii="宋体" w:hAnsi="宋体" w:cs="宋体"/>
                <w:color w:val="000000"/>
                <w:kern w:val="0"/>
                <w:sz w:val="24"/>
              </w:rPr>
            </w:pPr>
          </w:p>
        </w:tc>
        <w:tc>
          <w:tcPr>
            <w:tcW w:w="1560" w:type="dxa"/>
            <w:noWrap w:val="0"/>
            <w:vAlign w:val="center"/>
          </w:tcPr>
          <w:p w14:paraId="60DBF014">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营业收入(Y)</w:t>
            </w:r>
          </w:p>
        </w:tc>
        <w:tc>
          <w:tcPr>
            <w:tcW w:w="850" w:type="dxa"/>
            <w:noWrap w:val="0"/>
            <w:vAlign w:val="center"/>
          </w:tcPr>
          <w:p w14:paraId="474EB5D5">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276" w:type="dxa"/>
            <w:noWrap w:val="0"/>
            <w:vAlign w:val="center"/>
          </w:tcPr>
          <w:p w14:paraId="26068AC3">
            <w:pPr>
              <w:widowControl/>
              <w:jc w:val="center"/>
              <w:rPr>
                <w:rFonts w:ascii="宋体" w:hAnsi="宋体" w:cs="宋体"/>
                <w:color w:val="000000"/>
                <w:kern w:val="0"/>
                <w:sz w:val="24"/>
              </w:rPr>
            </w:pPr>
            <w:r>
              <w:rPr>
                <w:rFonts w:hint="eastAsia" w:ascii="宋体" w:hAnsi="宋体" w:cs="宋体"/>
                <w:color w:val="000000"/>
                <w:kern w:val="0"/>
                <w:sz w:val="24"/>
              </w:rPr>
              <w:t>Y≥30000</w:t>
            </w:r>
          </w:p>
        </w:tc>
        <w:tc>
          <w:tcPr>
            <w:tcW w:w="1788" w:type="dxa"/>
            <w:noWrap w:val="0"/>
            <w:vAlign w:val="center"/>
          </w:tcPr>
          <w:p w14:paraId="35B6A37A">
            <w:pPr>
              <w:widowControl/>
              <w:jc w:val="center"/>
              <w:rPr>
                <w:rFonts w:ascii="宋体" w:hAnsi="宋体" w:cs="宋体"/>
                <w:color w:val="000000"/>
                <w:kern w:val="0"/>
                <w:sz w:val="24"/>
              </w:rPr>
            </w:pPr>
            <w:r>
              <w:rPr>
                <w:rFonts w:hint="eastAsia" w:ascii="宋体" w:hAnsi="宋体" w:cs="宋体"/>
                <w:color w:val="000000"/>
                <w:kern w:val="0"/>
                <w:sz w:val="24"/>
              </w:rPr>
              <w:t>1000≤Y＜30000</w:t>
            </w:r>
          </w:p>
        </w:tc>
        <w:tc>
          <w:tcPr>
            <w:tcW w:w="1614" w:type="dxa"/>
            <w:noWrap w:val="0"/>
            <w:vAlign w:val="center"/>
          </w:tcPr>
          <w:p w14:paraId="51881F38">
            <w:pPr>
              <w:widowControl/>
              <w:jc w:val="center"/>
              <w:rPr>
                <w:rFonts w:ascii="宋体" w:hAnsi="宋体" w:cs="宋体"/>
                <w:color w:val="000000"/>
                <w:kern w:val="0"/>
                <w:sz w:val="24"/>
              </w:rPr>
            </w:pPr>
            <w:r>
              <w:rPr>
                <w:rFonts w:hint="eastAsia" w:ascii="宋体" w:hAnsi="宋体" w:cs="宋体"/>
                <w:color w:val="000000"/>
                <w:kern w:val="0"/>
                <w:sz w:val="24"/>
              </w:rPr>
              <w:t xml:space="preserve"> 100≤Y＜1000</w:t>
            </w:r>
          </w:p>
        </w:tc>
        <w:tc>
          <w:tcPr>
            <w:tcW w:w="804" w:type="dxa"/>
            <w:noWrap w:val="0"/>
            <w:vAlign w:val="center"/>
          </w:tcPr>
          <w:p w14:paraId="18EBB642">
            <w:pPr>
              <w:widowControl/>
              <w:jc w:val="center"/>
              <w:rPr>
                <w:rFonts w:ascii="宋体" w:hAnsi="宋体" w:cs="宋体"/>
                <w:color w:val="000000"/>
                <w:kern w:val="0"/>
                <w:sz w:val="24"/>
              </w:rPr>
            </w:pPr>
            <w:r>
              <w:rPr>
                <w:rFonts w:hint="eastAsia" w:ascii="宋体" w:hAnsi="宋体" w:cs="宋体"/>
                <w:color w:val="000000"/>
                <w:kern w:val="0"/>
                <w:sz w:val="24"/>
              </w:rPr>
              <w:t>Y＜100</w:t>
            </w:r>
          </w:p>
        </w:tc>
      </w:tr>
      <w:tr w14:paraId="4AD05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14:paraId="57A0BFE0">
            <w:pPr>
              <w:widowControl/>
              <w:spacing w:line="240" w:lineRule="exact"/>
              <w:jc w:val="left"/>
              <w:rPr>
                <w:rFonts w:ascii="宋体" w:hAnsi="宋体" w:cs="宋体"/>
                <w:color w:val="000000"/>
                <w:kern w:val="0"/>
                <w:sz w:val="24"/>
              </w:rPr>
            </w:pPr>
            <w:r>
              <w:rPr>
                <w:rFonts w:hint="eastAsia" w:ascii="宋体" w:hAnsi="宋体" w:cs="宋体"/>
                <w:color w:val="000000"/>
                <w:kern w:val="0"/>
                <w:sz w:val="24"/>
              </w:rPr>
              <w:t>邮政业</w:t>
            </w:r>
          </w:p>
        </w:tc>
        <w:tc>
          <w:tcPr>
            <w:tcW w:w="1560" w:type="dxa"/>
            <w:noWrap w:val="0"/>
            <w:vAlign w:val="center"/>
          </w:tcPr>
          <w:p w14:paraId="631A3882">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850" w:type="dxa"/>
            <w:noWrap w:val="0"/>
            <w:vAlign w:val="center"/>
          </w:tcPr>
          <w:p w14:paraId="21574A8B">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276" w:type="dxa"/>
            <w:noWrap w:val="0"/>
            <w:vAlign w:val="center"/>
          </w:tcPr>
          <w:p w14:paraId="40BA4992">
            <w:pPr>
              <w:widowControl/>
              <w:jc w:val="center"/>
              <w:rPr>
                <w:rFonts w:ascii="宋体" w:hAnsi="宋体" w:cs="宋体"/>
                <w:color w:val="000000"/>
                <w:kern w:val="0"/>
                <w:sz w:val="24"/>
              </w:rPr>
            </w:pPr>
            <w:r>
              <w:rPr>
                <w:rFonts w:hint="eastAsia" w:ascii="宋体" w:hAnsi="宋体" w:cs="宋体"/>
                <w:color w:val="000000"/>
                <w:kern w:val="0"/>
                <w:sz w:val="24"/>
              </w:rPr>
              <w:t>X≥1000</w:t>
            </w:r>
          </w:p>
        </w:tc>
        <w:tc>
          <w:tcPr>
            <w:tcW w:w="1788" w:type="dxa"/>
            <w:noWrap w:val="0"/>
            <w:vAlign w:val="center"/>
          </w:tcPr>
          <w:p w14:paraId="032336DA">
            <w:pPr>
              <w:widowControl/>
              <w:jc w:val="center"/>
              <w:rPr>
                <w:rFonts w:ascii="宋体" w:hAnsi="宋体" w:cs="宋体"/>
                <w:color w:val="000000"/>
                <w:kern w:val="0"/>
                <w:sz w:val="24"/>
              </w:rPr>
            </w:pPr>
            <w:r>
              <w:rPr>
                <w:rFonts w:hint="eastAsia" w:ascii="宋体" w:hAnsi="宋体" w:cs="宋体"/>
                <w:color w:val="000000"/>
                <w:kern w:val="0"/>
                <w:sz w:val="24"/>
              </w:rPr>
              <w:t>300≤X＜1000</w:t>
            </w:r>
          </w:p>
        </w:tc>
        <w:tc>
          <w:tcPr>
            <w:tcW w:w="1614" w:type="dxa"/>
            <w:noWrap w:val="0"/>
            <w:vAlign w:val="center"/>
          </w:tcPr>
          <w:p w14:paraId="08F17539">
            <w:pPr>
              <w:widowControl/>
              <w:jc w:val="center"/>
              <w:rPr>
                <w:rFonts w:ascii="宋体" w:hAnsi="宋体" w:cs="宋体"/>
                <w:color w:val="000000"/>
                <w:kern w:val="0"/>
                <w:sz w:val="24"/>
              </w:rPr>
            </w:pPr>
            <w:r>
              <w:rPr>
                <w:rFonts w:hint="eastAsia" w:ascii="宋体" w:hAnsi="宋体" w:cs="宋体"/>
                <w:color w:val="000000"/>
                <w:kern w:val="0"/>
                <w:sz w:val="24"/>
              </w:rPr>
              <w:t xml:space="preserve"> 20≤X＜300</w:t>
            </w:r>
          </w:p>
        </w:tc>
        <w:tc>
          <w:tcPr>
            <w:tcW w:w="804" w:type="dxa"/>
            <w:noWrap w:val="0"/>
            <w:vAlign w:val="center"/>
          </w:tcPr>
          <w:p w14:paraId="655BCAAE">
            <w:pPr>
              <w:widowControl/>
              <w:jc w:val="center"/>
              <w:rPr>
                <w:rFonts w:ascii="宋体" w:hAnsi="宋体" w:cs="宋体"/>
                <w:color w:val="000000"/>
                <w:kern w:val="0"/>
                <w:sz w:val="24"/>
              </w:rPr>
            </w:pPr>
            <w:r>
              <w:rPr>
                <w:rFonts w:hint="eastAsia" w:ascii="宋体" w:hAnsi="宋体" w:cs="宋体"/>
                <w:color w:val="000000"/>
                <w:kern w:val="0"/>
                <w:sz w:val="24"/>
              </w:rPr>
              <w:t>X＜20</w:t>
            </w:r>
          </w:p>
        </w:tc>
      </w:tr>
      <w:tr w14:paraId="5F457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1543" w:type="dxa"/>
            <w:vMerge w:val="continue"/>
            <w:noWrap w:val="0"/>
            <w:vAlign w:val="center"/>
          </w:tcPr>
          <w:p w14:paraId="3D85A961">
            <w:pPr>
              <w:widowControl/>
              <w:jc w:val="left"/>
              <w:rPr>
                <w:rFonts w:ascii="宋体" w:hAnsi="宋体" w:cs="宋体"/>
                <w:color w:val="000000"/>
                <w:kern w:val="0"/>
                <w:sz w:val="24"/>
              </w:rPr>
            </w:pPr>
          </w:p>
        </w:tc>
        <w:tc>
          <w:tcPr>
            <w:tcW w:w="1560" w:type="dxa"/>
            <w:noWrap w:val="0"/>
            <w:vAlign w:val="center"/>
          </w:tcPr>
          <w:p w14:paraId="27B3C39C">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营业收入(Y)</w:t>
            </w:r>
          </w:p>
        </w:tc>
        <w:tc>
          <w:tcPr>
            <w:tcW w:w="850" w:type="dxa"/>
            <w:noWrap w:val="0"/>
            <w:vAlign w:val="center"/>
          </w:tcPr>
          <w:p w14:paraId="1EBA1A7F">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276" w:type="dxa"/>
            <w:noWrap w:val="0"/>
            <w:vAlign w:val="center"/>
          </w:tcPr>
          <w:p w14:paraId="3030BBC9">
            <w:pPr>
              <w:widowControl/>
              <w:jc w:val="center"/>
              <w:rPr>
                <w:rFonts w:ascii="宋体" w:hAnsi="宋体" w:cs="宋体"/>
                <w:color w:val="000000"/>
                <w:kern w:val="0"/>
                <w:sz w:val="24"/>
              </w:rPr>
            </w:pPr>
            <w:r>
              <w:rPr>
                <w:rFonts w:hint="eastAsia" w:ascii="宋体" w:hAnsi="宋体" w:cs="宋体"/>
                <w:color w:val="000000"/>
                <w:kern w:val="0"/>
                <w:sz w:val="24"/>
              </w:rPr>
              <w:t>Y≥30000</w:t>
            </w:r>
          </w:p>
        </w:tc>
        <w:tc>
          <w:tcPr>
            <w:tcW w:w="1788" w:type="dxa"/>
            <w:noWrap w:val="0"/>
            <w:vAlign w:val="center"/>
          </w:tcPr>
          <w:p w14:paraId="0E64D87A">
            <w:pPr>
              <w:widowControl/>
              <w:jc w:val="center"/>
              <w:rPr>
                <w:rFonts w:ascii="宋体" w:hAnsi="宋体" w:cs="宋体"/>
                <w:color w:val="000000"/>
                <w:kern w:val="0"/>
                <w:sz w:val="24"/>
              </w:rPr>
            </w:pPr>
            <w:r>
              <w:rPr>
                <w:rFonts w:hint="eastAsia" w:ascii="宋体" w:hAnsi="宋体" w:cs="宋体"/>
                <w:color w:val="000000"/>
                <w:kern w:val="0"/>
                <w:sz w:val="24"/>
              </w:rPr>
              <w:t>2000≤Y＜30000</w:t>
            </w:r>
          </w:p>
        </w:tc>
        <w:tc>
          <w:tcPr>
            <w:tcW w:w="1614" w:type="dxa"/>
            <w:noWrap w:val="0"/>
            <w:vAlign w:val="center"/>
          </w:tcPr>
          <w:p w14:paraId="30963BE1">
            <w:pPr>
              <w:widowControl/>
              <w:jc w:val="center"/>
              <w:rPr>
                <w:rFonts w:ascii="宋体" w:hAnsi="宋体" w:cs="宋体"/>
                <w:color w:val="000000"/>
                <w:kern w:val="0"/>
                <w:sz w:val="24"/>
              </w:rPr>
            </w:pPr>
            <w:r>
              <w:rPr>
                <w:rFonts w:hint="eastAsia" w:ascii="宋体" w:hAnsi="宋体" w:cs="宋体"/>
                <w:color w:val="000000"/>
                <w:kern w:val="0"/>
                <w:sz w:val="24"/>
              </w:rPr>
              <w:t xml:space="preserve"> 100≤Y＜2000</w:t>
            </w:r>
          </w:p>
        </w:tc>
        <w:tc>
          <w:tcPr>
            <w:tcW w:w="804" w:type="dxa"/>
            <w:noWrap w:val="0"/>
            <w:vAlign w:val="center"/>
          </w:tcPr>
          <w:p w14:paraId="0C057780">
            <w:pPr>
              <w:widowControl/>
              <w:jc w:val="center"/>
              <w:rPr>
                <w:rFonts w:ascii="宋体" w:hAnsi="宋体" w:cs="宋体"/>
                <w:color w:val="000000"/>
                <w:kern w:val="0"/>
                <w:sz w:val="24"/>
              </w:rPr>
            </w:pPr>
            <w:r>
              <w:rPr>
                <w:rFonts w:hint="eastAsia" w:ascii="宋体" w:hAnsi="宋体" w:cs="宋体"/>
                <w:color w:val="000000"/>
                <w:kern w:val="0"/>
                <w:sz w:val="24"/>
              </w:rPr>
              <w:t>Y＜100</w:t>
            </w:r>
          </w:p>
        </w:tc>
      </w:tr>
      <w:tr w14:paraId="623F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14:paraId="371F6923">
            <w:pPr>
              <w:widowControl/>
              <w:spacing w:line="240" w:lineRule="exact"/>
              <w:jc w:val="left"/>
              <w:rPr>
                <w:rFonts w:ascii="宋体" w:hAnsi="宋体" w:cs="宋体"/>
                <w:color w:val="000000"/>
                <w:kern w:val="0"/>
                <w:sz w:val="24"/>
              </w:rPr>
            </w:pPr>
            <w:r>
              <w:rPr>
                <w:rFonts w:hint="eastAsia" w:ascii="宋体" w:hAnsi="宋体" w:cs="宋体"/>
                <w:color w:val="000000"/>
                <w:kern w:val="0"/>
                <w:sz w:val="24"/>
              </w:rPr>
              <w:t>住宿业</w:t>
            </w:r>
          </w:p>
        </w:tc>
        <w:tc>
          <w:tcPr>
            <w:tcW w:w="1560" w:type="dxa"/>
            <w:noWrap w:val="0"/>
            <w:vAlign w:val="center"/>
          </w:tcPr>
          <w:p w14:paraId="425FD2E3">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850" w:type="dxa"/>
            <w:noWrap w:val="0"/>
            <w:vAlign w:val="center"/>
          </w:tcPr>
          <w:p w14:paraId="4556F13C">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276" w:type="dxa"/>
            <w:noWrap w:val="0"/>
            <w:vAlign w:val="center"/>
          </w:tcPr>
          <w:p w14:paraId="7720C194">
            <w:pPr>
              <w:widowControl/>
              <w:jc w:val="center"/>
              <w:rPr>
                <w:rFonts w:ascii="宋体" w:hAnsi="宋体" w:cs="宋体"/>
                <w:color w:val="000000"/>
                <w:kern w:val="0"/>
                <w:sz w:val="24"/>
              </w:rPr>
            </w:pPr>
            <w:r>
              <w:rPr>
                <w:rFonts w:hint="eastAsia" w:ascii="宋体" w:hAnsi="宋体" w:cs="宋体"/>
                <w:color w:val="000000"/>
                <w:kern w:val="0"/>
                <w:sz w:val="24"/>
              </w:rPr>
              <w:t>X≥300</w:t>
            </w:r>
          </w:p>
        </w:tc>
        <w:tc>
          <w:tcPr>
            <w:tcW w:w="1788" w:type="dxa"/>
            <w:noWrap w:val="0"/>
            <w:vAlign w:val="center"/>
          </w:tcPr>
          <w:p w14:paraId="424052F7">
            <w:pPr>
              <w:widowControl/>
              <w:ind w:left="37" w:leftChars="-51" w:hanging="144" w:hangingChars="60"/>
              <w:jc w:val="center"/>
              <w:rPr>
                <w:rFonts w:ascii="宋体" w:hAnsi="宋体" w:cs="宋体"/>
                <w:color w:val="000000"/>
                <w:kern w:val="0"/>
                <w:sz w:val="24"/>
              </w:rPr>
            </w:pPr>
            <w:r>
              <w:rPr>
                <w:rFonts w:hint="eastAsia" w:ascii="宋体" w:hAnsi="宋体" w:cs="宋体"/>
                <w:color w:val="000000"/>
                <w:kern w:val="0"/>
                <w:sz w:val="24"/>
              </w:rPr>
              <w:t xml:space="preserve">100≤X＜300 </w:t>
            </w:r>
          </w:p>
        </w:tc>
        <w:tc>
          <w:tcPr>
            <w:tcW w:w="1614" w:type="dxa"/>
            <w:noWrap w:val="0"/>
            <w:vAlign w:val="center"/>
          </w:tcPr>
          <w:p w14:paraId="42CD3E8F">
            <w:pPr>
              <w:widowControl/>
              <w:jc w:val="center"/>
              <w:rPr>
                <w:rFonts w:ascii="宋体" w:hAnsi="宋体" w:cs="宋体"/>
                <w:color w:val="000000"/>
                <w:kern w:val="0"/>
                <w:sz w:val="24"/>
              </w:rPr>
            </w:pPr>
            <w:r>
              <w:rPr>
                <w:rFonts w:hint="eastAsia" w:ascii="宋体" w:hAnsi="宋体" w:cs="宋体"/>
                <w:color w:val="000000"/>
                <w:kern w:val="0"/>
                <w:sz w:val="24"/>
              </w:rPr>
              <w:t xml:space="preserve"> 10≤X＜100</w:t>
            </w:r>
          </w:p>
        </w:tc>
        <w:tc>
          <w:tcPr>
            <w:tcW w:w="804" w:type="dxa"/>
            <w:noWrap w:val="0"/>
            <w:vAlign w:val="center"/>
          </w:tcPr>
          <w:p w14:paraId="44CB5781">
            <w:pPr>
              <w:widowControl/>
              <w:jc w:val="center"/>
              <w:rPr>
                <w:rFonts w:ascii="宋体" w:hAnsi="宋体" w:cs="宋体"/>
                <w:color w:val="000000"/>
                <w:kern w:val="0"/>
                <w:sz w:val="24"/>
              </w:rPr>
            </w:pPr>
            <w:r>
              <w:rPr>
                <w:rFonts w:hint="eastAsia" w:ascii="宋体" w:hAnsi="宋体" w:cs="宋体"/>
                <w:color w:val="000000"/>
                <w:kern w:val="0"/>
                <w:sz w:val="24"/>
              </w:rPr>
              <w:t>X＜10</w:t>
            </w:r>
          </w:p>
        </w:tc>
      </w:tr>
      <w:tr w14:paraId="39CA9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1543" w:type="dxa"/>
            <w:vMerge w:val="continue"/>
            <w:noWrap w:val="0"/>
            <w:vAlign w:val="center"/>
          </w:tcPr>
          <w:p w14:paraId="2C72537C">
            <w:pPr>
              <w:widowControl/>
              <w:jc w:val="left"/>
              <w:rPr>
                <w:rFonts w:ascii="宋体" w:hAnsi="宋体" w:cs="宋体"/>
                <w:color w:val="000000"/>
                <w:kern w:val="0"/>
                <w:sz w:val="24"/>
              </w:rPr>
            </w:pPr>
          </w:p>
        </w:tc>
        <w:tc>
          <w:tcPr>
            <w:tcW w:w="1560" w:type="dxa"/>
            <w:noWrap w:val="0"/>
            <w:vAlign w:val="center"/>
          </w:tcPr>
          <w:p w14:paraId="05726EF1">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营业收入(Y)</w:t>
            </w:r>
          </w:p>
        </w:tc>
        <w:tc>
          <w:tcPr>
            <w:tcW w:w="850" w:type="dxa"/>
            <w:noWrap w:val="0"/>
            <w:vAlign w:val="center"/>
          </w:tcPr>
          <w:p w14:paraId="20D56612">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276" w:type="dxa"/>
            <w:noWrap w:val="0"/>
            <w:vAlign w:val="center"/>
          </w:tcPr>
          <w:p w14:paraId="1D20391F">
            <w:pPr>
              <w:widowControl/>
              <w:jc w:val="center"/>
              <w:rPr>
                <w:rFonts w:ascii="宋体" w:hAnsi="宋体" w:cs="宋体"/>
                <w:color w:val="000000"/>
                <w:kern w:val="0"/>
                <w:sz w:val="24"/>
              </w:rPr>
            </w:pPr>
            <w:r>
              <w:rPr>
                <w:rFonts w:hint="eastAsia" w:ascii="宋体" w:hAnsi="宋体" w:cs="宋体"/>
                <w:color w:val="000000"/>
                <w:kern w:val="0"/>
                <w:sz w:val="24"/>
              </w:rPr>
              <w:t>Y≥10000</w:t>
            </w:r>
          </w:p>
        </w:tc>
        <w:tc>
          <w:tcPr>
            <w:tcW w:w="1788" w:type="dxa"/>
            <w:noWrap w:val="0"/>
            <w:vAlign w:val="center"/>
          </w:tcPr>
          <w:p w14:paraId="35878F73">
            <w:pPr>
              <w:widowControl/>
              <w:jc w:val="center"/>
              <w:rPr>
                <w:rFonts w:ascii="宋体" w:hAnsi="宋体" w:cs="宋体"/>
                <w:color w:val="000000"/>
                <w:kern w:val="0"/>
                <w:sz w:val="24"/>
              </w:rPr>
            </w:pPr>
            <w:r>
              <w:rPr>
                <w:rFonts w:hint="eastAsia" w:ascii="宋体" w:hAnsi="宋体" w:cs="宋体"/>
                <w:color w:val="000000"/>
                <w:kern w:val="0"/>
                <w:sz w:val="24"/>
              </w:rPr>
              <w:t>2000≤Y＜10000</w:t>
            </w:r>
          </w:p>
        </w:tc>
        <w:tc>
          <w:tcPr>
            <w:tcW w:w="1614" w:type="dxa"/>
            <w:noWrap w:val="0"/>
            <w:vAlign w:val="center"/>
          </w:tcPr>
          <w:p w14:paraId="6C7B5348">
            <w:pPr>
              <w:widowControl/>
              <w:jc w:val="center"/>
              <w:rPr>
                <w:rFonts w:ascii="宋体" w:hAnsi="宋体" w:cs="宋体"/>
                <w:color w:val="000000"/>
                <w:kern w:val="0"/>
                <w:sz w:val="24"/>
              </w:rPr>
            </w:pPr>
            <w:r>
              <w:rPr>
                <w:rFonts w:hint="eastAsia" w:ascii="宋体" w:hAnsi="宋体" w:cs="宋体"/>
                <w:color w:val="000000"/>
                <w:kern w:val="0"/>
                <w:sz w:val="24"/>
              </w:rPr>
              <w:t xml:space="preserve"> 100≤Y＜2000</w:t>
            </w:r>
          </w:p>
        </w:tc>
        <w:tc>
          <w:tcPr>
            <w:tcW w:w="804" w:type="dxa"/>
            <w:noWrap w:val="0"/>
            <w:vAlign w:val="center"/>
          </w:tcPr>
          <w:p w14:paraId="553A3072">
            <w:pPr>
              <w:widowControl/>
              <w:jc w:val="center"/>
              <w:rPr>
                <w:rFonts w:ascii="宋体" w:hAnsi="宋体" w:cs="宋体"/>
                <w:color w:val="000000"/>
                <w:kern w:val="0"/>
                <w:sz w:val="24"/>
              </w:rPr>
            </w:pPr>
            <w:r>
              <w:rPr>
                <w:rFonts w:hint="eastAsia" w:ascii="宋体" w:hAnsi="宋体" w:cs="宋体"/>
                <w:color w:val="000000"/>
                <w:kern w:val="0"/>
                <w:sz w:val="24"/>
              </w:rPr>
              <w:t>Y＜100</w:t>
            </w:r>
          </w:p>
        </w:tc>
      </w:tr>
      <w:tr w14:paraId="23D4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14:paraId="58833B0D">
            <w:pPr>
              <w:widowControl/>
              <w:spacing w:line="240" w:lineRule="exact"/>
              <w:jc w:val="left"/>
              <w:rPr>
                <w:rFonts w:ascii="宋体" w:hAnsi="宋体" w:cs="宋体"/>
                <w:color w:val="000000"/>
                <w:kern w:val="0"/>
                <w:sz w:val="24"/>
              </w:rPr>
            </w:pPr>
            <w:r>
              <w:rPr>
                <w:rFonts w:hint="eastAsia" w:ascii="宋体" w:hAnsi="宋体" w:cs="宋体"/>
                <w:color w:val="000000"/>
                <w:kern w:val="0"/>
                <w:sz w:val="24"/>
              </w:rPr>
              <w:t>餐饮业</w:t>
            </w:r>
          </w:p>
        </w:tc>
        <w:tc>
          <w:tcPr>
            <w:tcW w:w="1560" w:type="dxa"/>
            <w:noWrap w:val="0"/>
            <w:vAlign w:val="center"/>
          </w:tcPr>
          <w:p w14:paraId="45085F59">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850" w:type="dxa"/>
            <w:noWrap w:val="0"/>
            <w:vAlign w:val="center"/>
          </w:tcPr>
          <w:p w14:paraId="455312EB">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276" w:type="dxa"/>
            <w:noWrap w:val="0"/>
            <w:vAlign w:val="center"/>
          </w:tcPr>
          <w:p w14:paraId="08D8548C">
            <w:pPr>
              <w:widowControl/>
              <w:jc w:val="center"/>
              <w:rPr>
                <w:rFonts w:ascii="宋体" w:hAnsi="宋体" w:cs="宋体"/>
                <w:color w:val="000000"/>
                <w:kern w:val="0"/>
                <w:sz w:val="24"/>
              </w:rPr>
            </w:pPr>
            <w:r>
              <w:rPr>
                <w:rFonts w:hint="eastAsia" w:ascii="宋体" w:hAnsi="宋体" w:cs="宋体"/>
                <w:color w:val="000000"/>
                <w:kern w:val="0"/>
                <w:sz w:val="24"/>
              </w:rPr>
              <w:t>X≥300</w:t>
            </w:r>
          </w:p>
        </w:tc>
        <w:tc>
          <w:tcPr>
            <w:tcW w:w="1788" w:type="dxa"/>
            <w:noWrap w:val="0"/>
            <w:vAlign w:val="center"/>
          </w:tcPr>
          <w:p w14:paraId="6CCD551F">
            <w:pPr>
              <w:widowControl/>
              <w:ind w:left="37" w:leftChars="-51" w:hanging="144" w:hangingChars="60"/>
              <w:jc w:val="center"/>
              <w:rPr>
                <w:rFonts w:ascii="宋体" w:hAnsi="宋体" w:cs="宋体"/>
                <w:color w:val="000000"/>
                <w:kern w:val="0"/>
                <w:sz w:val="24"/>
              </w:rPr>
            </w:pPr>
            <w:r>
              <w:rPr>
                <w:rFonts w:hint="eastAsia" w:ascii="宋体" w:hAnsi="宋体" w:cs="宋体"/>
                <w:color w:val="000000"/>
                <w:kern w:val="0"/>
                <w:sz w:val="24"/>
              </w:rPr>
              <w:t xml:space="preserve">100≤X＜300 </w:t>
            </w:r>
          </w:p>
        </w:tc>
        <w:tc>
          <w:tcPr>
            <w:tcW w:w="1614" w:type="dxa"/>
            <w:noWrap w:val="0"/>
            <w:vAlign w:val="center"/>
          </w:tcPr>
          <w:p w14:paraId="485FDEA1">
            <w:pPr>
              <w:widowControl/>
              <w:jc w:val="center"/>
              <w:rPr>
                <w:rFonts w:ascii="宋体" w:hAnsi="宋体" w:cs="宋体"/>
                <w:color w:val="000000"/>
                <w:kern w:val="0"/>
                <w:sz w:val="24"/>
              </w:rPr>
            </w:pPr>
            <w:r>
              <w:rPr>
                <w:rFonts w:hint="eastAsia" w:ascii="宋体" w:hAnsi="宋体" w:cs="宋体"/>
                <w:color w:val="000000"/>
                <w:kern w:val="0"/>
                <w:sz w:val="24"/>
              </w:rPr>
              <w:t xml:space="preserve"> 10≤X＜100</w:t>
            </w:r>
          </w:p>
        </w:tc>
        <w:tc>
          <w:tcPr>
            <w:tcW w:w="804" w:type="dxa"/>
            <w:noWrap w:val="0"/>
            <w:vAlign w:val="center"/>
          </w:tcPr>
          <w:p w14:paraId="61FFACD1">
            <w:pPr>
              <w:widowControl/>
              <w:jc w:val="center"/>
              <w:rPr>
                <w:rFonts w:ascii="宋体" w:hAnsi="宋体" w:cs="宋体"/>
                <w:color w:val="000000"/>
                <w:kern w:val="0"/>
                <w:sz w:val="24"/>
              </w:rPr>
            </w:pPr>
            <w:r>
              <w:rPr>
                <w:rFonts w:hint="eastAsia" w:ascii="宋体" w:hAnsi="宋体" w:cs="宋体"/>
                <w:color w:val="000000"/>
                <w:kern w:val="0"/>
                <w:sz w:val="24"/>
              </w:rPr>
              <w:t>X＜10</w:t>
            </w:r>
          </w:p>
        </w:tc>
      </w:tr>
      <w:tr w14:paraId="52A75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jc w:val="center"/>
        </w:trPr>
        <w:tc>
          <w:tcPr>
            <w:tcW w:w="1543" w:type="dxa"/>
            <w:vMerge w:val="continue"/>
            <w:noWrap w:val="0"/>
            <w:vAlign w:val="center"/>
          </w:tcPr>
          <w:p w14:paraId="01CA5A13">
            <w:pPr>
              <w:widowControl/>
              <w:jc w:val="left"/>
              <w:rPr>
                <w:rFonts w:ascii="宋体" w:hAnsi="宋体" w:cs="宋体"/>
                <w:color w:val="000000"/>
                <w:kern w:val="0"/>
                <w:sz w:val="24"/>
              </w:rPr>
            </w:pPr>
          </w:p>
        </w:tc>
        <w:tc>
          <w:tcPr>
            <w:tcW w:w="1560" w:type="dxa"/>
            <w:noWrap w:val="0"/>
            <w:vAlign w:val="center"/>
          </w:tcPr>
          <w:p w14:paraId="6046AA3B">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营业收入(Y)</w:t>
            </w:r>
          </w:p>
        </w:tc>
        <w:tc>
          <w:tcPr>
            <w:tcW w:w="850" w:type="dxa"/>
            <w:noWrap w:val="0"/>
            <w:vAlign w:val="center"/>
          </w:tcPr>
          <w:p w14:paraId="599A2A51">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276" w:type="dxa"/>
            <w:noWrap w:val="0"/>
            <w:vAlign w:val="center"/>
          </w:tcPr>
          <w:p w14:paraId="43EA4B07">
            <w:pPr>
              <w:widowControl/>
              <w:jc w:val="center"/>
              <w:rPr>
                <w:rFonts w:ascii="宋体" w:hAnsi="宋体" w:cs="宋体"/>
                <w:color w:val="000000"/>
                <w:kern w:val="0"/>
                <w:sz w:val="24"/>
              </w:rPr>
            </w:pPr>
            <w:r>
              <w:rPr>
                <w:rFonts w:hint="eastAsia" w:ascii="宋体" w:hAnsi="宋体" w:cs="宋体"/>
                <w:color w:val="000000"/>
                <w:kern w:val="0"/>
                <w:sz w:val="24"/>
              </w:rPr>
              <w:t>Y≥10000</w:t>
            </w:r>
          </w:p>
        </w:tc>
        <w:tc>
          <w:tcPr>
            <w:tcW w:w="1788" w:type="dxa"/>
            <w:noWrap w:val="0"/>
            <w:vAlign w:val="center"/>
          </w:tcPr>
          <w:p w14:paraId="0D81814E">
            <w:pPr>
              <w:widowControl/>
              <w:jc w:val="center"/>
              <w:rPr>
                <w:rFonts w:ascii="宋体" w:hAnsi="宋体" w:cs="宋体"/>
                <w:color w:val="000000"/>
                <w:kern w:val="0"/>
                <w:sz w:val="24"/>
              </w:rPr>
            </w:pPr>
            <w:r>
              <w:rPr>
                <w:rFonts w:hint="eastAsia" w:ascii="宋体" w:hAnsi="宋体" w:cs="宋体"/>
                <w:color w:val="000000"/>
                <w:kern w:val="0"/>
                <w:sz w:val="24"/>
              </w:rPr>
              <w:t>2000≤Y＜10000</w:t>
            </w:r>
          </w:p>
        </w:tc>
        <w:tc>
          <w:tcPr>
            <w:tcW w:w="1614" w:type="dxa"/>
            <w:noWrap w:val="0"/>
            <w:vAlign w:val="center"/>
          </w:tcPr>
          <w:p w14:paraId="2A62561F">
            <w:pPr>
              <w:widowControl/>
              <w:jc w:val="center"/>
              <w:rPr>
                <w:rFonts w:ascii="宋体" w:hAnsi="宋体" w:cs="宋体"/>
                <w:color w:val="000000"/>
                <w:kern w:val="0"/>
                <w:sz w:val="24"/>
              </w:rPr>
            </w:pPr>
            <w:r>
              <w:rPr>
                <w:rFonts w:hint="eastAsia" w:ascii="宋体" w:hAnsi="宋体" w:cs="宋体"/>
                <w:color w:val="000000"/>
                <w:kern w:val="0"/>
                <w:sz w:val="24"/>
              </w:rPr>
              <w:t xml:space="preserve"> 100≤Y＜2000</w:t>
            </w:r>
          </w:p>
        </w:tc>
        <w:tc>
          <w:tcPr>
            <w:tcW w:w="804" w:type="dxa"/>
            <w:noWrap w:val="0"/>
            <w:vAlign w:val="center"/>
          </w:tcPr>
          <w:p w14:paraId="48D96F03">
            <w:pPr>
              <w:widowControl/>
              <w:jc w:val="center"/>
              <w:rPr>
                <w:rFonts w:ascii="宋体" w:hAnsi="宋体" w:cs="宋体"/>
                <w:color w:val="000000"/>
                <w:kern w:val="0"/>
                <w:sz w:val="24"/>
              </w:rPr>
            </w:pPr>
            <w:r>
              <w:rPr>
                <w:rFonts w:hint="eastAsia" w:ascii="宋体" w:hAnsi="宋体" w:cs="宋体"/>
                <w:color w:val="000000"/>
                <w:kern w:val="0"/>
                <w:sz w:val="24"/>
              </w:rPr>
              <w:t>Y＜100</w:t>
            </w:r>
          </w:p>
        </w:tc>
      </w:tr>
      <w:tr w14:paraId="4A8A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543" w:type="dxa"/>
            <w:vMerge w:val="restart"/>
            <w:noWrap w:val="0"/>
            <w:vAlign w:val="center"/>
          </w:tcPr>
          <w:p w14:paraId="2935D6AD">
            <w:pPr>
              <w:widowControl/>
              <w:spacing w:line="240" w:lineRule="exact"/>
              <w:jc w:val="left"/>
              <w:rPr>
                <w:rFonts w:ascii="宋体" w:hAnsi="宋体" w:cs="宋体"/>
                <w:color w:val="000000"/>
                <w:kern w:val="0"/>
                <w:sz w:val="24"/>
              </w:rPr>
            </w:pPr>
            <w:r>
              <w:rPr>
                <w:rFonts w:hint="eastAsia" w:ascii="宋体" w:hAnsi="宋体" w:cs="宋体"/>
                <w:color w:val="000000"/>
                <w:kern w:val="0"/>
                <w:sz w:val="24"/>
              </w:rPr>
              <w:t>信息传输业 *</w:t>
            </w:r>
          </w:p>
        </w:tc>
        <w:tc>
          <w:tcPr>
            <w:tcW w:w="1560" w:type="dxa"/>
            <w:noWrap w:val="0"/>
            <w:vAlign w:val="center"/>
          </w:tcPr>
          <w:p w14:paraId="0300F8F3">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850" w:type="dxa"/>
            <w:noWrap w:val="0"/>
            <w:vAlign w:val="center"/>
          </w:tcPr>
          <w:p w14:paraId="0D118247">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276" w:type="dxa"/>
            <w:noWrap w:val="0"/>
            <w:vAlign w:val="center"/>
          </w:tcPr>
          <w:p w14:paraId="2879BFEC">
            <w:pPr>
              <w:widowControl/>
              <w:jc w:val="center"/>
              <w:rPr>
                <w:rFonts w:ascii="宋体" w:hAnsi="宋体" w:cs="宋体"/>
                <w:color w:val="000000"/>
                <w:kern w:val="0"/>
                <w:sz w:val="24"/>
              </w:rPr>
            </w:pPr>
            <w:r>
              <w:rPr>
                <w:rFonts w:hint="eastAsia" w:ascii="宋体" w:hAnsi="宋体" w:cs="宋体"/>
                <w:color w:val="000000"/>
                <w:kern w:val="0"/>
                <w:sz w:val="24"/>
              </w:rPr>
              <w:t>X≥2000</w:t>
            </w:r>
          </w:p>
        </w:tc>
        <w:tc>
          <w:tcPr>
            <w:tcW w:w="1788" w:type="dxa"/>
            <w:noWrap w:val="0"/>
            <w:vAlign w:val="center"/>
          </w:tcPr>
          <w:p w14:paraId="1C2FECB8">
            <w:pPr>
              <w:widowControl/>
              <w:jc w:val="center"/>
              <w:rPr>
                <w:rFonts w:ascii="宋体" w:hAnsi="宋体" w:cs="宋体"/>
                <w:color w:val="000000"/>
                <w:kern w:val="0"/>
                <w:sz w:val="24"/>
              </w:rPr>
            </w:pPr>
            <w:r>
              <w:rPr>
                <w:rFonts w:hint="eastAsia" w:ascii="宋体" w:hAnsi="宋体" w:cs="宋体"/>
                <w:color w:val="000000"/>
                <w:kern w:val="0"/>
                <w:sz w:val="24"/>
              </w:rPr>
              <w:t>100≤X＜2000</w:t>
            </w:r>
          </w:p>
        </w:tc>
        <w:tc>
          <w:tcPr>
            <w:tcW w:w="1614" w:type="dxa"/>
            <w:noWrap w:val="0"/>
            <w:vAlign w:val="center"/>
          </w:tcPr>
          <w:p w14:paraId="25C12C98">
            <w:pPr>
              <w:widowControl/>
              <w:jc w:val="center"/>
              <w:rPr>
                <w:rFonts w:ascii="宋体" w:hAnsi="宋体" w:cs="宋体"/>
                <w:color w:val="000000"/>
                <w:kern w:val="0"/>
                <w:sz w:val="24"/>
              </w:rPr>
            </w:pPr>
            <w:r>
              <w:rPr>
                <w:rFonts w:hint="eastAsia" w:ascii="宋体" w:hAnsi="宋体" w:cs="宋体"/>
                <w:color w:val="000000"/>
                <w:kern w:val="0"/>
                <w:sz w:val="24"/>
              </w:rPr>
              <w:t xml:space="preserve"> 10≤X＜100</w:t>
            </w:r>
          </w:p>
        </w:tc>
        <w:tc>
          <w:tcPr>
            <w:tcW w:w="804" w:type="dxa"/>
            <w:noWrap w:val="0"/>
            <w:vAlign w:val="center"/>
          </w:tcPr>
          <w:p w14:paraId="2BE0237F">
            <w:pPr>
              <w:widowControl/>
              <w:jc w:val="center"/>
              <w:rPr>
                <w:rFonts w:ascii="宋体" w:hAnsi="宋体" w:cs="宋体"/>
                <w:color w:val="000000"/>
                <w:kern w:val="0"/>
                <w:sz w:val="24"/>
              </w:rPr>
            </w:pPr>
            <w:r>
              <w:rPr>
                <w:rFonts w:hint="eastAsia" w:ascii="宋体" w:hAnsi="宋体" w:cs="宋体"/>
                <w:color w:val="000000"/>
                <w:kern w:val="0"/>
                <w:sz w:val="24"/>
              </w:rPr>
              <w:t>X＜10</w:t>
            </w:r>
          </w:p>
        </w:tc>
      </w:tr>
      <w:tr w14:paraId="0DEB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jc w:val="center"/>
        </w:trPr>
        <w:tc>
          <w:tcPr>
            <w:tcW w:w="1543" w:type="dxa"/>
            <w:vMerge w:val="continue"/>
            <w:noWrap w:val="0"/>
            <w:vAlign w:val="center"/>
          </w:tcPr>
          <w:p w14:paraId="1263951C">
            <w:pPr>
              <w:widowControl/>
              <w:jc w:val="left"/>
              <w:rPr>
                <w:rFonts w:ascii="宋体" w:hAnsi="宋体" w:cs="宋体"/>
                <w:color w:val="000000"/>
                <w:kern w:val="0"/>
                <w:sz w:val="24"/>
              </w:rPr>
            </w:pPr>
          </w:p>
        </w:tc>
        <w:tc>
          <w:tcPr>
            <w:tcW w:w="1560" w:type="dxa"/>
            <w:noWrap w:val="0"/>
            <w:vAlign w:val="center"/>
          </w:tcPr>
          <w:p w14:paraId="1CE8D065">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营业收入(Y)</w:t>
            </w:r>
          </w:p>
        </w:tc>
        <w:tc>
          <w:tcPr>
            <w:tcW w:w="850" w:type="dxa"/>
            <w:noWrap w:val="0"/>
            <w:vAlign w:val="center"/>
          </w:tcPr>
          <w:p w14:paraId="2FCE1A41">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276" w:type="dxa"/>
            <w:noWrap w:val="0"/>
            <w:vAlign w:val="center"/>
          </w:tcPr>
          <w:p w14:paraId="79941EBF">
            <w:pPr>
              <w:widowControl/>
              <w:jc w:val="center"/>
              <w:rPr>
                <w:rFonts w:ascii="宋体" w:hAnsi="宋体" w:cs="宋体"/>
                <w:color w:val="000000"/>
                <w:kern w:val="0"/>
                <w:sz w:val="24"/>
              </w:rPr>
            </w:pPr>
            <w:r>
              <w:rPr>
                <w:rFonts w:hint="eastAsia" w:ascii="宋体" w:hAnsi="宋体" w:cs="宋体"/>
                <w:color w:val="000000"/>
                <w:kern w:val="0"/>
                <w:sz w:val="24"/>
              </w:rPr>
              <w:t>Y≥100000</w:t>
            </w:r>
          </w:p>
        </w:tc>
        <w:tc>
          <w:tcPr>
            <w:tcW w:w="1788" w:type="dxa"/>
            <w:noWrap w:val="0"/>
            <w:vAlign w:val="center"/>
          </w:tcPr>
          <w:p w14:paraId="33EAC964">
            <w:pPr>
              <w:widowControl/>
              <w:jc w:val="center"/>
              <w:rPr>
                <w:rFonts w:ascii="宋体" w:hAnsi="宋体" w:cs="宋体"/>
                <w:color w:val="000000"/>
                <w:kern w:val="0"/>
                <w:sz w:val="24"/>
              </w:rPr>
            </w:pPr>
            <w:r>
              <w:rPr>
                <w:rFonts w:hint="eastAsia" w:ascii="宋体" w:hAnsi="宋体" w:cs="宋体"/>
                <w:color w:val="000000"/>
                <w:kern w:val="0"/>
                <w:sz w:val="24"/>
              </w:rPr>
              <w:t xml:space="preserve"> 1000≤Y＜100000</w:t>
            </w:r>
          </w:p>
        </w:tc>
        <w:tc>
          <w:tcPr>
            <w:tcW w:w="1614" w:type="dxa"/>
            <w:noWrap w:val="0"/>
            <w:vAlign w:val="center"/>
          </w:tcPr>
          <w:p w14:paraId="2A49ABA1">
            <w:pPr>
              <w:widowControl/>
              <w:jc w:val="center"/>
              <w:rPr>
                <w:rFonts w:ascii="宋体" w:hAnsi="宋体" w:cs="宋体"/>
                <w:color w:val="000000"/>
                <w:kern w:val="0"/>
                <w:sz w:val="24"/>
              </w:rPr>
            </w:pPr>
            <w:r>
              <w:rPr>
                <w:rFonts w:hint="eastAsia" w:ascii="宋体" w:hAnsi="宋体" w:cs="宋体"/>
                <w:color w:val="000000"/>
                <w:kern w:val="0"/>
                <w:sz w:val="24"/>
              </w:rPr>
              <w:t xml:space="preserve"> 100≤Y＜1000</w:t>
            </w:r>
          </w:p>
        </w:tc>
        <w:tc>
          <w:tcPr>
            <w:tcW w:w="804" w:type="dxa"/>
            <w:noWrap w:val="0"/>
            <w:vAlign w:val="center"/>
          </w:tcPr>
          <w:p w14:paraId="0C235CDD">
            <w:pPr>
              <w:widowControl/>
              <w:jc w:val="center"/>
              <w:rPr>
                <w:rFonts w:ascii="宋体" w:hAnsi="宋体" w:cs="宋体"/>
                <w:color w:val="000000"/>
                <w:kern w:val="0"/>
                <w:sz w:val="24"/>
              </w:rPr>
            </w:pPr>
            <w:r>
              <w:rPr>
                <w:rFonts w:hint="eastAsia" w:ascii="宋体" w:hAnsi="宋体" w:cs="宋体"/>
                <w:color w:val="000000"/>
                <w:kern w:val="0"/>
                <w:sz w:val="24"/>
              </w:rPr>
              <w:t>Y＜100</w:t>
            </w:r>
          </w:p>
        </w:tc>
      </w:tr>
      <w:tr w14:paraId="6AB9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43" w:type="dxa"/>
            <w:vMerge w:val="restart"/>
            <w:noWrap w:val="0"/>
            <w:vAlign w:val="center"/>
          </w:tcPr>
          <w:p w14:paraId="4743462F">
            <w:pPr>
              <w:widowControl/>
              <w:spacing w:line="240" w:lineRule="exact"/>
              <w:jc w:val="left"/>
              <w:rPr>
                <w:rFonts w:ascii="宋体" w:hAnsi="宋体" w:cs="宋体"/>
                <w:color w:val="000000"/>
                <w:spacing w:val="-12"/>
                <w:kern w:val="0"/>
                <w:sz w:val="24"/>
              </w:rPr>
            </w:pPr>
            <w:r>
              <w:rPr>
                <w:rFonts w:hint="eastAsia" w:ascii="宋体" w:hAnsi="宋体" w:cs="宋体"/>
                <w:color w:val="000000"/>
                <w:spacing w:val="-12"/>
                <w:kern w:val="0"/>
                <w:sz w:val="24"/>
              </w:rPr>
              <w:t>软件和信息技术服</w:t>
            </w:r>
            <w:r>
              <w:rPr>
                <w:rFonts w:hint="eastAsia" w:ascii="宋体" w:hAnsi="宋体" w:cs="宋体"/>
                <w:color w:val="000000"/>
                <w:kern w:val="0"/>
                <w:sz w:val="24"/>
              </w:rPr>
              <w:t>务业</w:t>
            </w:r>
          </w:p>
        </w:tc>
        <w:tc>
          <w:tcPr>
            <w:tcW w:w="1560" w:type="dxa"/>
            <w:noWrap w:val="0"/>
            <w:vAlign w:val="center"/>
          </w:tcPr>
          <w:p w14:paraId="45101BC1">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850" w:type="dxa"/>
            <w:noWrap w:val="0"/>
            <w:vAlign w:val="center"/>
          </w:tcPr>
          <w:p w14:paraId="343FE481">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276" w:type="dxa"/>
            <w:noWrap w:val="0"/>
            <w:vAlign w:val="center"/>
          </w:tcPr>
          <w:p w14:paraId="796A02A0">
            <w:pPr>
              <w:widowControl/>
              <w:jc w:val="center"/>
              <w:rPr>
                <w:rFonts w:ascii="宋体" w:hAnsi="宋体" w:cs="宋体"/>
                <w:color w:val="000000"/>
                <w:kern w:val="0"/>
                <w:sz w:val="24"/>
              </w:rPr>
            </w:pPr>
            <w:r>
              <w:rPr>
                <w:rFonts w:hint="eastAsia" w:ascii="宋体" w:hAnsi="宋体" w:cs="宋体"/>
                <w:color w:val="000000"/>
                <w:kern w:val="0"/>
                <w:sz w:val="24"/>
              </w:rPr>
              <w:t>X≥300</w:t>
            </w:r>
          </w:p>
        </w:tc>
        <w:tc>
          <w:tcPr>
            <w:tcW w:w="1788" w:type="dxa"/>
            <w:noWrap w:val="0"/>
            <w:vAlign w:val="center"/>
          </w:tcPr>
          <w:p w14:paraId="35E7C5DE">
            <w:pPr>
              <w:widowControl/>
              <w:ind w:left="37" w:leftChars="-51" w:hanging="144" w:hangingChars="60"/>
              <w:jc w:val="center"/>
              <w:rPr>
                <w:rFonts w:ascii="宋体" w:hAnsi="宋体" w:cs="宋体"/>
                <w:color w:val="000000"/>
                <w:kern w:val="0"/>
                <w:sz w:val="24"/>
              </w:rPr>
            </w:pPr>
            <w:r>
              <w:rPr>
                <w:rFonts w:hint="eastAsia" w:ascii="宋体" w:hAnsi="宋体" w:cs="宋体"/>
                <w:color w:val="000000"/>
                <w:kern w:val="0"/>
                <w:sz w:val="24"/>
              </w:rPr>
              <w:t xml:space="preserve">100≤X＜300 </w:t>
            </w:r>
          </w:p>
        </w:tc>
        <w:tc>
          <w:tcPr>
            <w:tcW w:w="1614" w:type="dxa"/>
            <w:noWrap w:val="0"/>
            <w:vAlign w:val="center"/>
          </w:tcPr>
          <w:p w14:paraId="14FCF3B9">
            <w:pPr>
              <w:widowControl/>
              <w:jc w:val="center"/>
              <w:rPr>
                <w:rFonts w:ascii="宋体" w:hAnsi="宋体" w:cs="宋体"/>
                <w:color w:val="000000"/>
                <w:kern w:val="0"/>
                <w:sz w:val="24"/>
              </w:rPr>
            </w:pPr>
            <w:r>
              <w:rPr>
                <w:rFonts w:hint="eastAsia" w:ascii="宋体" w:hAnsi="宋体" w:cs="宋体"/>
                <w:color w:val="000000"/>
                <w:kern w:val="0"/>
                <w:sz w:val="24"/>
              </w:rPr>
              <w:t xml:space="preserve"> 10≤X＜100</w:t>
            </w:r>
          </w:p>
        </w:tc>
        <w:tc>
          <w:tcPr>
            <w:tcW w:w="804" w:type="dxa"/>
            <w:noWrap w:val="0"/>
            <w:vAlign w:val="center"/>
          </w:tcPr>
          <w:p w14:paraId="659F0786">
            <w:pPr>
              <w:widowControl/>
              <w:jc w:val="center"/>
              <w:rPr>
                <w:rFonts w:ascii="宋体" w:hAnsi="宋体" w:cs="宋体"/>
                <w:color w:val="000000"/>
                <w:kern w:val="0"/>
                <w:sz w:val="24"/>
              </w:rPr>
            </w:pPr>
            <w:r>
              <w:rPr>
                <w:rFonts w:hint="eastAsia" w:ascii="宋体" w:hAnsi="宋体" w:cs="宋体"/>
                <w:color w:val="000000"/>
                <w:kern w:val="0"/>
                <w:sz w:val="24"/>
              </w:rPr>
              <w:t>X＜10</w:t>
            </w:r>
          </w:p>
        </w:tc>
      </w:tr>
      <w:tr w14:paraId="18AB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1543" w:type="dxa"/>
            <w:vMerge w:val="continue"/>
            <w:noWrap w:val="0"/>
            <w:vAlign w:val="center"/>
          </w:tcPr>
          <w:p w14:paraId="3E166420">
            <w:pPr>
              <w:widowControl/>
              <w:jc w:val="left"/>
              <w:rPr>
                <w:rFonts w:ascii="宋体" w:hAnsi="宋体" w:cs="宋体"/>
                <w:color w:val="000000"/>
                <w:spacing w:val="-12"/>
                <w:kern w:val="0"/>
                <w:sz w:val="24"/>
              </w:rPr>
            </w:pPr>
          </w:p>
        </w:tc>
        <w:tc>
          <w:tcPr>
            <w:tcW w:w="1560" w:type="dxa"/>
            <w:noWrap w:val="0"/>
            <w:vAlign w:val="center"/>
          </w:tcPr>
          <w:p w14:paraId="2F32D140">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850" w:type="dxa"/>
            <w:noWrap w:val="0"/>
            <w:vAlign w:val="center"/>
          </w:tcPr>
          <w:p w14:paraId="1CDFCF4B">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276" w:type="dxa"/>
            <w:noWrap w:val="0"/>
            <w:vAlign w:val="center"/>
          </w:tcPr>
          <w:p w14:paraId="7AEDCB45">
            <w:pPr>
              <w:widowControl/>
              <w:jc w:val="center"/>
              <w:rPr>
                <w:rFonts w:ascii="宋体" w:hAnsi="宋体" w:cs="宋体"/>
                <w:color w:val="000000"/>
                <w:kern w:val="0"/>
                <w:sz w:val="24"/>
              </w:rPr>
            </w:pPr>
            <w:r>
              <w:rPr>
                <w:rFonts w:hint="eastAsia" w:ascii="宋体" w:hAnsi="宋体" w:cs="宋体"/>
                <w:color w:val="000000"/>
                <w:kern w:val="0"/>
                <w:sz w:val="24"/>
              </w:rPr>
              <w:t>Y≥10000</w:t>
            </w:r>
          </w:p>
        </w:tc>
        <w:tc>
          <w:tcPr>
            <w:tcW w:w="1788" w:type="dxa"/>
            <w:noWrap w:val="0"/>
            <w:vAlign w:val="center"/>
          </w:tcPr>
          <w:p w14:paraId="596D8A3B">
            <w:pPr>
              <w:widowControl/>
              <w:jc w:val="center"/>
              <w:rPr>
                <w:rFonts w:ascii="宋体" w:hAnsi="宋体" w:cs="宋体"/>
                <w:color w:val="000000"/>
                <w:kern w:val="0"/>
                <w:sz w:val="24"/>
              </w:rPr>
            </w:pPr>
            <w:r>
              <w:rPr>
                <w:rFonts w:hint="eastAsia" w:ascii="宋体" w:hAnsi="宋体" w:cs="宋体"/>
                <w:color w:val="000000"/>
                <w:kern w:val="0"/>
                <w:sz w:val="24"/>
              </w:rPr>
              <w:t>1000≤Y＜10000</w:t>
            </w:r>
          </w:p>
        </w:tc>
        <w:tc>
          <w:tcPr>
            <w:tcW w:w="1614" w:type="dxa"/>
            <w:noWrap w:val="0"/>
            <w:vAlign w:val="center"/>
          </w:tcPr>
          <w:p w14:paraId="7745247E">
            <w:pPr>
              <w:widowControl/>
              <w:jc w:val="center"/>
              <w:rPr>
                <w:rFonts w:ascii="宋体" w:hAnsi="宋体" w:cs="宋体"/>
                <w:color w:val="000000"/>
                <w:kern w:val="0"/>
                <w:sz w:val="24"/>
              </w:rPr>
            </w:pPr>
            <w:r>
              <w:rPr>
                <w:rFonts w:hint="eastAsia" w:ascii="宋体" w:hAnsi="宋体" w:cs="宋体"/>
                <w:color w:val="000000"/>
                <w:kern w:val="0"/>
                <w:sz w:val="24"/>
              </w:rPr>
              <w:t xml:space="preserve">  50≤Y＜1000</w:t>
            </w:r>
          </w:p>
        </w:tc>
        <w:tc>
          <w:tcPr>
            <w:tcW w:w="804" w:type="dxa"/>
            <w:noWrap w:val="0"/>
            <w:vAlign w:val="center"/>
          </w:tcPr>
          <w:p w14:paraId="2864EDD2">
            <w:pPr>
              <w:widowControl/>
              <w:jc w:val="center"/>
              <w:rPr>
                <w:rFonts w:ascii="宋体" w:hAnsi="宋体" w:cs="宋体"/>
                <w:color w:val="000000"/>
                <w:kern w:val="0"/>
                <w:sz w:val="24"/>
              </w:rPr>
            </w:pPr>
            <w:r>
              <w:rPr>
                <w:rFonts w:hint="eastAsia" w:ascii="宋体" w:hAnsi="宋体" w:cs="宋体"/>
                <w:color w:val="000000"/>
                <w:kern w:val="0"/>
                <w:sz w:val="24"/>
              </w:rPr>
              <w:t>Y＜50</w:t>
            </w:r>
          </w:p>
        </w:tc>
      </w:tr>
      <w:tr w14:paraId="4A02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43" w:type="dxa"/>
            <w:vMerge w:val="restart"/>
            <w:noWrap w:val="0"/>
            <w:vAlign w:val="center"/>
          </w:tcPr>
          <w:p w14:paraId="72B1DC73">
            <w:pPr>
              <w:widowControl/>
              <w:spacing w:line="240" w:lineRule="exact"/>
              <w:jc w:val="left"/>
              <w:rPr>
                <w:rFonts w:ascii="宋体" w:hAnsi="宋体" w:cs="宋体"/>
                <w:color w:val="000000"/>
                <w:kern w:val="0"/>
                <w:sz w:val="24"/>
              </w:rPr>
            </w:pPr>
            <w:r>
              <w:rPr>
                <w:rFonts w:hint="eastAsia" w:ascii="宋体" w:hAnsi="宋体" w:cs="宋体"/>
                <w:color w:val="000000"/>
                <w:kern w:val="0"/>
                <w:sz w:val="24"/>
              </w:rPr>
              <w:t>房地产开发经营</w:t>
            </w:r>
          </w:p>
        </w:tc>
        <w:tc>
          <w:tcPr>
            <w:tcW w:w="1560" w:type="dxa"/>
            <w:noWrap w:val="0"/>
            <w:vAlign w:val="center"/>
          </w:tcPr>
          <w:p w14:paraId="47F0C513">
            <w:pPr>
              <w:widowControl/>
              <w:jc w:val="center"/>
              <w:rPr>
                <w:rFonts w:ascii="宋体" w:hAnsi="宋体" w:cs="宋体"/>
                <w:color w:val="000000"/>
                <w:kern w:val="0"/>
                <w:sz w:val="24"/>
              </w:rPr>
            </w:pPr>
            <w:r>
              <w:rPr>
                <w:rFonts w:hint="eastAsia" w:ascii="宋体" w:hAnsi="宋体" w:cs="宋体"/>
                <w:color w:val="000000"/>
                <w:kern w:val="0"/>
                <w:sz w:val="24"/>
              </w:rPr>
              <w:t>营业收入(Y)</w:t>
            </w:r>
          </w:p>
        </w:tc>
        <w:tc>
          <w:tcPr>
            <w:tcW w:w="850" w:type="dxa"/>
            <w:noWrap w:val="0"/>
            <w:vAlign w:val="center"/>
          </w:tcPr>
          <w:p w14:paraId="2AE8427D">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276" w:type="dxa"/>
            <w:noWrap w:val="0"/>
            <w:vAlign w:val="center"/>
          </w:tcPr>
          <w:p w14:paraId="10682CFE">
            <w:pPr>
              <w:widowControl/>
              <w:jc w:val="center"/>
              <w:rPr>
                <w:rFonts w:ascii="宋体" w:hAnsi="宋体" w:cs="宋体"/>
                <w:color w:val="000000"/>
                <w:kern w:val="0"/>
                <w:sz w:val="24"/>
              </w:rPr>
            </w:pPr>
            <w:r>
              <w:rPr>
                <w:rFonts w:hint="eastAsia" w:ascii="宋体" w:hAnsi="宋体" w:cs="宋体"/>
                <w:color w:val="000000"/>
                <w:kern w:val="0"/>
                <w:sz w:val="24"/>
              </w:rPr>
              <w:t>Y≥200000</w:t>
            </w:r>
          </w:p>
        </w:tc>
        <w:tc>
          <w:tcPr>
            <w:tcW w:w="1788" w:type="dxa"/>
            <w:noWrap w:val="0"/>
            <w:vAlign w:val="center"/>
          </w:tcPr>
          <w:p w14:paraId="15B85FB5">
            <w:pPr>
              <w:widowControl/>
              <w:jc w:val="center"/>
              <w:rPr>
                <w:rFonts w:ascii="宋体" w:hAnsi="宋体" w:cs="宋体"/>
                <w:color w:val="000000"/>
                <w:kern w:val="0"/>
                <w:sz w:val="24"/>
              </w:rPr>
            </w:pPr>
            <w:r>
              <w:rPr>
                <w:rFonts w:hint="eastAsia" w:ascii="宋体" w:hAnsi="宋体" w:cs="宋体"/>
                <w:color w:val="000000"/>
                <w:kern w:val="0"/>
                <w:sz w:val="24"/>
              </w:rPr>
              <w:t xml:space="preserve"> 1000≤Y＜200000</w:t>
            </w:r>
          </w:p>
        </w:tc>
        <w:tc>
          <w:tcPr>
            <w:tcW w:w="1614" w:type="dxa"/>
            <w:noWrap w:val="0"/>
            <w:vAlign w:val="center"/>
          </w:tcPr>
          <w:p w14:paraId="4E96853B">
            <w:pPr>
              <w:widowControl/>
              <w:jc w:val="center"/>
              <w:rPr>
                <w:rFonts w:ascii="宋体" w:hAnsi="宋体" w:cs="宋体"/>
                <w:color w:val="000000"/>
                <w:kern w:val="0"/>
                <w:sz w:val="24"/>
              </w:rPr>
            </w:pPr>
            <w:r>
              <w:rPr>
                <w:rFonts w:hint="eastAsia" w:ascii="宋体" w:hAnsi="宋体" w:cs="宋体"/>
                <w:color w:val="000000"/>
                <w:kern w:val="0"/>
                <w:sz w:val="24"/>
              </w:rPr>
              <w:t xml:space="preserve"> 100≤Y＜1000</w:t>
            </w:r>
          </w:p>
        </w:tc>
        <w:tc>
          <w:tcPr>
            <w:tcW w:w="804" w:type="dxa"/>
            <w:noWrap w:val="0"/>
            <w:vAlign w:val="center"/>
          </w:tcPr>
          <w:p w14:paraId="02F37B69">
            <w:pPr>
              <w:widowControl/>
              <w:jc w:val="center"/>
              <w:rPr>
                <w:rFonts w:ascii="宋体" w:hAnsi="宋体" w:cs="宋体"/>
                <w:color w:val="000000"/>
                <w:kern w:val="0"/>
                <w:sz w:val="24"/>
              </w:rPr>
            </w:pPr>
            <w:r>
              <w:rPr>
                <w:rFonts w:hint="eastAsia" w:ascii="宋体" w:hAnsi="宋体" w:cs="宋体"/>
                <w:color w:val="000000"/>
                <w:kern w:val="0"/>
                <w:sz w:val="24"/>
              </w:rPr>
              <w:t>Y＜100</w:t>
            </w:r>
          </w:p>
        </w:tc>
      </w:tr>
      <w:tr w14:paraId="5EB5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1543" w:type="dxa"/>
            <w:vMerge w:val="continue"/>
            <w:noWrap w:val="0"/>
            <w:vAlign w:val="center"/>
          </w:tcPr>
          <w:p w14:paraId="356A7C7A">
            <w:pPr>
              <w:widowControl/>
              <w:jc w:val="left"/>
              <w:rPr>
                <w:rFonts w:ascii="宋体" w:hAnsi="宋体" w:cs="宋体"/>
                <w:color w:val="000000"/>
                <w:kern w:val="0"/>
                <w:sz w:val="24"/>
              </w:rPr>
            </w:pPr>
          </w:p>
        </w:tc>
        <w:tc>
          <w:tcPr>
            <w:tcW w:w="1560" w:type="dxa"/>
            <w:noWrap w:val="0"/>
            <w:vAlign w:val="center"/>
          </w:tcPr>
          <w:p w14:paraId="155EE7AF">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资产总额(Z)</w:t>
            </w:r>
          </w:p>
        </w:tc>
        <w:tc>
          <w:tcPr>
            <w:tcW w:w="850" w:type="dxa"/>
            <w:noWrap w:val="0"/>
            <w:vAlign w:val="center"/>
          </w:tcPr>
          <w:p w14:paraId="39731328">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276" w:type="dxa"/>
            <w:noWrap w:val="0"/>
            <w:vAlign w:val="center"/>
          </w:tcPr>
          <w:p w14:paraId="1179E962">
            <w:pPr>
              <w:widowControl/>
              <w:jc w:val="center"/>
              <w:rPr>
                <w:rFonts w:ascii="宋体" w:hAnsi="宋体" w:cs="宋体"/>
                <w:color w:val="000000"/>
                <w:kern w:val="0"/>
                <w:sz w:val="24"/>
              </w:rPr>
            </w:pPr>
            <w:r>
              <w:rPr>
                <w:rFonts w:hint="eastAsia" w:ascii="宋体" w:hAnsi="宋体" w:cs="宋体"/>
                <w:color w:val="000000"/>
                <w:kern w:val="0"/>
                <w:sz w:val="24"/>
              </w:rPr>
              <w:t>Z≥10000</w:t>
            </w:r>
          </w:p>
        </w:tc>
        <w:tc>
          <w:tcPr>
            <w:tcW w:w="1788" w:type="dxa"/>
            <w:noWrap w:val="0"/>
            <w:vAlign w:val="center"/>
          </w:tcPr>
          <w:p w14:paraId="17CD4684">
            <w:pPr>
              <w:widowControl/>
              <w:jc w:val="center"/>
              <w:rPr>
                <w:rFonts w:ascii="宋体" w:hAnsi="宋体" w:cs="宋体"/>
                <w:color w:val="000000"/>
                <w:kern w:val="0"/>
                <w:sz w:val="24"/>
              </w:rPr>
            </w:pPr>
            <w:r>
              <w:rPr>
                <w:rFonts w:hint="eastAsia" w:ascii="宋体" w:hAnsi="宋体" w:cs="宋体"/>
                <w:color w:val="000000"/>
                <w:kern w:val="0"/>
                <w:sz w:val="24"/>
              </w:rPr>
              <w:t>5000≤Z＜10000</w:t>
            </w:r>
          </w:p>
        </w:tc>
        <w:tc>
          <w:tcPr>
            <w:tcW w:w="1614" w:type="dxa"/>
            <w:noWrap w:val="0"/>
            <w:vAlign w:val="center"/>
          </w:tcPr>
          <w:p w14:paraId="62C9AE8D">
            <w:pPr>
              <w:widowControl/>
              <w:jc w:val="center"/>
              <w:rPr>
                <w:rFonts w:ascii="宋体" w:hAnsi="宋体" w:cs="宋体"/>
                <w:color w:val="000000"/>
                <w:kern w:val="0"/>
                <w:sz w:val="24"/>
              </w:rPr>
            </w:pPr>
            <w:r>
              <w:rPr>
                <w:rFonts w:hint="eastAsia" w:ascii="宋体" w:hAnsi="宋体" w:cs="宋体"/>
                <w:color w:val="000000"/>
                <w:kern w:val="0"/>
                <w:sz w:val="24"/>
              </w:rPr>
              <w:t xml:space="preserve">2000≤Z＜5000   </w:t>
            </w:r>
          </w:p>
        </w:tc>
        <w:tc>
          <w:tcPr>
            <w:tcW w:w="804" w:type="dxa"/>
            <w:noWrap w:val="0"/>
            <w:vAlign w:val="center"/>
          </w:tcPr>
          <w:p w14:paraId="65C338F4">
            <w:pPr>
              <w:widowControl/>
              <w:jc w:val="center"/>
              <w:rPr>
                <w:rFonts w:ascii="宋体" w:hAnsi="宋体" w:cs="宋体"/>
                <w:color w:val="000000"/>
                <w:kern w:val="0"/>
                <w:sz w:val="24"/>
              </w:rPr>
            </w:pPr>
            <w:r>
              <w:rPr>
                <w:rFonts w:hint="eastAsia" w:ascii="宋体" w:hAnsi="宋体" w:cs="宋体"/>
                <w:color w:val="000000"/>
                <w:kern w:val="0"/>
                <w:sz w:val="24"/>
              </w:rPr>
              <w:t>Z＜2000</w:t>
            </w:r>
          </w:p>
        </w:tc>
      </w:tr>
      <w:tr w14:paraId="097D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43" w:type="dxa"/>
            <w:vMerge w:val="restart"/>
            <w:noWrap w:val="0"/>
            <w:vAlign w:val="center"/>
          </w:tcPr>
          <w:p w14:paraId="098B25A8">
            <w:pPr>
              <w:widowControl/>
              <w:spacing w:line="240" w:lineRule="exact"/>
              <w:jc w:val="left"/>
              <w:rPr>
                <w:rFonts w:ascii="宋体" w:hAnsi="宋体" w:cs="宋体"/>
                <w:color w:val="000000"/>
                <w:kern w:val="0"/>
                <w:sz w:val="24"/>
              </w:rPr>
            </w:pPr>
            <w:r>
              <w:rPr>
                <w:rFonts w:hint="eastAsia" w:ascii="宋体" w:hAnsi="宋体" w:cs="宋体"/>
                <w:color w:val="000000"/>
                <w:kern w:val="0"/>
                <w:sz w:val="24"/>
              </w:rPr>
              <w:t>物业管理</w:t>
            </w:r>
          </w:p>
        </w:tc>
        <w:tc>
          <w:tcPr>
            <w:tcW w:w="1560" w:type="dxa"/>
            <w:noWrap w:val="0"/>
            <w:vAlign w:val="center"/>
          </w:tcPr>
          <w:p w14:paraId="6CC4567A">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850" w:type="dxa"/>
            <w:noWrap w:val="0"/>
            <w:vAlign w:val="center"/>
          </w:tcPr>
          <w:p w14:paraId="744F5007">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276" w:type="dxa"/>
            <w:noWrap w:val="0"/>
            <w:vAlign w:val="center"/>
          </w:tcPr>
          <w:p w14:paraId="123AF5F2">
            <w:pPr>
              <w:widowControl/>
              <w:jc w:val="center"/>
              <w:rPr>
                <w:rFonts w:ascii="宋体" w:hAnsi="宋体" w:cs="宋体"/>
                <w:color w:val="000000"/>
                <w:kern w:val="0"/>
                <w:sz w:val="24"/>
              </w:rPr>
            </w:pPr>
            <w:r>
              <w:rPr>
                <w:rFonts w:hint="eastAsia" w:ascii="宋体" w:hAnsi="宋体" w:cs="宋体"/>
                <w:color w:val="000000"/>
                <w:kern w:val="0"/>
                <w:sz w:val="24"/>
              </w:rPr>
              <w:t>X≥1000</w:t>
            </w:r>
          </w:p>
        </w:tc>
        <w:tc>
          <w:tcPr>
            <w:tcW w:w="1788" w:type="dxa"/>
            <w:noWrap w:val="0"/>
            <w:vAlign w:val="center"/>
          </w:tcPr>
          <w:p w14:paraId="60E36219">
            <w:pPr>
              <w:widowControl/>
              <w:jc w:val="center"/>
              <w:rPr>
                <w:rFonts w:ascii="宋体" w:hAnsi="宋体" w:cs="宋体"/>
                <w:color w:val="000000"/>
                <w:kern w:val="0"/>
                <w:sz w:val="24"/>
              </w:rPr>
            </w:pPr>
            <w:r>
              <w:rPr>
                <w:rFonts w:hint="eastAsia" w:ascii="宋体" w:hAnsi="宋体" w:cs="宋体"/>
                <w:color w:val="000000"/>
                <w:kern w:val="0"/>
                <w:sz w:val="24"/>
              </w:rPr>
              <w:t>300≤X＜1000</w:t>
            </w:r>
          </w:p>
        </w:tc>
        <w:tc>
          <w:tcPr>
            <w:tcW w:w="1614" w:type="dxa"/>
            <w:noWrap w:val="0"/>
            <w:vAlign w:val="center"/>
          </w:tcPr>
          <w:p w14:paraId="710FDE4A">
            <w:pPr>
              <w:widowControl/>
              <w:jc w:val="center"/>
              <w:rPr>
                <w:rFonts w:ascii="宋体" w:hAnsi="宋体" w:cs="宋体"/>
                <w:color w:val="000000"/>
                <w:kern w:val="0"/>
                <w:sz w:val="24"/>
              </w:rPr>
            </w:pPr>
            <w:r>
              <w:rPr>
                <w:rFonts w:hint="eastAsia" w:ascii="宋体" w:hAnsi="宋体" w:cs="宋体"/>
                <w:color w:val="000000"/>
                <w:kern w:val="0"/>
                <w:sz w:val="24"/>
              </w:rPr>
              <w:t xml:space="preserve">100≤X＜300 </w:t>
            </w:r>
          </w:p>
        </w:tc>
        <w:tc>
          <w:tcPr>
            <w:tcW w:w="804" w:type="dxa"/>
            <w:noWrap w:val="0"/>
            <w:vAlign w:val="center"/>
          </w:tcPr>
          <w:p w14:paraId="0728A636">
            <w:pPr>
              <w:widowControl/>
              <w:jc w:val="center"/>
              <w:rPr>
                <w:rFonts w:ascii="宋体" w:hAnsi="宋体" w:cs="宋体"/>
                <w:color w:val="000000"/>
                <w:kern w:val="0"/>
                <w:sz w:val="24"/>
              </w:rPr>
            </w:pPr>
            <w:r>
              <w:rPr>
                <w:rFonts w:hint="eastAsia" w:ascii="宋体" w:hAnsi="宋体" w:cs="宋体"/>
                <w:color w:val="000000"/>
                <w:kern w:val="0"/>
                <w:sz w:val="24"/>
              </w:rPr>
              <w:t>X＜100</w:t>
            </w:r>
          </w:p>
        </w:tc>
      </w:tr>
      <w:tr w14:paraId="1049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1543" w:type="dxa"/>
            <w:vMerge w:val="continue"/>
            <w:noWrap w:val="0"/>
            <w:vAlign w:val="center"/>
          </w:tcPr>
          <w:p w14:paraId="001E1535">
            <w:pPr>
              <w:widowControl/>
              <w:jc w:val="left"/>
              <w:rPr>
                <w:rFonts w:ascii="宋体" w:hAnsi="宋体" w:cs="宋体"/>
                <w:color w:val="000000"/>
                <w:kern w:val="0"/>
                <w:sz w:val="24"/>
              </w:rPr>
            </w:pPr>
          </w:p>
        </w:tc>
        <w:tc>
          <w:tcPr>
            <w:tcW w:w="1560" w:type="dxa"/>
            <w:noWrap w:val="0"/>
            <w:vAlign w:val="center"/>
          </w:tcPr>
          <w:p w14:paraId="70636D52">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营业收入(Y)</w:t>
            </w:r>
          </w:p>
        </w:tc>
        <w:tc>
          <w:tcPr>
            <w:tcW w:w="850" w:type="dxa"/>
            <w:noWrap w:val="0"/>
            <w:vAlign w:val="center"/>
          </w:tcPr>
          <w:p w14:paraId="7EB1D53C">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276" w:type="dxa"/>
            <w:noWrap w:val="0"/>
            <w:vAlign w:val="center"/>
          </w:tcPr>
          <w:p w14:paraId="522B59B4">
            <w:pPr>
              <w:widowControl/>
              <w:jc w:val="center"/>
              <w:rPr>
                <w:rFonts w:ascii="宋体" w:hAnsi="宋体" w:cs="宋体"/>
                <w:color w:val="000000"/>
                <w:kern w:val="0"/>
                <w:sz w:val="24"/>
              </w:rPr>
            </w:pPr>
            <w:r>
              <w:rPr>
                <w:rFonts w:hint="eastAsia" w:ascii="宋体" w:hAnsi="宋体" w:cs="宋体"/>
                <w:color w:val="000000"/>
                <w:kern w:val="0"/>
                <w:sz w:val="24"/>
              </w:rPr>
              <w:t>Y≥5000</w:t>
            </w:r>
          </w:p>
        </w:tc>
        <w:tc>
          <w:tcPr>
            <w:tcW w:w="1788" w:type="dxa"/>
            <w:noWrap w:val="0"/>
            <w:vAlign w:val="center"/>
          </w:tcPr>
          <w:p w14:paraId="03CF5280">
            <w:pPr>
              <w:widowControl/>
              <w:ind w:left="37" w:leftChars="-51" w:hanging="144" w:hangingChars="60"/>
              <w:jc w:val="center"/>
              <w:rPr>
                <w:rFonts w:ascii="宋体" w:hAnsi="宋体" w:cs="宋体"/>
                <w:color w:val="000000"/>
                <w:kern w:val="0"/>
                <w:sz w:val="24"/>
              </w:rPr>
            </w:pPr>
            <w:r>
              <w:rPr>
                <w:rFonts w:hint="eastAsia" w:ascii="宋体" w:hAnsi="宋体" w:cs="宋体"/>
                <w:color w:val="000000"/>
                <w:kern w:val="0"/>
                <w:sz w:val="24"/>
              </w:rPr>
              <w:t xml:space="preserve">1000≤Y＜5000 </w:t>
            </w:r>
          </w:p>
        </w:tc>
        <w:tc>
          <w:tcPr>
            <w:tcW w:w="1614" w:type="dxa"/>
            <w:noWrap w:val="0"/>
            <w:vAlign w:val="center"/>
          </w:tcPr>
          <w:p w14:paraId="697DEDE2">
            <w:pPr>
              <w:widowControl/>
              <w:jc w:val="center"/>
              <w:rPr>
                <w:rFonts w:ascii="宋体" w:hAnsi="宋体" w:cs="宋体"/>
                <w:color w:val="000000"/>
                <w:kern w:val="0"/>
                <w:sz w:val="24"/>
              </w:rPr>
            </w:pPr>
            <w:r>
              <w:rPr>
                <w:rFonts w:hint="eastAsia" w:ascii="宋体" w:hAnsi="宋体" w:cs="宋体"/>
                <w:color w:val="000000"/>
                <w:kern w:val="0"/>
                <w:sz w:val="24"/>
              </w:rPr>
              <w:t xml:space="preserve"> 500≤Y＜1000</w:t>
            </w:r>
          </w:p>
        </w:tc>
        <w:tc>
          <w:tcPr>
            <w:tcW w:w="804" w:type="dxa"/>
            <w:noWrap w:val="0"/>
            <w:vAlign w:val="center"/>
          </w:tcPr>
          <w:p w14:paraId="1B6D7766">
            <w:pPr>
              <w:widowControl/>
              <w:jc w:val="center"/>
              <w:rPr>
                <w:rFonts w:ascii="宋体" w:hAnsi="宋体" w:cs="宋体"/>
                <w:color w:val="000000"/>
                <w:kern w:val="0"/>
                <w:sz w:val="24"/>
              </w:rPr>
            </w:pPr>
            <w:r>
              <w:rPr>
                <w:rFonts w:hint="eastAsia" w:ascii="宋体" w:hAnsi="宋体" w:cs="宋体"/>
                <w:color w:val="000000"/>
                <w:kern w:val="0"/>
                <w:sz w:val="24"/>
              </w:rPr>
              <w:t>Y＜500</w:t>
            </w:r>
          </w:p>
        </w:tc>
      </w:tr>
      <w:tr w14:paraId="3E7A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43" w:type="dxa"/>
            <w:vMerge w:val="restart"/>
            <w:noWrap w:val="0"/>
            <w:vAlign w:val="center"/>
          </w:tcPr>
          <w:p w14:paraId="677EA8AA">
            <w:pPr>
              <w:widowControl/>
              <w:spacing w:line="240" w:lineRule="exact"/>
              <w:jc w:val="left"/>
              <w:rPr>
                <w:rFonts w:ascii="宋体" w:hAnsi="宋体" w:cs="宋体"/>
                <w:color w:val="000000"/>
                <w:kern w:val="0"/>
                <w:sz w:val="24"/>
              </w:rPr>
            </w:pPr>
            <w:r>
              <w:rPr>
                <w:rFonts w:hint="eastAsia" w:ascii="宋体" w:hAnsi="宋体" w:cs="宋体"/>
                <w:color w:val="000000"/>
                <w:kern w:val="0"/>
                <w:sz w:val="24"/>
              </w:rPr>
              <w:t>租赁和商务服务业</w:t>
            </w:r>
          </w:p>
        </w:tc>
        <w:tc>
          <w:tcPr>
            <w:tcW w:w="1560" w:type="dxa"/>
            <w:noWrap w:val="0"/>
            <w:vAlign w:val="center"/>
          </w:tcPr>
          <w:p w14:paraId="04EA23A0">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850" w:type="dxa"/>
            <w:noWrap w:val="0"/>
            <w:vAlign w:val="center"/>
          </w:tcPr>
          <w:p w14:paraId="39EA635C">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276" w:type="dxa"/>
            <w:noWrap w:val="0"/>
            <w:vAlign w:val="center"/>
          </w:tcPr>
          <w:p w14:paraId="5D1EBB7E">
            <w:pPr>
              <w:widowControl/>
              <w:jc w:val="center"/>
              <w:rPr>
                <w:rFonts w:ascii="宋体" w:hAnsi="宋体" w:cs="宋体"/>
                <w:color w:val="000000"/>
                <w:kern w:val="0"/>
                <w:sz w:val="24"/>
              </w:rPr>
            </w:pPr>
            <w:r>
              <w:rPr>
                <w:rFonts w:hint="eastAsia" w:ascii="宋体" w:hAnsi="宋体" w:cs="宋体"/>
                <w:color w:val="000000"/>
                <w:kern w:val="0"/>
                <w:sz w:val="24"/>
              </w:rPr>
              <w:t>X≥300</w:t>
            </w:r>
          </w:p>
        </w:tc>
        <w:tc>
          <w:tcPr>
            <w:tcW w:w="1788" w:type="dxa"/>
            <w:noWrap w:val="0"/>
            <w:vAlign w:val="center"/>
          </w:tcPr>
          <w:p w14:paraId="11907275">
            <w:pPr>
              <w:widowControl/>
              <w:ind w:left="37" w:leftChars="-51" w:hanging="144" w:hangingChars="60"/>
              <w:jc w:val="center"/>
              <w:rPr>
                <w:rFonts w:ascii="宋体" w:hAnsi="宋体" w:cs="宋体"/>
                <w:color w:val="000000"/>
                <w:kern w:val="0"/>
                <w:sz w:val="24"/>
              </w:rPr>
            </w:pPr>
            <w:r>
              <w:rPr>
                <w:rFonts w:hint="eastAsia" w:ascii="宋体" w:hAnsi="宋体" w:cs="宋体"/>
                <w:color w:val="000000"/>
                <w:kern w:val="0"/>
                <w:sz w:val="24"/>
              </w:rPr>
              <w:t xml:space="preserve">100≤X＜300 </w:t>
            </w:r>
          </w:p>
        </w:tc>
        <w:tc>
          <w:tcPr>
            <w:tcW w:w="1614" w:type="dxa"/>
            <w:noWrap w:val="0"/>
            <w:vAlign w:val="center"/>
          </w:tcPr>
          <w:p w14:paraId="27A81A55">
            <w:pPr>
              <w:widowControl/>
              <w:jc w:val="center"/>
              <w:rPr>
                <w:rFonts w:ascii="宋体" w:hAnsi="宋体" w:cs="宋体"/>
                <w:color w:val="000000"/>
                <w:kern w:val="0"/>
                <w:sz w:val="24"/>
              </w:rPr>
            </w:pPr>
            <w:r>
              <w:rPr>
                <w:rFonts w:hint="eastAsia" w:ascii="宋体" w:hAnsi="宋体" w:cs="宋体"/>
                <w:color w:val="000000"/>
                <w:kern w:val="0"/>
                <w:sz w:val="24"/>
              </w:rPr>
              <w:t xml:space="preserve"> 10≤X＜100</w:t>
            </w:r>
          </w:p>
        </w:tc>
        <w:tc>
          <w:tcPr>
            <w:tcW w:w="804" w:type="dxa"/>
            <w:noWrap w:val="0"/>
            <w:vAlign w:val="center"/>
          </w:tcPr>
          <w:p w14:paraId="7A2EEB33">
            <w:pPr>
              <w:widowControl/>
              <w:jc w:val="center"/>
              <w:rPr>
                <w:rFonts w:ascii="宋体" w:hAnsi="宋体" w:cs="宋体"/>
                <w:color w:val="000000"/>
                <w:kern w:val="0"/>
                <w:sz w:val="24"/>
              </w:rPr>
            </w:pPr>
            <w:r>
              <w:rPr>
                <w:rFonts w:hint="eastAsia" w:ascii="宋体" w:hAnsi="宋体" w:cs="宋体"/>
                <w:color w:val="000000"/>
                <w:kern w:val="0"/>
                <w:sz w:val="24"/>
              </w:rPr>
              <w:t>X＜10</w:t>
            </w:r>
          </w:p>
        </w:tc>
      </w:tr>
      <w:tr w14:paraId="2BF7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1543" w:type="dxa"/>
            <w:vMerge w:val="continue"/>
            <w:noWrap w:val="0"/>
            <w:vAlign w:val="center"/>
          </w:tcPr>
          <w:p w14:paraId="222D0D26">
            <w:pPr>
              <w:widowControl/>
              <w:jc w:val="left"/>
              <w:rPr>
                <w:rFonts w:ascii="宋体" w:hAnsi="宋体" w:cs="宋体"/>
                <w:color w:val="000000"/>
                <w:kern w:val="0"/>
                <w:sz w:val="24"/>
              </w:rPr>
            </w:pPr>
          </w:p>
        </w:tc>
        <w:tc>
          <w:tcPr>
            <w:tcW w:w="1560" w:type="dxa"/>
            <w:noWrap w:val="0"/>
            <w:vAlign w:val="center"/>
          </w:tcPr>
          <w:p w14:paraId="2E40E0CB">
            <w:pPr>
              <w:widowControl/>
              <w:spacing w:line="240" w:lineRule="exact"/>
              <w:jc w:val="center"/>
              <w:rPr>
                <w:rFonts w:ascii="宋体" w:hAnsi="宋体" w:cs="宋体"/>
                <w:color w:val="000000"/>
                <w:kern w:val="0"/>
                <w:sz w:val="24"/>
              </w:rPr>
            </w:pPr>
            <w:r>
              <w:rPr>
                <w:rFonts w:hint="eastAsia" w:ascii="宋体" w:hAnsi="宋体" w:cs="宋体"/>
                <w:color w:val="000000"/>
                <w:kern w:val="0"/>
                <w:sz w:val="24"/>
              </w:rPr>
              <w:t>资产总额(Z)</w:t>
            </w:r>
          </w:p>
        </w:tc>
        <w:tc>
          <w:tcPr>
            <w:tcW w:w="850" w:type="dxa"/>
            <w:noWrap w:val="0"/>
            <w:vAlign w:val="center"/>
          </w:tcPr>
          <w:p w14:paraId="7ED03B63">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276" w:type="dxa"/>
            <w:noWrap w:val="0"/>
            <w:vAlign w:val="center"/>
          </w:tcPr>
          <w:p w14:paraId="36DFA696">
            <w:pPr>
              <w:widowControl/>
              <w:jc w:val="center"/>
              <w:rPr>
                <w:rFonts w:ascii="宋体" w:hAnsi="宋体" w:cs="宋体"/>
                <w:color w:val="000000"/>
                <w:kern w:val="0"/>
                <w:sz w:val="24"/>
              </w:rPr>
            </w:pPr>
            <w:r>
              <w:rPr>
                <w:rFonts w:hint="eastAsia" w:ascii="宋体" w:hAnsi="宋体" w:cs="宋体"/>
                <w:color w:val="000000"/>
                <w:kern w:val="0"/>
                <w:sz w:val="24"/>
              </w:rPr>
              <w:t>Z≥120000</w:t>
            </w:r>
          </w:p>
        </w:tc>
        <w:tc>
          <w:tcPr>
            <w:tcW w:w="1788" w:type="dxa"/>
            <w:noWrap w:val="0"/>
            <w:vAlign w:val="center"/>
          </w:tcPr>
          <w:p w14:paraId="69263BCC">
            <w:pPr>
              <w:widowControl/>
              <w:jc w:val="center"/>
              <w:rPr>
                <w:rFonts w:ascii="宋体" w:hAnsi="宋体" w:cs="宋体"/>
                <w:color w:val="000000"/>
                <w:kern w:val="0"/>
                <w:sz w:val="24"/>
              </w:rPr>
            </w:pPr>
            <w:r>
              <w:rPr>
                <w:rFonts w:hint="eastAsia" w:ascii="宋体" w:hAnsi="宋体" w:cs="宋体"/>
                <w:color w:val="000000"/>
                <w:kern w:val="0"/>
                <w:sz w:val="24"/>
              </w:rPr>
              <w:t xml:space="preserve"> 8000≤Z＜120000</w:t>
            </w:r>
          </w:p>
        </w:tc>
        <w:tc>
          <w:tcPr>
            <w:tcW w:w="1614" w:type="dxa"/>
            <w:noWrap w:val="0"/>
            <w:vAlign w:val="center"/>
          </w:tcPr>
          <w:p w14:paraId="26C72FA0">
            <w:pPr>
              <w:widowControl/>
              <w:jc w:val="center"/>
              <w:rPr>
                <w:rFonts w:ascii="宋体" w:hAnsi="宋体" w:cs="宋体"/>
                <w:color w:val="000000"/>
                <w:kern w:val="0"/>
                <w:sz w:val="24"/>
              </w:rPr>
            </w:pPr>
            <w:r>
              <w:rPr>
                <w:rFonts w:hint="eastAsia" w:ascii="宋体" w:hAnsi="宋体" w:cs="宋体"/>
                <w:color w:val="000000"/>
                <w:kern w:val="0"/>
                <w:sz w:val="24"/>
              </w:rPr>
              <w:t xml:space="preserve"> 100≤Z＜8000</w:t>
            </w:r>
          </w:p>
        </w:tc>
        <w:tc>
          <w:tcPr>
            <w:tcW w:w="804" w:type="dxa"/>
            <w:noWrap w:val="0"/>
            <w:vAlign w:val="center"/>
          </w:tcPr>
          <w:p w14:paraId="6A02B8B9">
            <w:pPr>
              <w:widowControl/>
              <w:jc w:val="center"/>
              <w:rPr>
                <w:rFonts w:ascii="宋体" w:hAnsi="宋体" w:cs="宋体"/>
                <w:color w:val="000000"/>
                <w:kern w:val="0"/>
                <w:sz w:val="24"/>
              </w:rPr>
            </w:pPr>
            <w:r>
              <w:rPr>
                <w:rFonts w:hint="eastAsia" w:ascii="宋体" w:hAnsi="宋体" w:cs="宋体"/>
                <w:color w:val="000000"/>
                <w:kern w:val="0"/>
                <w:sz w:val="24"/>
              </w:rPr>
              <w:t>Z＜100</w:t>
            </w:r>
          </w:p>
        </w:tc>
      </w:tr>
      <w:tr w14:paraId="03EE5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543" w:type="dxa"/>
            <w:noWrap w:val="0"/>
            <w:vAlign w:val="center"/>
          </w:tcPr>
          <w:p w14:paraId="40FFED98">
            <w:pPr>
              <w:widowControl/>
              <w:spacing w:line="240" w:lineRule="exact"/>
              <w:jc w:val="left"/>
              <w:rPr>
                <w:rFonts w:ascii="宋体" w:hAnsi="宋体" w:cs="宋体"/>
                <w:color w:val="000000"/>
                <w:kern w:val="0"/>
                <w:sz w:val="24"/>
              </w:rPr>
            </w:pPr>
            <w:r>
              <w:rPr>
                <w:rFonts w:hint="eastAsia" w:ascii="宋体" w:hAnsi="宋体" w:cs="宋体"/>
                <w:color w:val="000000"/>
                <w:kern w:val="0"/>
                <w:sz w:val="24"/>
              </w:rPr>
              <w:t>其他未列明行业 *</w:t>
            </w:r>
          </w:p>
        </w:tc>
        <w:tc>
          <w:tcPr>
            <w:tcW w:w="1560" w:type="dxa"/>
            <w:noWrap w:val="0"/>
            <w:vAlign w:val="center"/>
          </w:tcPr>
          <w:p w14:paraId="622DDEA9">
            <w:pPr>
              <w:widowControl/>
              <w:jc w:val="center"/>
              <w:rPr>
                <w:rFonts w:ascii="宋体" w:hAnsi="宋体" w:cs="宋体"/>
                <w:color w:val="000000"/>
                <w:kern w:val="0"/>
                <w:sz w:val="24"/>
              </w:rPr>
            </w:pPr>
            <w:r>
              <w:rPr>
                <w:rFonts w:hint="eastAsia" w:ascii="宋体" w:hAnsi="宋体" w:cs="宋体"/>
                <w:color w:val="000000"/>
                <w:kern w:val="0"/>
                <w:sz w:val="24"/>
              </w:rPr>
              <w:t>从业人员(X)</w:t>
            </w:r>
          </w:p>
        </w:tc>
        <w:tc>
          <w:tcPr>
            <w:tcW w:w="850" w:type="dxa"/>
            <w:noWrap w:val="0"/>
            <w:vAlign w:val="center"/>
          </w:tcPr>
          <w:p w14:paraId="4F645E46">
            <w:pPr>
              <w:widowControl/>
              <w:jc w:val="center"/>
              <w:rPr>
                <w:rFonts w:ascii="宋体" w:hAnsi="宋体" w:cs="宋体"/>
                <w:color w:val="000000"/>
                <w:kern w:val="0"/>
                <w:sz w:val="24"/>
              </w:rPr>
            </w:pPr>
            <w:r>
              <w:rPr>
                <w:rFonts w:hint="eastAsia" w:ascii="宋体" w:hAnsi="宋体" w:cs="宋体"/>
                <w:color w:val="000000"/>
                <w:kern w:val="0"/>
                <w:sz w:val="24"/>
              </w:rPr>
              <w:t>人</w:t>
            </w:r>
          </w:p>
        </w:tc>
        <w:tc>
          <w:tcPr>
            <w:tcW w:w="1276" w:type="dxa"/>
            <w:noWrap w:val="0"/>
            <w:vAlign w:val="center"/>
          </w:tcPr>
          <w:p w14:paraId="54C82BCF">
            <w:pPr>
              <w:widowControl/>
              <w:jc w:val="center"/>
              <w:rPr>
                <w:rFonts w:ascii="宋体" w:hAnsi="宋体" w:cs="宋体"/>
                <w:color w:val="000000"/>
                <w:kern w:val="0"/>
                <w:sz w:val="24"/>
              </w:rPr>
            </w:pPr>
            <w:r>
              <w:rPr>
                <w:rFonts w:hint="eastAsia" w:ascii="宋体" w:hAnsi="宋体" w:cs="宋体"/>
                <w:color w:val="000000"/>
                <w:kern w:val="0"/>
                <w:sz w:val="24"/>
              </w:rPr>
              <w:t>X≥300</w:t>
            </w:r>
          </w:p>
        </w:tc>
        <w:tc>
          <w:tcPr>
            <w:tcW w:w="1788" w:type="dxa"/>
            <w:noWrap w:val="0"/>
            <w:vAlign w:val="center"/>
          </w:tcPr>
          <w:p w14:paraId="38447D90">
            <w:pPr>
              <w:widowControl/>
              <w:ind w:left="37" w:leftChars="-51" w:hanging="144" w:hangingChars="60"/>
              <w:jc w:val="center"/>
              <w:rPr>
                <w:rFonts w:ascii="宋体" w:hAnsi="宋体" w:cs="宋体"/>
                <w:color w:val="000000"/>
                <w:kern w:val="0"/>
                <w:sz w:val="24"/>
              </w:rPr>
            </w:pPr>
            <w:r>
              <w:rPr>
                <w:rFonts w:hint="eastAsia" w:ascii="宋体" w:hAnsi="宋体" w:cs="宋体"/>
                <w:color w:val="000000"/>
                <w:kern w:val="0"/>
                <w:sz w:val="24"/>
              </w:rPr>
              <w:t xml:space="preserve">100≤X＜300 </w:t>
            </w:r>
          </w:p>
        </w:tc>
        <w:tc>
          <w:tcPr>
            <w:tcW w:w="1614" w:type="dxa"/>
            <w:noWrap w:val="0"/>
            <w:vAlign w:val="center"/>
          </w:tcPr>
          <w:p w14:paraId="595B5BFC">
            <w:pPr>
              <w:widowControl/>
              <w:jc w:val="center"/>
              <w:rPr>
                <w:rFonts w:ascii="宋体" w:hAnsi="宋体" w:cs="宋体"/>
                <w:color w:val="000000"/>
                <w:kern w:val="0"/>
                <w:sz w:val="24"/>
              </w:rPr>
            </w:pPr>
            <w:r>
              <w:rPr>
                <w:rFonts w:hint="eastAsia" w:ascii="宋体" w:hAnsi="宋体" w:cs="宋体"/>
                <w:color w:val="000000"/>
                <w:kern w:val="0"/>
                <w:sz w:val="24"/>
              </w:rPr>
              <w:t xml:space="preserve"> 10≤X＜100</w:t>
            </w:r>
          </w:p>
        </w:tc>
        <w:tc>
          <w:tcPr>
            <w:tcW w:w="804" w:type="dxa"/>
            <w:noWrap w:val="0"/>
            <w:vAlign w:val="center"/>
          </w:tcPr>
          <w:p w14:paraId="6AAFE7A4">
            <w:pPr>
              <w:widowControl/>
              <w:jc w:val="center"/>
              <w:rPr>
                <w:rFonts w:ascii="宋体" w:hAnsi="宋体" w:cs="宋体"/>
                <w:color w:val="000000"/>
                <w:kern w:val="0"/>
                <w:sz w:val="24"/>
              </w:rPr>
            </w:pPr>
            <w:r>
              <w:rPr>
                <w:rFonts w:hint="eastAsia" w:ascii="宋体" w:hAnsi="宋体" w:cs="宋体"/>
                <w:color w:val="000000"/>
                <w:kern w:val="0"/>
                <w:sz w:val="24"/>
              </w:rPr>
              <w:t>X＜10</w:t>
            </w:r>
          </w:p>
        </w:tc>
      </w:tr>
    </w:tbl>
    <w:p w14:paraId="48AD4415">
      <w:pPr>
        <w:widowControl/>
        <w:spacing w:line="440" w:lineRule="exact"/>
        <w:rPr>
          <w:rFonts w:hint="eastAsia" w:ascii="宋体" w:hAnsi="宋体" w:cs="宋体"/>
          <w:color w:val="000000"/>
          <w:spacing w:val="8"/>
          <w:kern w:val="0"/>
          <w:sz w:val="24"/>
        </w:rPr>
      </w:pPr>
      <w:r>
        <w:rPr>
          <w:rFonts w:hint="eastAsia" w:ascii="宋体" w:hAnsi="宋体" w:cs="宋体"/>
          <w:color w:val="000000"/>
          <w:spacing w:val="8"/>
          <w:kern w:val="0"/>
          <w:sz w:val="24"/>
        </w:rPr>
        <w:t>说明：</w:t>
      </w:r>
    </w:p>
    <w:p w14:paraId="0F5A8D1B">
      <w:pPr>
        <w:spacing w:line="440" w:lineRule="exact"/>
        <w:rPr>
          <w:rFonts w:hint="eastAsia" w:ascii="宋体" w:hAnsi="宋体" w:cs="宋体"/>
          <w:color w:val="000000"/>
          <w:spacing w:val="8"/>
          <w:kern w:val="0"/>
          <w:sz w:val="24"/>
        </w:rPr>
      </w:pPr>
      <w:r>
        <w:rPr>
          <w:rFonts w:hint="eastAsia" w:ascii="宋体" w:hAnsi="宋体" w:cs="宋体"/>
          <w:color w:val="000000"/>
          <w:spacing w:val="8"/>
          <w:kern w:val="0"/>
          <w:sz w:val="24"/>
        </w:rPr>
        <w:t>　　</w:t>
      </w:r>
      <w:r>
        <w:rPr>
          <w:rFonts w:hint="eastAsia" w:ascii="宋体" w:hAnsi="宋体"/>
          <w:color w:val="000000"/>
          <w:spacing w:val="8"/>
          <w:kern w:val="0"/>
          <w:sz w:val="24"/>
        </w:rPr>
        <w:t>1.</w:t>
      </w:r>
      <w:r>
        <w:rPr>
          <w:rFonts w:hint="eastAsia" w:ascii="宋体" w:hAnsi="宋体" w:cs="宋体"/>
          <w:color w:val="000000"/>
          <w:spacing w:val="8"/>
          <w:kern w:val="0"/>
          <w:sz w:val="24"/>
        </w:rPr>
        <w:t>大型、中型和小型企业须同时满足所列指标的下限，否则下划一档；微型企业只须满足所列指标中的一项即可。</w:t>
      </w:r>
    </w:p>
    <w:p w14:paraId="4AA4628C">
      <w:pPr>
        <w:spacing w:line="440" w:lineRule="exact"/>
        <w:rPr>
          <w:rFonts w:hint="eastAsia" w:ascii="宋体" w:hAnsi="宋体" w:cs="宋体"/>
          <w:color w:val="000000"/>
          <w:spacing w:val="8"/>
          <w:kern w:val="0"/>
          <w:sz w:val="24"/>
        </w:rPr>
      </w:pPr>
      <w:r>
        <w:rPr>
          <w:rFonts w:hint="eastAsia" w:ascii="宋体" w:hAnsi="宋体" w:cs="宋体"/>
          <w:color w:val="000000"/>
          <w:spacing w:val="8"/>
          <w:kern w:val="0"/>
          <w:sz w:val="24"/>
        </w:rPr>
        <w:t>　　</w:t>
      </w:r>
      <w:r>
        <w:rPr>
          <w:rFonts w:hint="eastAsia" w:ascii="宋体" w:hAnsi="宋体"/>
          <w:color w:val="000000"/>
          <w:spacing w:val="8"/>
          <w:kern w:val="0"/>
          <w:sz w:val="24"/>
        </w:rPr>
        <w:t>2.</w:t>
      </w:r>
      <w:r>
        <w:rPr>
          <w:rFonts w:hint="eastAsia" w:ascii="宋体" w:hAnsi="宋体" w:cs="宋体"/>
          <w:color w:val="000000"/>
          <w:spacing w:val="8"/>
          <w:kern w:val="0"/>
          <w:sz w:val="24"/>
        </w:rPr>
        <w:t>附表中各行业的范围以《国民经济行业分类》（</w:t>
      </w:r>
      <w:r>
        <w:rPr>
          <w:rFonts w:hint="eastAsia" w:ascii="宋体" w:hAnsi="宋体"/>
          <w:color w:val="000000"/>
          <w:spacing w:val="8"/>
          <w:kern w:val="0"/>
          <w:sz w:val="24"/>
        </w:rPr>
        <w:t>GB/T4754-2017</w:t>
      </w:r>
      <w:r>
        <w:rPr>
          <w:rFonts w:hint="eastAsia" w:ascii="宋体" w:hAnsi="宋体" w:cs="宋体"/>
          <w:color w:val="000000"/>
          <w:spacing w:val="8"/>
          <w:kern w:val="0"/>
          <w:sz w:val="24"/>
        </w:rPr>
        <w:t>）为准。带</w:t>
      </w:r>
      <w:r>
        <w:rPr>
          <w:rFonts w:hint="eastAsia" w:ascii="宋体" w:hAnsi="宋体"/>
          <w:color w:val="000000"/>
          <w:spacing w:val="8"/>
          <w:kern w:val="0"/>
          <w:sz w:val="24"/>
        </w:rPr>
        <w:t>*</w:t>
      </w:r>
      <w:r>
        <w:rPr>
          <w:rFonts w:hint="eastAsia" w:ascii="宋体" w:hAnsi="宋体" w:cs="宋体"/>
          <w:color w:val="000000"/>
          <w:spacing w:val="8"/>
          <w:kern w:val="0"/>
          <w:sz w:val="24"/>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A1A3296">
      <w:pPr>
        <w:widowControl/>
        <w:spacing w:line="440" w:lineRule="exact"/>
        <w:jc w:val="left"/>
        <w:rPr>
          <w:rFonts w:hint="eastAsia"/>
        </w:rPr>
      </w:pPr>
      <w:r>
        <w:rPr>
          <w:rFonts w:hint="eastAsia" w:ascii="宋体" w:hAnsi="宋体" w:cs="宋体"/>
          <w:color w:val="000000"/>
          <w:spacing w:val="8"/>
          <w:kern w:val="0"/>
          <w:sz w:val="24"/>
        </w:rPr>
        <w:t>　　</w:t>
      </w:r>
      <w:r>
        <w:rPr>
          <w:rFonts w:hint="eastAsia" w:ascii="宋体" w:hAnsi="宋体"/>
          <w:color w:val="000000"/>
          <w:spacing w:val="8"/>
          <w:kern w:val="0"/>
          <w:sz w:val="24"/>
        </w:rPr>
        <w:t>3.</w:t>
      </w:r>
      <w:r>
        <w:rPr>
          <w:rFonts w:hint="eastAsia" w:ascii="宋体" w:hAnsi="宋体" w:cs="宋体"/>
          <w:color w:val="000000"/>
          <w:spacing w:val="8"/>
          <w:kern w:val="0"/>
          <w:sz w:val="24"/>
        </w:rPr>
        <w:t>企业划分指标以现行统计制度为准。（</w:t>
      </w:r>
      <w:r>
        <w:rPr>
          <w:rFonts w:hint="eastAsia" w:ascii="宋体" w:hAnsi="宋体"/>
          <w:color w:val="000000"/>
          <w:spacing w:val="8"/>
          <w:kern w:val="0"/>
          <w:sz w:val="24"/>
        </w:rPr>
        <w:t>1</w:t>
      </w:r>
      <w:r>
        <w:rPr>
          <w:rFonts w:hint="eastAsia" w:ascii="宋体" w:hAnsi="宋体" w:cs="宋体"/>
          <w:color w:val="000000"/>
          <w:spacing w:val="8"/>
          <w:kern w:val="0"/>
          <w:sz w:val="24"/>
        </w:rPr>
        <w:t>）从业人员，是指期末从业人员数，没有期末从业人员数的，采用全年平均人员数代替。（</w:t>
      </w:r>
      <w:r>
        <w:rPr>
          <w:rFonts w:hint="eastAsia" w:ascii="宋体" w:hAnsi="宋体"/>
          <w:color w:val="000000"/>
          <w:spacing w:val="8"/>
          <w:kern w:val="0"/>
          <w:sz w:val="24"/>
        </w:rPr>
        <w:t>2</w:t>
      </w:r>
      <w:r>
        <w:rPr>
          <w:rFonts w:hint="eastAsia" w:ascii="宋体" w:hAnsi="宋体" w:cs="宋体"/>
          <w:color w:val="000000"/>
          <w:spacing w:val="8"/>
          <w:kern w:val="0"/>
          <w:sz w:val="24"/>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ascii="宋体" w:hAnsi="宋体"/>
          <w:color w:val="000000"/>
          <w:spacing w:val="8"/>
          <w:kern w:val="0"/>
          <w:sz w:val="24"/>
        </w:rPr>
        <w:t>3</w:t>
      </w:r>
      <w:r>
        <w:rPr>
          <w:rFonts w:hint="eastAsia" w:ascii="宋体" w:hAnsi="宋体" w:cs="宋体"/>
          <w:color w:val="000000"/>
          <w:spacing w:val="8"/>
          <w:kern w:val="0"/>
          <w:sz w:val="24"/>
        </w:rPr>
        <w:t>）资产总额，采用资产总计代替。</w:t>
      </w:r>
    </w:p>
    <w:p w14:paraId="57B72C65">
      <w:pPr>
        <w:pStyle w:val="11"/>
      </w:pPr>
    </w:p>
    <w:p w14:paraId="646D50D2">
      <w:pPr>
        <w:adjustRightInd w:val="0"/>
        <w:snapToGrid w:val="0"/>
        <w:spacing w:line="360" w:lineRule="auto"/>
        <w:jc w:val="center"/>
        <w:outlineLvl w:val="0"/>
        <w:rPr>
          <w:rFonts w:ascii="宋体" w:hAnsi="宋体" w:cs="宋体"/>
          <w:color w:val="000000"/>
          <w:sz w:val="24"/>
          <w:szCs w:val="24"/>
        </w:rPr>
      </w:pPr>
      <w:bookmarkStart w:id="317" w:name="_Toc19631"/>
      <w:r>
        <w:rPr>
          <w:rFonts w:hint="eastAsia" w:ascii="宋体" w:hAnsi="宋体" w:cs="宋体"/>
          <w:b/>
          <w:bCs/>
          <w:color w:val="000000"/>
          <w:sz w:val="24"/>
          <w:szCs w:val="24"/>
        </w:rPr>
        <w:br w:type="page"/>
      </w:r>
      <w:bookmarkStart w:id="318" w:name="_Toc23819"/>
      <w:r>
        <w:rPr>
          <w:rFonts w:hint="eastAsia" w:ascii="宋体" w:hAnsi="宋体" w:cs="宋体"/>
          <w:b/>
          <w:bCs/>
          <w:color w:val="000000"/>
          <w:spacing w:val="20"/>
          <w:kern w:val="44"/>
          <w:sz w:val="32"/>
          <w:szCs w:val="32"/>
        </w:rPr>
        <w:t>第三章 评审办法</w:t>
      </w:r>
      <w:bookmarkEnd w:id="317"/>
      <w:bookmarkEnd w:id="318"/>
    </w:p>
    <w:p w14:paraId="1B059673">
      <w:pPr>
        <w:pStyle w:val="9"/>
        <w:spacing w:line="480" w:lineRule="exact"/>
        <w:outlineLvl w:val="1"/>
        <w:rPr>
          <w:rFonts w:hAnsi="宋体"/>
          <w:b/>
        </w:rPr>
      </w:pPr>
      <w:bookmarkStart w:id="319" w:name="_Toc915"/>
      <w:r>
        <w:rPr>
          <w:rFonts w:hint="eastAsia" w:hAnsi="宋体"/>
          <w:b/>
        </w:rPr>
        <w:t>1、磋商响应文件的评审、比较和否决</w:t>
      </w:r>
      <w:bookmarkEnd w:id="319"/>
      <w:r>
        <w:rPr>
          <w:rFonts w:hint="eastAsia" w:hAnsi="宋体"/>
          <w:b/>
        </w:rPr>
        <w:t xml:space="preserve"> </w:t>
      </w:r>
    </w:p>
    <w:p w14:paraId="12CCA5C0">
      <w:pPr>
        <w:pStyle w:val="9"/>
        <w:spacing w:line="480" w:lineRule="exact"/>
        <w:ind w:firstLine="480" w:firstLineChars="200"/>
        <w:rPr>
          <w:rFonts w:hAnsi="宋体"/>
        </w:rPr>
      </w:pPr>
      <w:r>
        <w:rPr>
          <w:rFonts w:hint="eastAsia" w:hAnsi="宋体"/>
        </w:rPr>
        <w:t xml:space="preserve">1.1、磋商小组将按照竞争性磋商文件的规定，仅对在实质上响应竞争性磋商文件要求的磋商响应文件进行评估和比较。 </w:t>
      </w:r>
    </w:p>
    <w:p w14:paraId="7C8E1258">
      <w:pPr>
        <w:autoSpaceDE w:val="0"/>
        <w:autoSpaceDN w:val="0"/>
        <w:adjustRightInd w:val="0"/>
        <w:spacing w:line="48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 xml:space="preserve">1.2、根据相关法律法规及有关招磋商响应文件规定，结合本项目具体情况，制定本次磋商评审办法。并按照“公平、公正、科学、择优”的原则进行磋商。采用综合评分法进行评比。 </w:t>
      </w:r>
    </w:p>
    <w:p w14:paraId="1DE6EF08">
      <w:pPr>
        <w:pStyle w:val="9"/>
        <w:spacing w:line="480" w:lineRule="exact"/>
        <w:ind w:firstLine="480" w:firstLineChars="200"/>
        <w:rPr>
          <w:rFonts w:hAnsi="宋体"/>
        </w:rPr>
      </w:pPr>
      <w:r>
        <w:rPr>
          <w:rFonts w:hint="eastAsia" w:hAnsi="宋体"/>
        </w:rPr>
        <w:t xml:space="preserve">1.3、在评审过程中，磋商小组可以以书面形式要求磋商响应供应商就磋商响应文件中含义不明确的内容进行书面说明并提供相关材料；凡遇到竞争性磋商文件中无界定或界定不清、前后不一致使磋商小组成员意见有分歧且又难于协商一致的问题，均由磋商小组予以表决，获半数以上同意的即为通过，未获半数同意的即为否决。 </w:t>
      </w:r>
    </w:p>
    <w:p w14:paraId="1288D24C">
      <w:pPr>
        <w:pStyle w:val="9"/>
        <w:spacing w:line="480" w:lineRule="exact"/>
        <w:ind w:firstLine="480" w:firstLineChars="200"/>
        <w:rPr>
          <w:rFonts w:hAnsi="宋体"/>
        </w:rPr>
      </w:pPr>
      <w:r>
        <w:rPr>
          <w:rFonts w:hint="eastAsia" w:hAnsi="宋体"/>
        </w:rPr>
        <w:t xml:space="preserve">1.4、磋商时，磋商报价是磋商的重要依据，但不是唯一依据，采购人不承诺将合同授予报价最低或最高的磋商响应供应商。 </w:t>
      </w:r>
    </w:p>
    <w:p w14:paraId="4FA4D6FB">
      <w:pPr>
        <w:pStyle w:val="9"/>
        <w:spacing w:line="480" w:lineRule="exact"/>
        <w:ind w:firstLine="480" w:firstLineChars="200"/>
        <w:rPr>
          <w:rFonts w:hAnsi="宋体"/>
        </w:rPr>
      </w:pPr>
      <w:r>
        <w:rPr>
          <w:rFonts w:hint="eastAsia" w:hAnsi="宋体"/>
        </w:rPr>
        <w:t>1.5、磋商小组依据本须知规定的评审标准和方法，对磋商响应文件进行评审和比较，向采购人提出书面磋商报告，并推荐合格的成交候选供应商。</w:t>
      </w:r>
    </w:p>
    <w:p w14:paraId="6484356E">
      <w:pPr>
        <w:pStyle w:val="9"/>
        <w:spacing w:line="480" w:lineRule="exact"/>
        <w:ind w:firstLine="480" w:firstLineChars="200"/>
        <w:rPr>
          <w:rFonts w:hAnsi="宋体"/>
        </w:rPr>
      </w:pPr>
      <w:r>
        <w:rPr>
          <w:rFonts w:hint="eastAsia" w:hAnsi="宋体"/>
        </w:rPr>
        <w:t>1.6、在磋商过程中，竞争性磋商响应文件中为同一品牌的且通过资格审查、符合性审查的不同供应商参加本项目磋商的，按一家供应商计算，评审后得分最高的同品牌供应商获得成交供应商推荐资格，评审得分相同的，首先以报价最低的磋商响应供应商获得成交供应商推荐资格；若报价相同的，以技术部分最高的磋商响应供应商获得成交供应商推荐资格。</w:t>
      </w:r>
    </w:p>
    <w:p w14:paraId="601E8084">
      <w:pPr>
        <w:pStyle w:val="9"/>
        <w:spacing w:line="480" w:lineRule="exact"/>
        <w:ind w:firstLine="480" w:firstLineChars="200"/>
        <w:rPr>
          <w:rFonts w:hAnsi="宋体"/>
        </w:rPr>
      </w:pPr>
      <w:r>
        <w:rPr>
          <w:rFonts w:hint="eastAsia" w:hAnsi="宋体"/>
        </w:rPr>
        <w:t>1.7、在磋商过程中，采购人采购的产品属于“节能产品政府采购清单”和“环境标志产品政府采购清单”中品目的，在性能、技术、服务等指标同等条件下，应当优先采购清单中的产品。对于同时列入环保清单和节能清单的产品，应当优先于只获得其中一项认证的产品。</w:t>
      </w:r>
    </w:p>
    <w:p w14:paraId="531273E8">
      <w:pPr>
        <w:pStyle w:val="9"/>
        <w:spacing w:line="480" w:lineRule="exact"/>
        <w:outlineLvl w:val="1"/>
        <w:rPr>
          <w:rFonts w:hAnsi="宋体"/>
          <w:b/>
        </w:rPr>
      </w:pPr>
      <w:bookmarkStart w:id="320" w:name="_Toc9075"/>
      <w:r>
        <w:rPr>
          <w:rFonts w:hint="eastAsia" w:hAnsi="宋体"/>
          <w:b/>
        </w:rPr>
        <w:t>2、评分标准(采用综合评分法)</w:t>
      </w:r>
      <w:bookmarkEnd w:id="320"/>
      <w:r>
        <w:rPr>
          <w:rFonts w:hint="eastAsia" w:hAnsi="宋体"/>
          <w:b/>
        </w:rPr>
        <w:t xml:space="preserve"> </w:t>
      </w:r>
    </w:p>
    <w:p w14:paraId="44B04045">
      <w:pPr>
        <w:pStyle w:val="9"/>
        <w:spacing w:line="480" w:lineRule="exact"/>
        <w:ind w:firstLine="480" w:firstLineChars="200"/>
        <w:rPr>
          <w:rFonts w:hAnsi="宋体"/>
        </w:rPr>
      </w:pPr>
      <w:r>
        <w:rPr>
          <w:rFonts w:hint="eastAsia" w:hAnsi="宋体"/>
        </w:rPr>
        <w:t>磋商小组按照《中华人民共和国政府采购法》和《政府采购竞争性磋商采购方式管理暂行办法》，结合本项目具体情况，按下列标准打分：第一部分：投标报价评审；第二部分：技术部分评审；第三部分：商务部分评审。</w:t>
      </w:r>
    </w:p>
    <w:p w14:paraId="2767CD66">
      <w:pPr>
        <w:pStyle w:val="9"/>
        <w:spacing w:line="480" w:lineRule="exact"/>
        <w:ind w:firstLine="480" w:firstLineChars="200"/>
        <w:rPr>
          <w:rFonts w:hAnsi="宋体"/>
        </w:rPr>
      </w:pPr>
      <w:r>
        <w:rPr>
          <w:rFonts w:hint="eastAsia" w:hAnsi="宋体"/>
        </w:rPr>
        <w:t xml:space="preserve">响应供应商最终得分=磋商报价得分+技术部分评审得分+商务部分评审得分。 </w:t>
      </w:r>
    </w:p>
    <w:p w14:paraId="1B86C75B">
      <w:pPr>
        <w:pStyle w:val="9"/>
        <w:numPr>
          <w:ilvl w:val="0"/>
          <w:numId w:val="1"/>
        </w:numPr>
        <w:spacing w:line="480" w:lineRule="exact"/>
        <w:rPr>
          <w:rFonts w:hAnsi="宋体"/>
          <w:b/>
        </w:rPr>
      </w:pPr>
      <w:bookmarkStart w:id="321" w:name="_Toc27366"/>
      <w:r>
        <w:rPr>
          <w:rFonts w:hint="eastAsia" w:hAnsi="宋体"/>
          <w:b/>
        </w:rPr>
        <w:t xml:space="preserve">评审程序 </w:t>
      </w:r>
    </w:p>
    <w:tbl>
      <w:tblPr>
        <w:tblStyle w:val="29"/>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9"/>
        <w:gridCol w:w="1134"/>
        <w:gridCol w:w="22"/>
        <w:gridCol w:w="1822"/>
        <w:gridCol w:w="6005"/>
      </w:tblGrid>
      <w:tr w14:paraId="263D0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33" w:type="dxa"/>
            <w:gridSpan w:val="4"/>
            <w:vAlign w:val="center"/>
          </w:tcPr>
          <w:p w14:paraId="772E901D">
            <w:pPr>
              <w:jc w:val="center"/>
              <w:rPr>
                <w:rFonts w:ascii="宋体" w:hAnsi="宋体" w:cs="宋体"/>
                <w:b/>
                <w:sz w:val="20"/>
              </w:rPr>
            </w:pPr>
            <w:r>
              <w:rPr>
                <w:rFonts w:hint="eastAsia" w:ascii="宋体" w:hAnsi="宋体" w:cs="宋体"/>
                <w:b/>
                <w:sz w:val="20"/>
              </w:rPr>
              <w:t>条款号</w:t>
            </w:r>
          </w:p>
        </w:tc>
        <w:tc>
          <w:tcPr>
            <w:tcW w:w="1822" w:type="dxa"/>
            <w:vAlign w:val="center"/>
          </w:tcPr>
          <w:p w14:paraId="3E056D87">
            <w:pPr>
              <w:jc w:val="center"/>
              <w:rPr>
                <w:rFonts w:ascii="宋体" w:hAnsi="宋体" w:cs="宋体"/>
                <w:b/>
                <w:sz w:val="20"/>
              </w:rPr>
            </w:pPr>
            <w:r>
              <w:rPr>
                <w:rFonts w:hint="eastAsia" w:ascii="宋体" w:hAnsi="宋体" w:cs="宋体"/>
                <w:b/>
                <w:sz w:val="20"/>
              </w:rPr>
              <w:t>评审因素</w:t>
            </w:r>
          </w:p>
        </w:tc>
        <w:tc>
          <w:tcPr>
            <w:tcW w:w="6005" w:type="dxa"/>
            <w:vAlign w:val="center"/>
          </w:tcPr>
          <w:p w14:paraId="380289AD">
            <w:pPr>
              <w:jc w:val="center"/>
              <w:rPr>
                <w:rFonts w:ascii="宋体" w:hAnsi="宋体" w:cs="宋体"/>
                <w:b/>
                <w:sz w:val="20"/>
              </w:rPr>
            </w:pPr>
            <w:r>
              <w:rPr>
                <w:rFonts w:hint="eastAsia" w:ascii="宋体" w:hAnsi="宋体" w:cs="宋体"/>
                <w:b/>
                <w:sz w:val="20"/>
              </w:rPr>
              <w:t>评审标准</w:t>
            </w:r>
          </w:p>
        </w:tc>
      </w:tr>
      <w:tr w14:paraId="77BCF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exact"/>
          <w:jc w:val="center"/>
        </w:trPr>
        <w:tc>
          <w:tcPr>
            <w:tcW w:w="868" w:type="dxa"/>
            <w:vMerge w:val="restart"/>
            <w:vAlign w:val="center"/>
          </w:tcPr>
          <w:p w14:paraId="572C4871">
            <w:pPr>
              <w:spacing w:line="264" w:lineRule="auto"/>
              <w:rPr>
                <w:rFonts w:hint="eastAsia"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3.1.1</w:t>
            </w:r>
          </w:p>
        </w:tc>
        <w:tc>
          <w:tcPr>
            <w:tcW w:w="1165" w:type="dxa"/>
            <w:gridSpan w:val="3"/>
            <w:vMerge w:val="restart"/>
            <w:vAlign w:val="center"/>
          </w:tcPr>
          <w:p w14:paraId="7C2984FC">
            <w:pPr>
              <w:spacing w:line="264" w:lineRule="auto"/>
              <w:rPr>
                <w:rFonts w:hint="eastAsia"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资格审查标准</w:t>
            </w:r>
          </w:p>
        </w:tc>
        <w:tc>
          <w:tcPr>
            <w:tcW w:w="1822" w:type="dxa"/>
            <w:vAlign w:val="center"/>
          </w:tcPr>
          <w:p w14:paraId="5B2ADA6C">
            <w:pPr>
              <w:spacing w:line="264" w:lineRule="auto"/>
              <w:jc w:val="center"/>
              <w:rPr>
                <w:rFonts w:hint="eastAsia"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合格的供应商</w:t>
            </w:r>
          </w:p>
        </w:tc>
        <w:tc>
          <w:tcPr>
            <w:tcW w:w="6005" w:type="dxa"/>
            <w:vAlign w:val="center"/>
          </w:tcPr>
          <w:p w14:paraId="7EA28C7C">
            <w:p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符合并响应《中华人民共和国政府采购法》的第二十二条的规定；</w:t>
            </w:r>
          </w:p>
          <w:p w14:paraId="6F2F3897">
            <w:p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（1）具有独立承担民事责任能力；</w:t>
            </w:r>
          </w:p>
          <w:p w14:paraId="481FBBD7">
            <w:p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（2）具有良好的商业信誉和健全的财务会计制度；</w:t>
            </w:r>
          </w:p>
          <w:p w14:paraId="36D2ADC7">
            <w:p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（3）具有履行合同所必需的设备和专业技术能力；</w:t>
            </w:r>
          </w:p>
          <w:p w14:paraId="64225CD8">
            <w:p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（4）有依法缴纳税收和社会保障资金的良好记录；</w:t>
            </w:r>
          </w:p>
          <w:p w14:paraId="79C7FD9A">
            <w:p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（5）参加政府采购活动前三年内，在经营活动中没有重大违法记录；</w:t>
            </w:r>
          </w:p>
        </w:tc>
      </w:tr>
      <w:tr w14:paraId="3AB6E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exact"/>
          <w:jc w:val="center"/>
        </w:trPr>
        <w:tc>
          <w:tcPr>
            <w:tcW w:w="868" w:type="dxa"/>
            <w:vMerge w:val="continue"/>
            <w:vAlign w:val="center"/>
          </w:tcPr>
          <w:p w14:paraId="7362E03A">
            <w:pPr>
              <w:rPr>
                <w:rFonts w:ascii="宋体" w:hAnsi="宋体" w:cs="宋体"/>
                <w:sz w:val="24"/>
                <w:szCs w:val="24"/>
              </w:rPr>
            </w:pPr>
          </w:p>
        </w:tc>
        <w:tc>
          <w:tcPr>
            <w:tcW w:w="1165" w:type="dxa"/>
            <w:gridSpan w:val="3"/>
            <w:vMerge w:val="continue"/>
            <w:vAlign w:val="center"/>
          </w:tcPr>
          <w:p w14:paraId="6CA3DBAA">
            <w:pPr>
              <w:rPr>
                <w:rFonts w:ascii="宋体" w:hAnsi="宋体" w:cs="宋体"/>
                <w:sz w:val="24"/>
                <w:szCs w:val="24"/>
              </w:rPr>
            </w:pPr>
          </w:p>
        </w:tc>
        <w:tc>
          <w:tcPr>
            <w:tcW w:w="1822" w:type="dxa"/>
            <w:vAlign w:val="center"/>
          </w:tcPr>
          <w:p w14:paraId="40C32FE5">
            <w:pPr>
              <w:spacing w:line="264" w:lineRule="auto"/>
              <w:jc w:val="center"/>
              <w:rPr>
                <w:rFonts w:hint="eastAsia"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营业执照</w:t>
            </w:r>
          </w:p>
        </w:tc>
        <w:tc>
          <w:tcPr>
            <w:tcW w:w="6005" w:type="dxa"/>
            <w:vAlign w:val="center"/>
          </w:tcPr>
          <w:p w14:paraId="427337B5">
            <w:p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供应商具有独立法人资格，具有合法有效的营业执照、税务登记证、组织机构代码证（三证合一的仅提供营业执照、事业单位需提供事业单位法人证书）；</w:t>
            </w:r>
          </w:p>
        </w:tc>
      </w:tr>
      <w:tr w14:paraId="5D07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exact"/>
          <w:jc w:val="center"/>
        </w:trPr>
        <w:tc>
          <w:tcPr>
            <w:tcW w:w="868" w:type="dxa"/>
            <w:vMerge w:val="continue"/>
            <w:vAlign w:val="center"/>
          </w:tcPr>
          <w:p w14:paraId="7AFBE531">
            <w:pPr>
              <w:rPr>
                <w:rFonts w:ascii="宋体" w:hAnsi="宋体" w:cs="宋体"/>
                <w:sz w:val="24"/>
                <w:szCs w:val="24"/>
              </w:rPr>
            </w:pPr>
          </w:p>
        </w:tc>
        <w:tc>
          <w:tcPr>
            <w:tcW w:w="1165" w:type="dxa"/>
            <w:gridSpan w:val="3"/>
            <w:vMerge w:val="continue"/>
            <w:vAlign w:val="center"/>
          </w:tcPr>
          <w:p w14:paraId="4AC7889C">
            <w:pPr>
              <w:rPr>
                <w:rFonts w:ascii="宋体" w:hAnsi="宋体" w:cs="宋体"/>
                <w:sz w:val="24"/>
                <w:szCs w:val="24"/>
              </w:rPr>
            </w:pPr>
          </w:p>
        </w:tc>
        <w:tc>
          <w:tcPr>
            <w:tcW w:w="1822" w:type="dxa"/>
            <w:vAlign w:val="center"/>
          </w:tcPr>
          <w:p w14:paraId="3DC7EE6C">
            <w:pPr>
              <w:spacing w:line="264" w:lineRule="auto"/>
              <w:jc w:val="center"/>
              <w:rPr>
                <w:rFonts w:hint="eastAsia"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企业资质</w:t>
            </w:r>
          </w:p>
        </w:tc>
        <w:tc>
          <w:tcPr>
            <w:tcW w:w="6005" w:type="dxa"/>
            <w:vAlign w:val="center"/>
          </w:tcPr>
          <w:p w14:paraId="4C9128C6">
            <w:p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须具备土地规划乙级及以上资质证书（如因国家机构改革或发证单位原因而暂停审批资质证书，对已到期的土地规划资质企业须提供相关证明材料或原发证单位提供的延期通知或声明），拟派项目负责人须具有中级及以上职称，且为本单位人员（提供职称证原件扫描件及</w:t>
            </w:r>
            <w:r>
              <w:rPr>
                <w:rFonts w:hint="eastAsia" w:ascii="宋体" w:hAnsi="宋体" w:cs="宋体"/>
                <w:color w:val="000000" w:themeColor="text1"/>
                <w:sz w:val="24"/>
                <w:szCs w:val="24"/>
                <w:highlight w:val="none"/>
                <w:lang w:val="en-US" w:eastAsia="zh-CN"/>
                <w14:textFill>
                  <w14:solidFill>
                    <w14:schemeClr w14:val="tx1"/>
                  </w14:solidFill>
                </w14:textFill>
              </w:rPr>
              <w:t>2024年任意一个月</w:t>
            </w:r>
            <w:r>
              <w:rPr>
                <w:rFonts w:hint="eastAsia" w:ascii="宋体" w:hAnsi="宋体" w:eastAsia="宋体" w:cs="宋体"/>
                <w:color w:val="000000" w:themeColor="text1"/>
                <w:sz w:val="24"/>
                <w:szCs w:val="24"/>
                <w:highlight w:val="none"/>
                <w:lang w:val="en-US" w:eastAsia="zh-CN"/>
                <w14:textFill>
                  <w14:solidFill>
                    <w14:schemeClr w14:val="tx1"/>
                  </w14:solidFill>
                </w14:textFill>
              </w:rPr>
              <w:t>社保缴纳证明）；</w:t>
            </w:r>
          </w:p>
        </w:tc>
      </w:tr>
      <w:tr w14:paraId="3D7FE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exact"/>
          <w:jc w:val="center"/>
        </w:trPr>
        <w:tc>
          <w:tcPr>
            <w:tcW w:w="868" w:type="dxa"/>
            <w:vMerge w:val="continue"/>
            <w:vAlign w:val="center"/>
          </w:tcPr>
          <w:p w14:paraId="174AC18C">
            <w:pPr>
              <w:rPr>
                <w:rFonts w:ascii="宋体" w:hAnsi="宋体" w:cs="宋体"/>
                <w:sz w:val="24"/>
                <w:szCs w:val="24"/>
              </w:rPr>
            </w:pPr>
          </w:p>
        </w:tc>
        <w:tc>
          <w:tcPr>
            <w:tcW w:w="1165" w:type="dxa"/>
            <w:gridSpan w:val="3"/>
            <w:vMerge w:val="continue"/>
            <w:vAlign w:val="center"/>
          </w:tcPr>
          <w:p w14:paraId="72FB4036">
            <w:pPr>
              <w:rPr>
                <w:rFonts w:ascii="宋体" w:hAnsi="宋体" w:cs="宋体"/>
                <w:sz w:val="24"/>
                <w:szCs w:val="24"/>
              </w:rPr>
            </w:pPr>
          </w:p>
        </w:tc>
        <w:tc>
          <w:tcPr>
            <w:tcW w:w="1822" w:type="dxa"/>
            <w:vAlign w:val="center"/>
          </w:tcPr>
          <w:p w14:paraId="34206C93">
            <w:pPr>
              <w:spacing w:line="264" w:lineRule="auto"/>
              <w:jc w:val="center"/>
              <w:rPr>
                <w:rFonts w:hint="eastAsia"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承诺书</w:t>
            </w:r>
          </w:p>
        </w:tc>
        <w:tc>
          <w:tcPr>
            <w:tcW w:w="6005" w:type="dxa"/>
            <w:vAlign w:val="center"/>
          </w:tcPr>
          <w:p w14:paraId="795B36CD">
            <w:p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参加政府采购活动近3年内无商业贿赂、不正当竞争行为、骗取中标、严重违约及重大质量等问题并出具承诺书；</w:t>
            </w:r>
          </w:p>
        </w:tc>
      </w:tr>
      <w:tr w14:paraId="7905F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exact"/>
          <w:jc w:val="center"/>
        </w:trPr>
        <w:tc>
          <w:tcPr>
            <w:tcW w:w="868" w:type="dxa"/>
            <w:vMerge w:val="continue"/>
            <w:vAlign w:val="center"/>
          </w:tcPr>
          <w:p w14:paraId="65A98C4C">
            <w:pPr>
              <w:rPr>
                <w:rFonts w:ascii="宋体" w:hAnsi="宋体" w:cs="宋体"/>
                <w:sz w:val="24"/>
                <w:szCs w:val="24"/>
              </w:rPr>
            </w:pPr>
          </w:p>
        </w:tc>
        <w:tc>
          <w:tcPr>
            <w:tcW w:w="1165" w:type="dxa"/>
            <w:gridSpan w:val="3"/>
            <w:vMerge w:val="continue"/>
            <w:vAlign w:val="center"/>
          </w:tcPr>
          <w:p w14:paraId="092C6192">
            <w:pPr>
              <w:rPr>
                <w:rFonts w:ascii="宋体" w:hAnsi="宋体" w:cs="宋体"/>
                <w:sz w:val="24"/>
                <w:szCs w:val="24"/>
              </w:rPr>
            </w:pPr>
          </w:p>
        </w:tc>
        <w:tc>
          <w:tcPr>
            <w:tcW w:w="1822" w:type="dxa"/>
            <w:vAlign w:val="center"/>
          </w:tcPr>
          <w:p w14:paraId="57C86B72">
            <w:pPr>
              <w:spacing w:line="264" w:lineRule="auto"/>
              <w:jc w:val="center"/>
              <w:rPr>
                <w:rFonts w:hint="eastAsia"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无行贿记录</w:t>
            </w:r>
          </w:p>
        </w:tc>
        <w:tc>
          <w:tcPr>
            <w:tcW w:w="6005" w:type="dxa"/>
            <w:vAlign w:val="center"/>
          </w:tcPr>
          <w:p w14:paraId="2335D6B4">
            <w:p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企业出具无行贿犯罪记录在中国裁判文书网自行查询或自行承诺（查询对象为企业、法定代表人）；</w:t>
            </w:r>
          </w:p>
        </w:tc>
      </w:tr>
      <w:tr w14:paraId="5902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5" w:hRule="exact"/>
          <w:jc w:val="center"/>
        </w:trPr>
        <w:tc>
          <w:tcPr>
            <w:tcW w:w="868" w:type="dxa"/>
            <w:vMerge w:val="continue"/>
            <w:vAlign w:val="center"/>
          </w:tcPr>
          <w:p w14:paraId="3340CF3E">
            <w:pPr>
              <w:rPr>
                <w:rFonts w:ascii="宋体" w:hAnsi="宋体" w:cs="宋体"/>
                <w:sz w:val="24"/>
                <w:szCs w:val="24"/>
              </w:rPr>
            </w:pPr>
          </w:p>
        </w:tc>
        <w:tc>
          <w:tcPr>
            <w:tcW w:w="1165" w:type="dxa"/>
            <w:gridSpan w:val="3"/>
            <w:vMerge w:val="continue"/>
            <w:vAlign w:val="center"/>
          </w:tcPr>
          <w:p w14:paraId="7204F59E">
            <w:pPr>
              <w:rPr>
                <w:rFonts w:ascii="宋体" w:hAnsi="宋体" w:cs="宋体"/>
                <w:sz w:val="24"/>
                <w:szCs w:val="24"/>
              </w:rPr>
            </w:pPr>
          </w:p>
        </w:tc>
        <w:tc>
          <w:tcPr>
            <w:tcW w:w="1822" w:type="dxa"/>
            <w:vAlign w:val="center"/>
          </w:tcPr>
          <w:p w14:paraId="755CEBEC">
            <w:pPr>
              <w:spacing w:line="264" w:lineRule="auto"/>
              <w:jc w:val="center"/>
              <w:rPr>
                <w:rFonts w:hint="eastAsia"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信用查询</w:t>
            </w:r>
          </w:p>
        </w:tc>
        <w:tc>
          <w:tcPr>
            <w:tcW w:w="6005" w:type="dxa"/>
            <w:vAlign w:val="center"/>
          </w:tcPr>
          <w:p w14:paraId="7DF27E02">
            <w:p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根据《关于在政府采购活动中查询及使用信用记录有关问题的通知》(财库[2016]125号)的规定，对列入失信被执行人、重大税收违法失信主体【查询渠道：“信用中国”网站（www.creditchina.gov.cn）】、政府采购严重违法失信行为记录名单【查询渠道：中国政府采购网（www.ccgp.gov.cn）】的供应商，拒绝参与本项目政府采购活动；（查询时间自公告发布之日起，开标时间前截止）；</w:t>
            </w:r>
          </w:p>
        </w:tc>
      </w:tr>
      <w:tr w14:paraId="32AFD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exact"/>
          <w:jc w:val="center"/>
        </w:trPr>
        <w:tc>
          <w:tcPr>
            <w:tcW w:w="868" w:type="dxa"/>
            <w:vMerge w:val="continue"/>
            <w:vAlign w:val="center"/>
          </w:tcPr>
          <w:p w14:paraId="47CD2127">
            <w:pPr>
              <w:rPr>
                <w:rFonts w:ascii="宋体" w:hAnsi="宋体" w:cs="宋体"/>
                <w:sz w:val="24"/>
                <w:szCs w:val="24"/>
              </w:rPr>
            </w:pPr>
          </w:p>
        </w:tc>
        <w:tc>
          <w:tcPr>
            <w:tcW w:w="1165" w:type="dxa"/>
            <w:gridSpan w:val="3"/>
            <w:vMerge w:val="continue"/>
            <w:vAlign w:val="center"/>
          </w:tcPr>
          <w:p w14:paraId="7AA84C88">
            <w:pPr>
              <w:rPr>
                <w:rFonts w:ascii="宋体" w:hAnsi="宋体" w:cs="宋体"/>
                <w:sz w:val="24"/>
                <w:szCs w:val="24"/>
              </w:rPr>
            </w:pPr>
          </w:p>
        </w:tc>
        <w:tc>
          <w:tcPr>
            <w:tcW w:w="1822" w:type="dxa"/>
            <w:vAlign w:val="center"/>
          </w:tcPr>
          <w:p w14:paraId="69C95DC0">
            <w:pPr>
              <w:spacing w:line="264" w:lineRule="auto"/>
              <w:jc w:val="center"/>
              <w:rPr>
                <w:rFonts w:hint="eastAsia"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国家企业信用信息公示系统查询</w:t>
            </w:r>
          </w:p>
        </w:tc>
        <w:tc>
          <w:tcPr>
            <w:tcW w:w="6005" w:type="dxa"/>
            <w:vAlign w:val="center"/>
          </w:tcPr>
          <w:p w14:paraId="4EB2BD11">
            <w:p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单位负责人为同一人或者存在直接控股、管理关系的不同供应商，不得参加同一合同项下的政府采购活动【提供“国家企业信用信息公示系统”中查询打印的相关材料（需包含公司基础信息、股东及出资信息)</w:t>
            </w:r>
            <w:r>
              <w:rPr>
                <w:rFonts w:hint="eastAsia" w:ascii="宋体" w:hAnsi="宋体" w:cs="宋体"/>
                <w:color w:val="000000" w:themeColor="text1"/>
                <w:sz w:val="24"/>
                <w:szCs w:val="24"/>
                <w:highlight w:val="none"/>
                <w:lang w:val="en-US" w:eastAsia="zh-CN"/>
                <w14:textFill>
                  <w14:solidFill>
                    <w14:schemeClr w14:val="tx1"/>
                  </w14:solidFill>
                </w14:textFill>
              </w:rPr>
              <w:t>，事业单位需出具承诺书。</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r>
      <w:tr w14:paraId="7165D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vMerge w:val="restart"/>
            <w:vAlign w:val="center"/>
          </w:tcPr>
          <w:p w14:paraId="06142A42">
            <w:pPr>
              <w:spacing w:line="264" w:lineRule="auto"/>
              <w:rPr>
                <w:rFonts w:hint="eastAsia"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3.1.2</w:t>
            </w:r>
          </w:p>
        </w:tc>
        <w:tc>
          <w:tcPr>
            <w:tcW w:w="1165" w:type="dxa"/>
            <w:gridSpan w:val="3"/>
            <w:vMerge w:val="restart"/>
            <w:vAlign w:val="center"/>
          </w:tcPr>
          <w:p w14:paraId="732DEED5">
            <w:pPr>
              <w:spacing w:line="264" w:lineRule="auto"/>
              <w:rPr>
                <w:rFonts w:hint="eastAsia"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符合性审查标准</w:t>
            </w:r>
          </w:p>
        </w:tc>
        <w:tc>
          <w:tcPr>
            <w:tcW w:w="1822" w:type="dxa"/>
            <w:vAlign w:val="center"/>
          </w:tcPr>
          <w:p w14:paraId="33323C04">
            <w:pPr>
              <w:spacing w:line="264" w:lineRule="auto"/>
              <w:jc w:val="center"/>
              <w:rPr>
                <w:rFonts w:hint="eastAsia"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投标供应商</w:t>
            </w:r>
          </w:p>
          <w:p w14:paraId="51E0F7D6">
            <w:pPr>
              <w:spacing w:line="264" w:lineRule="auto"/>
              <w:jc w:val="center"/>
              <w:rPr>
                <w:rFonts w:hint="eastAsia"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名称</w:t>
            </w:r>
          </w:p>
        </w:tc>
        <w:tc>
          <w:tcPr>
            <w:tcW w:w="6005" w:type="dxa"/>
            <w:vAlign w:val="center"/>
          </w:tcPr>
          <w:p w14:paraId="7E4B2D0F">
            <w:p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与营业执照一致</w:t>
            </w:r>
          </w:p>
        </w:tc>
      </w:tr>
      <w:tr w14:paraId="516A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vMerge w:val="continue"/>
            <w:vAlign w:val="center"/>
          </w:tcPr>
          <w:p w14:paraId="5F562880">
            <w:pPr>
              <w:spacing w:line="360" w:lineRule="auto"/>
              <w:rPr>
                <w:rFonts w:ascii="宋体" w:hAnsi="宋体" w:cs="宋体"/>
                <w:sz w:val="24"/>
                <w:szCs w:val="24"/>
              </w:rPr>
            </w:pPr>
          </w:p>
        </w:tc>
        <w:tc>
          <w:tcPr>
            <w:tcW w:w="1165" w:type="dxa"/>
            <w:gridSpan w:val="3"/>
            <w:vMerge w:val="continue"/>
            <w:vAlign w:val="center"/>
          </w:tcPr>
          <w:p w14:paraId="5CEB03E7">
            <w:pPr>
              <w:spacing w:line="360" w:lineRule="auto"/>
              <w:rPr>
                <w:rFonts w:ascii="宋体" w:hAnsi="宋体" w:cs="宋体"/>
                <w:sz w:val="24"/>
                <w:szCs w:val="24"/>
              </w:rPr>
            </w:pPr>
          </w:p>
        </w:tc>
        <w:tc>
          <w:tcPr>
            <w:tcW w:w="1822" w:type="dxa"/>
            <w:vAlign w:val="center"/>
          </w:tcPr>
          <w:p w14:paraId="774AB492">
            <w:pPr>
              <w:spacing w:line="264" w:lineRule="auto"/>
              <w:jc w:val="center"/>
              <w:rPr>
                <w:rFonts w:hint="eastAsia"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签字盖章要求</w:t>
            </w:r>
          </w:p>
        </w:tc>
        <w:tc>
          <w:tcPr>
            <w:tcW w:w="6005" w:type="dxa"/>
            <w:vAlign w:val="center"/>
          </w:tcPr>
          <w:p w14:paraId="48763B8C">
            <w:p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符合竞争性磋商文件要求的签字、盖章</w:t>
            </w:r>
          </w:p>
        </w:tc>
      </w:tr>
      <w:tr w14:paraId="749B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8" w:type="dxa"/>
            <w:vMerge w:val="continue"/>
            <w:vAlign w:val="center"/>
          </w:tcPr>
          <w:p w14:paraId="6F5D3B5B">
            <w:pPr>
              <w:spacing w:line="360" w:lineRule="auto"/>
              <w:rPr>
                <w:rFonts w:ascii="宋体" w:hAnsi="宋体" w:cs="宋体"/>
                <w:sz w:val="24"/>
                <w:szCs w:val="24"/>
              </w:rPr>
            </w:pPr>
          </w:p>
        </w:tc>
        <w:tc>
          <w:tcPr>
            <w:tcW w:w="1165" w:type="dxa"/>
            <w:gridSpan w:val="3"/>
            <w:vMerge w:val="continue"/>
            <w:vAlign w:val="center"/>
          </w:tcPr>
          <w:p w14:paraId="3D460C30">
            <w:pPr>
              <w:spacing w:line="360" w:lineRule="auto"/>
              <w:rPr>
                <w:rFonts w:ascii="宋体" w:hAnsi="宋体" w:cs="宋体"/>
                <w:sz w:val="24"/>
                <w:szCs w:val="24"/>
              </w:rPr>
            </w:pPr>
          </w:p>
        </w:tc>
        <w:tc>
          <w:tcPr>
            <w:tcW w:w="1822" w:type="dxa"/>
            <w:vAlign w:val="center"/>
          </w:tcPr>
          <w:p w14:paraId="7CFF5F64">
            <w:pPr>
              <w:spacing w:line="264" w:lineRule="auto"/>
              <w:jc w:val="center"/>
              <w:rPr>
                <w:rFonts w:hint="eastAsia"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报价唯一</w:t>
            </w:r>
          </w:p>
        </w:tc>
        <w:tc>
          <w:tcPr>
            <w:tcW w:w="6005" w:type="dxa"/>
            <w:vAlign w:val="center"/>
          </w:tcPr>
          <w:p w14:paraId="5232C11D">
            <w:p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只能有一个有效报价</w:t>
            </w:r>
          </w:p>
        </w:tc>
      </w:tr>
      <w:tr w14:paraId="5719C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68" w:type="dxa"/>
            <w:vMerge w:val="continue"/>
            <w:vAlign w:val="center"/>
          </w:tcPr>
          <w:p w14:paraId="10FA0B1D">
            <w:pPr>
              <w:spacing w:line="360" w:lineRule="auto"/>
              <w:rPr>
                <w:rFonts w:ascii="宋体" w:hAnsi="宋体" w:cs="宋体"/>
                <w:sz w:val="24"/>
                <w:szCs w:val="24"/>
              </w:rPr>
            </w:pPr>
          </w:p>
        </w:tc>
        <w:tc>
          <w:tcPr>
            <w:tcW w:w="1165" w:type="dxa"/>
            <w:gridSpan w:val="3"/>
            <w:vMerge w:val="continue"/>
            <w:vAlign w:val="center"/>
          </w:tcPr>
          <w:p w14:paraId="5970B1A5">
            <w:pPr>
              <w:spacing w:line="360" w:lineRule="auto"/>
              <w:rPr>
                <w:rFonts w:ascii="宋体" w:hAnsi="宋体" w:cs="宋体"/>
                <w:sz w:val="24"/>
                <w:szCs w:val="24"/>
              </w:rPr>
            </w:pPr>
          </w:p>
        </w:tc>
        <w:tc>
          <w:tcPr>
            <w:tcW w:w="1822" w:type="dxa"/>
            <w:vAlign w:val="center"/>
          </w:tcPr>
          <w:p w14:paraId="4B3DF804">
            <w:pPr>
              <w:spacing w:line="264" w:lineRule="auto"/>
              <w:jc w:val="center"/>
              <w:rPr>
                <w:rFonts w:hint="eastAsia"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服务周期</w:t>
            </w:r>
          </w:p>
        </w:tc>
        <w:tc>
          <w:tcPr>
            <w:tcW w:w="6005" w:type="dxa"/>
            <w:vAlign w:val="center"/>
          </w:tcPr>
          <w:p w14:paraId="6BEBD3C4">
            <w:p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符合供应商须知前附表规定</w:t>
            </w:r>
          </w:p>
        </w:tc>
      </w:tr>
      <w:tr w14:paraId="3C63A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8" w:type="dxa"/>
            <w:vMerge w:val="continue"/>
            <w:vAlign w:val="center"/>
          </w:tcPr>
          <w:p w14:paraId="4352B476">
            <w:pPr>
              <w:spacing w:line="360" w:lineRule="auto"/>
              <w:rPr>
                <w:rFonts w:ascii="宋体" w:hAnsi="宋体" w:cs="宋体"/>
                <w:sz w:val="24"/>
                <w:szCs w:val="24"/>
              </w:rPr>
            </w:pPr>
          </w:p>
        </w:tc>
        <w:tc>
          <w:tcPr>
            <w:tcW w:w="1165" w:type="dxa"/>
            <w:gridSpan w:val="3"/>
            <w:vMerge w:val="continue"/>
            <w:vAlign w:val="center"/>
          </w:tcPr>
          <w:p w14:paraId="36EE0DB5">
            <w:pPr>
              <w:spacing w:line="360" w:lineRule="auto"/>
              <w:rPr>
                <w:rFonts w:ascii="宋体" w:hAnsi="宋体" w:cs="宋体"/>
                <w:sz w:val="24"/>
                <w:szCs w:val="24"/>
              </w:rPr>
            </w:pPr>
          </w:p>
        </w:tc>
        <w:tc>
          <w:tcPr>
            <w:tcW w:w="1822" w:type="dxa"/>
            <w:vAlign w:val="center"/>
          </w:tcPr>
          <w:p w14:paraId="662CD913">
            <w:pPr>
              <w:spacing w:line="264" w:lineRule="auto"/>
              <w:jc w:val="center"/>
              <w:rPr>
                <w:rFonts w:hint="eastAsia"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质量要求</w:t>
            </w:r>
          </w:p>
        </w:tc>
        <w:tc>
          <w:tcPr>
            <w:tcW w:w="6005" w:type="dxa"/>
            <w:vAlign w:val="center"/>
          </w:tcPr>
          <w:p w14:paraId="4D233A78">
            <w:p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符合国家、地方及行业相关规范和标准</w:t>
            </w:r>
          </w:p>
        </w:tc>
      </w:tr>
      <w:tr w14:paraId="0EF0F5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011" w:type="dxa"/>
            <w:gridSpan w:val="3"/>
            <w:vMerge w:val="restart"/>
            <w:tcBorders>
              <w:top w:val="single" w:color="auto" w:sz="4" w:space="0"/>
              <w:left w:val="single" w:color="auto" w:sz="4" w:space="0"/>
            </w:tcBorders>
            <w:vAlign w:val="center"/>
          </w:tcPr>
          <w:p w14:paraId="0DAF6C9F">
            <w:pPr>
              <w:spacing w:line="360" w:lineRule="auto"/>
              <w:ind w:firstLine="480" w:firstLineChars="200"/>
              <w:rPr>
                <w:rFonts w:ascii="宋体" w:hAnsi="宋体" w:cs="宋体"/>
                <w:sz w:val="24"/>
                <w:szCs w:val="24"/>
              </w:rPr>
            </w:pPr>
            <w:r>
              <w:rPr>
                <w:rFonts w:hint="eastAsia" w:ascii="宋体" w:hAnsi="宋体" w:cs="宋体"/>
                <w:sz w:val="24"/>
                <w:szCs w:val="24"/>
              </w:rPr>
              <w:t>条款号</w:t>
            </w:r>
          </w:p>
        </w:tc>
        <w:tc>
          <w:tcPr>
            <w:tcW w:w="1844" w:type="dxa"/>
            <w:gridSpan w:val="2"/>
            <w:tcBorders>
              <w:top w:val="single" w:color="auto" w:sz="4" w:space="0"/>
            </w:tcBorders>
            <w:vAlign w:val="center"/>
          </w:tcPr>
          <w:p w14:paraId="76E28FD0">
            <w:pPr>
              <w:spacing w:line="360" w:lineRule="auto"/>
              <w:ind w:firstLine="480" w:firstLineChars="200"/>
              <w:rPr>
                <w:rFonts w:ascii="宋体" w:hAnsi="宋体" w:cs="宋体"/>
                <w:sz w:val="24"/>
                <w:szCs w:val="24"/>
              </w:rPr>
            </w:pPr>
            <w:r>
              <w:rPr>
                <w:rFonts w:hint="eastAsia" w:ascii="宋体" w:hAnsi="宋体" w:cs="宋体"/>
                <w:sz w:val="24"/>
                <w:szCs w:val="24"/>
              </w:rPr>
              <w:t>评审因素</w:t>
            </w:r>
          </w:p>
        </w:tc>
        <w:tc>
          <w:tcPr>
            <w:tcW w:w="6005" w:type="dxa"/>
            <w:tcBorders>
              <w:top w:val="single" w:color="auto" w:sz="4" w:space="0"/>
              <w:right w:val="single" w:color="auto" w:sz="4" w:space="0"/>
            </w:tcBorders>
            <w:vAlign w:val="center"/>
          </w:tcPr>
          <w:p w14:paraId="7C7EB8E4">
            <w:pPr>
              <w:spacing w:line="360" w:lineRule="auto"/>
              <w:ind w:firstLine="480" w:firstLineChars="200"/>
              <w:rPr>
                <w:rFonts w:ascii="宋体" w:hAnsi="宋体" w:cs="宋体"/>
                <w:sz w:val="24"/>
                <w:szCs w:val="24"/>
              </w:rPr>
            </w:pPr>
            <w:r>
              <w:rPr>
                <w:rFonts w:hint="eastAsia" w:ascii="宋体" w:hAnsi="宋体" w:cs="宋体"/>
                <w:sz w:val="24"/>
                <w:szCs w:val="24"/>
              </w:rPr>
              <w:t>评审标准</w:t>
            </w:r>
          </w:p>
        </w:tc>
      </w:tr>
      <w:tr w14:paraId="6F3200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011" w:type="dxa"/>
            <w:gridSpan w:val="3"/>
            <w:vMerge w:val="continue"/>
            <w:tcBorders>
              <w:left w:val="single" w:color="auto" w:sz="4" w:space="0"/>
              <w:bottom w:val="single" w:color="auto" w:sz="4" w:space="0"/>
            </w:tcBorders>
            <w:vAlign w:val="center"/>
          </w:tcPr>
          <w:p w14:paraId="65B484D2">
            <w:pPr>
              <w:spacing w:line="360" w:lineRule="auto"/>
              <w:ind w:firstLine="480" w:firstLineChars="200"/>
              <w:rPr>
                <w:rFonts w:ascii="宋体" w:hAnsi="宋体" w:cs="宋体"/>
                <w:color w:val="000000" w:themeColor="text1"/>
                <w:sz w:val="24"/>
                <w:szCs w:val="24"/>
                <w14:textFill>
                  <w14:solidFill>
                    <w14:schemeClr w14:val="tx1"/>
                  </w14:solidFill>
                </w14:textFill>
              </w:rPr>
            </w:pPr>
          </w:p>
        </w:tc>
        <w:tc>
          <w:tcPr>
            <w:tcW w:w="1844" w:type="dxa"/>
            <w:gridSpan w:val="2"/>
            <w:tcBorders>
              <w:bottom w:val="single" w:color="auto" w:sz="4" w:space="0"/>
            </w:tcBorders>
            <w:vAlign w:val="center"/>
          </w:tcPr>
          <w:p w14:paraId="74EDB581">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分值构成</w:t>
            </w:r>
          </w:p>
        </w:tc>
        <w:tc>
          <w:tcPr>
            <w:tcW w:w="6005" w:type="dxa"/>
            <w:tcBorders>
              <w:bottom w:val="single" w:color="auto" w:sz="4" w:space="0"/>
              <w:right w:val="single" w:color="auto" w:sz="4" w:space="0"/>
            </w:tcBorders>
            <w:vAlign w:val="center"/>
          </w:tcPr>
          <w:p w14:paraId="7D5E7BFF">
            <w:pPr>
              <w:spacing w:line="264" w:lineRule="auto"/>
              <w:rPr>
                <w:rFonts w:hint="eastAsia"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报价部分：20分</w:t>
            </w:r>
          </w:p>
          <w:p w14:paraId="04C24C64">
            <w:pPr>
              <w:spacing w:line="264" w:lineRule="auto"/>
              <w:rPr>
                <w:rFonts w:hint="eastAsia"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技术部分：</w:t>
            </w: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4</w:t>
            </w:r>
            <w:r>
              <w:rPr>
                <w:rFonts w:hint="eastAsia" w:cs="Times New Roman" w:asciiTheme="minorEastAsia" w:hAnsiTheme="minorEastAsia" w:eastAsiaTheme="minorEastAsia"/>
                <w:color w:val="000000" w:themeColor="text1"/>
                <w:sz w:val="24"/>
                <w:szCs w:val="24"/>
                <w14:textFill>
                  <w14:solidFill>
                    <w14:schemeClr w14:val="tx1"/>
                  </w14:solidFill>
                </w14:textFill>
              </w:rPr>
              <w:t>0分</w:t>
            </w:r>
          </w:p>
          <w:p w14:paraId="23531C81">
            <w:pPr>
              <w:spacing w:line="264" w:lineRule="auto"/>
              <w:rPr>
                <w:rFonts w:hint="eastAsia" w:cs="Times New Roman" w:asciiTheme="minorEastAsia" w:hAnsiTheme="minorEastAsia" w:eastAsiaTheme="minorEastAsia"/>
                <w:color w:val="000000" w:themeColor="text1"/>
                <w:sz w:val="24"/>
                <w:szCs w:val="24"/>
                <w14:textFill>
                  <w14:solidFill>
                    <w14:schemeClr w14:val="tx1"/>
                  </w14:solidFill>
                </w14:textFill>
              </w:rPr>
            </w:pPr>
            <w:r>
              <w:rPr>
                <w:rFonts w:hint="eastAsia" w:cs="Times New Roman" w:asciiTheme="minorEastAsia" w:hAnsiTheme="minorEastAsia" w:eastAsiaTheme="minorEastAsia"/>
                <w:color w:val="000000" w:themeColor="text1"/>
                <w:sz w:val="24"/>
                <w:szCs w:val="24"/>
                <w14:textFill>
                  <w14:solidFill>
                    <w14:schemeClr w14:val="tx1"/>
                  </w14:solidFill>
                </w14:textFill>
              </w:rPr>
              <w:t>商务部分：</w:t>
            </w: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4</w:t>
            </w:r>
            <w:r>
              <w:rPr>
                <w:rFonts w:hint="eastAsia" w:cs="Times New Roman" w:asciiTheme="minorEastAsia" w:hAnsiTheme="minorEastAsia" w:eastAsiaTheme="minorEastAsia"/>
                <w:color w:val="000000" w:themeColor="text1"/>
                <w:sz w:val="24"/>
                <w:szCs w:val="24"/>
                <w14:textFill>
                  <w14:solidFill>
                    <w14:schemeClr w14:val="tx1"/>
                  </w14:solidFill>
                </w14:textFill>
              </w:rPr>
              <w:t>0分</w:t>
            </w:r>
          </w:p>
        </w:tc>
      </w:tr>
      <w:tr w14:paraId="107F96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877" w:type="dxa"/>
            <w:gridSpan w:val="2"/>
            <w:tcBorders>
              <w:top w:val="single" w:color="auto" w:sz="4" w:space="0"/>
              <w:left w:val="single" w:color="auto" w:sz="4" w:space="0"/>
              <w:bottom w:val="single" w:color="auto" w:sz="4" w:space="0"/>
            </w:tcBorders>
            <w:vAlign w:val="center"/>
          </w:tcPr>
          <w:p w14:paraId="2655347F">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w:t>
            </w:r>
          </w:p>
        </w:tc>
        <w:tc>
          <w:tcPr>
            <w:tcW w:w="1134" w:type="dxa"/>
            <w:tcBorders>
              <w:top w:val="single" w:color="auto" w:sz="4" w:space="0"/>
              <w:bottom w:val="single" w:color="auto" w:sz="4" w:space="0"/>
            </w:tcBorders>
            <w:vAlign w:val="center"/>
          </w:tcPr>
          <w:p w14:paraId="2DE0C548">
            <w:pPr>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报价部分（20分）</w:t>
            </w:r>
          </w:p>
        </w:tc>
        <w:tc>
          <w:tcPr>
            <w:tcW w:w="1844" w:type="dxa"/>
            <w:gridSpan w:val="2"/>
            <w:tcBorders>
              <w:top w:val="single" w:color="auto" w:sz="4" w:space="0"/>
              <w:bottom w:val="single" w:color="auto" w:sz="4" w:space="0"/>
            </w:tcBorders>
            <w:vAlign w:val="center"/>
          </w:tcPr>
          <w:p w14:paraId="173BEA10">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投标报价得分</w:t>
            </w:r>
          </w:p>
          <w:p w14:paraId="679A171E">
            <w:pPr>
              <w:spacing w:line="36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（20分）</w:t>
            </w:r>
          </w:p>
        </w:tc>
        <w:tc>
          <w:tcPr>
            <w:tcW w:w="6005" w:type="dxa"/>
            <w:tcBorders>
              <w:top w:val="single" w:color="auto" w:sz="4" w:space="0"/>
              <w:bottom w:val="single" w:color="auto" w:sz="4" w:space="0"/>
              <w:right w:val="single" w:color="auto" w:sz="4" w:space="0"/>
            </w:tcBorders>
            <w:vAlign w:val="center"/>
          </w:tcPr>
          <w:p w14:paraId="4E734141">
            <w:p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超出采购人预算价的响应报价均为无效报价。</w:t>
            </w:r>
          </w:p>
          <w:p w14:paraId="2CEEB9DE">
            <w:p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2、价格分采用低价优先法计算，即满足磋商文件要求且报价最低的投标人的报价为评标基准价，其价格分为满分20分，其他投标人的价格分按照下列公式计算：</w:t>
            </w:r>
          </w:p>
          <w:p w14:paraId="03DBBA6B">
            <w:p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投标报价得分=（评标基准价/投标报价）×20</w:t>
            </w:r>
          </w:p>
          <w:p w14:paraId="7EB5A58B">
            <w:p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注：1、对小型、微型企业、监狱企业及残疾人福利性单位价格给予20%的扣除，用扣除后的价格参与评审；参加投标活动的中小企业应当提供《政府采购促进中小企业发展暂行办法》规定的《中小企业声明函》，未填写中小企业声明函的在评标过程中不予认可。若提供的声明与实际情况不符，采购人有权取消该中标供应商的中标资格，并对因其造成的损失进行追责。</w:t>
            </w:r>
          </w:p>
          <w:p w14:paraId="05765986">
            <w:p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评标小组认为投标人的报价明显低于其他通过审查的投标人的报价，有可能影响服务质量或者不能诚信履约的，应当要求其在评标现场合理的时间内提供书面说明，必要时提交相关证明材料；投标人不能证明其报价合理性的，评标小组应当将其作为无效投标处理】</w:t>
            </w:r>
          </w:p>
          <w:p w14:paraId="5F2E2BB9">
            <w:pPr>
              <w:spacing w:line="360" w:lineRule="auto"/>
              <w:jc w:val="left"/>
              <w:rPr>
                <w:rFonts w:hint="eastAsia" w:cs="Times New Roman" w:asciiTheme="minorEastAsia" w:hAnsiTheme="minorEastAsia" w:eastAsiaTheme="minorEastAsia"/>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3、第二轮磋商报价为供应商的最终报价。若供应商最终报价超过控制价，按无效响应文件处理</w:t>
            </w:r>
          </w:p>
        </w:tc>
      </w:tr>
      <w:tr w14:paraId="546D74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16" w:hRule="atLeast"/>
          <w:jc w:val="center"/>
        </w:trPr>
        <w:tc>
          <w:tcPr>
            <w:tcW w:w="877" w:type="dxa"/>
            <w:gridSpan w:val="2"/>
            <w:vMerge w:val="restart"/>
            <w:tcBorders>
              <w:top w:val="single" w:color="auto" w:sz="4" w:space="0"/>
              <w:left w:val="single" w:color="auto" w:sz="4" w:space="0"/>
              <w:right w:val="single" w:color="auto" w:sz="4" w:space="0"/>
            </w:tcBorders>
            <w:vAlign w:val="center"/>
          </w:tcPr>
          <w:p w14:paraId="724CD5C8">
            <w:pPr>
              <w:spacing w:line="360" w:lineRule="auto"/>
              <w:ind w:firstLine="480" w:firstLineChars="200"/>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1134" w:type="dxa"/>
            <w:vMerge w:val="restart"/>
            <w:tcBorders>
              <w:top w:val="single" w:color="auto" w:sz="4" w:space="0"/>
              <w:left w:val="single" w:color="auto" w:sz="4" w:space="0"/>
              <w:right w:val="single" w:color="auto" w:sz="4" w:space="0"/>
            </w:tcBorders>
            <w:vAlign w:val="center"/>
          </w:tcPr>
          <w:p w14:paraId="777CF8CE">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技术部分（</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0分）</w:t>
            </w:r>
          </w:p>
        </w:tc>
        <w:tc>
          <w:tcPr>
            <w:tcW w:w="1844" w:type="dxa"/>
            <w:gridSpan w:val="2"/>
            <w:tcBorders>
              <w:top w:val="single" w:color="auto" w:sz="4" w:space="0"/>
              <w:left w:val="single" w:color="auto" w:sz="4" w:space="0"/>
              <w:bottom w:val="single" w:color="auto" w:sz="4" w:space="0"/>
              <w:right w:val="single" w:color="auto" w:sz="4" w:space="0"/>
            </w:tcBorders>
            <w:vAlign w:val="center"/>
          </w:tcPr>
          <w:p w14:paraId="0DA99285">
            <w:pPr>
              <w:spacing w:line="360" w:lineRule="auto"/>
              <w:jc w:val="cente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项目理解</w:t>
            </w:r>
            <w:r>
              <w:rPr>
                <w:rFonts w:hint="eastAsia" w:ascii="宋体" w:hAnsi="宋体" w:eastAsia="宋体" w:cs="宋体"/>
                <w:color w:val="000000" w:themeColor="text1"/>
                <w:sz w:val="24"/>
                <w:szCs w:val="24"/>
                <w:highlight w:val="none"/>
                <w:lang w:eastAsia="zh-CN"/>
                <w14:textFill>
                  <w14:solidFill>
                    <w14:schemeClr w14:val="tx1"/>
                  </w14:solidFill>
                </w14:textFill>
              </w:rPr>
              <w:t>及实施方案</w:t>
            </w:r>
            <w:r>
              <w:rPr>
                <w:rFonts w:hint="eastAsia" w:ascii="宋体" w:hAnsi="宋体" w:eastAsia="宋体" w:cs="宋体"/>
                <w:color w:val="000000" w:themeColor="text1"/>
                <w:sz w:val="24"/>
                <w:szCs w:val="24"/>
                <w:highlight w:val="none"/>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分）</w:t>
            </w:r>
          </w:p>
        </w:tc>
        <w:tc>
          <w:tcPr>
            <w:tcW w:w="6005" w:type="dxa"/>
            <w:tcBorders>
              <w:top w:val="single" w:color="auto" w:sz="4" w:space="0"/>
              <w:left w:val="single" w:color="auto" w:sz="4" w:space="0"/>
              <w:bottom w:val="single" w:color="auto" w:sz="4" w:space="0"/>
              <w:right w:val="single" w:color="auto" w:sz="4" w:space="0"/>
            </w:tcBorders>
            <w:vAlign w:val="center"/>
          </w:tcPr>
          <w:p w14:paraId="55E921BF">
            <w:pPr>
              <w:spacing w:line="360" w:lineRule="auto"/>
              <w:jc w:val="cente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对项目背景、内容理解准确、全面，</w:t>
            </w:r>
            <w:r>
              <w:rPr>
                <w:rFonts w:hint="eastAsia" w:ascii="宋体" w:hAnsi="宋体" w:eastAsia="宋体" w:cs="宋体"/>
                <w:color w:val="000000" w:themeColor="text1"/>
                <w:sz w:val="24"/>
                <w:szCs w:val="24"/>
                <w:highlight w:val="none"/>
                <w:lang w:eastAsia="zh-CN"/>
                <w14:textFill>
                  <w14:solidFill>
                    <w14:schemeClr w14:val="tx1"/>
                  </w14:solidFill>
                </w14:textFill>
              </w:rPr>
              <w:t>实施方案</w:t>
            </w:r>
            <w:r>
              <w:rPr>
                <w:rFonts w:hint="eastAsia" w:ascii="宋体" w:hAnsi="宋体" w:eastAsia="宋体" w:cs="宋体"/>
                <w:color w:val="000000" w:themeColor="text1"/>
                <w:sz w:val="24"/>
                <w:szCs w:val="24"/>
                <w:highlight w:val="none"/>
                <w14:textFill>
                  <w14:solidFill>
                    <w14:schemeClr w14:val="tx1"/>
                  </w14:solidFill>
                </w14:textFill>
              </w:rPr>
              <w:t>科学、</w:t>
            </w:r>
            <w:r>
              <w:rPr>
                <w:rFonts w:hint="eastAsia" w:ascii="宋体" w:hAnsi="宋体" w:eastAsia="宋体" w:cs="宋体"/>
                <w:color w:val="000000" w:themeColor="text1"/>
                <w:sz w:val="24"/>
                <w:szCs w:val="24"/>
                <w:highlight w:val="none"/>
                <w:lang w:eastAsia="zh-CN"/>
                <w14:textFill>
                  <w14:solidFill>
                    <w14:schemeClr w14:val="tx1"/>
                  </w14:solidFill>
                </w14:textFill>
              </w:rPr>
              <w:t>全面的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7-10</w:t>
            </w:r>
            <w:r>
              <w:rPr>
                <w:rFonts w:hint="eastAsia" w:ascii="宋体" w:hAnsi="宋体" w:eastAsia="宋体" w:cs="宋体"/>
                <w:color w:val="000000" w:themeColor="text1"/>
                <w:sz w:val="24"/>
                <w:szCs w:val="24"/>
                <w:highlight w:val="none"/>
                <w14:textFill>
                  <w14:solidFill>
                    <w14:schemeClr w14:val="tx1"/>
                  </w14:solidFill>
                </w14:textFill>
              </w:rPr>
              <w:t>分；对项目背景、内容理解</w:t>
            </w:r>
            <w:r>
              <w:rPr>
                <w:rFonts w:hint="eastAsia" w:ascii="宋体" w:hAnsi="宋体" w:eastAsia="宋体" w:cs="宋体"/>
                <w:color w:val="000000" w:themeColor="text1"/>
                <w:sz w:val="24"/>
                <w:szCs w:val="24"/>
                <w:highlight w:val="none"/>
                <w:lang w:eastAsia="zh-CN"/>
                <w14:textFill>
                  <w14:solidFill>
                    <w14:schemeClr w14:val="tx1"/>
                  </w14:solidFill>
                </w14:textFill>
              </w:rPr>
              <w:t>比较准确</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实施方案合理、</w:t>
            </w:r>
            <w:r>
              <w:rPr>
                <w:rFonts w:hint="eastAsia" w:ascii="宋体" w:hAnsi="宋体" w:eastAsia="宋体" w:cs="宋体"/>
                <w:color w:val="000000" w:themeColor="text1"/>
                <w:sz w:val="24"/>
                <w:szCs w:val="24"/>
                <w:highlight w:val="none"/>
                <w14:textFill>
                  <w14:solidFill>
                    <w14:schemeClr w14:val="tx1"/>
                  </w14:solidFill>
                </w14:textFill>
              </w:rPr>
              <w:t>可行</w:t>
            </w:r>
            <w:r>
              <w:rPr>
                <w:rFonts w:hint="eastAsia" w:ascii="宋体" w:hAnsi="宋体" w:eastAsia="宋体" w:cs="宋体"/>
                <w:color w:val="000000" w:themeColor="text1"/>
                <w:sz w:val="24"/>
                <w:szCs w:val="24"/>
                <w:highlight w:val="none"/>
                <w:lang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4-6</w:t>
            </w:r>
            <w:r>
              <w:rPr>
                <w:rFonts w:hint="eastAsia" w:ascii="宋体" w:hAnsi="宋体" w:eastAsia="宋体" w:cs="宋体"/>
                <w:color w:val="000000" w:themeColor="text1"/>
                <w:sz w:val="24"/>
                <w:szCs w:val="24"/>
                <w:highlight w:val="none"/>
                <w14:textFill>
                  <w14:solidFill>
                    <w14:schemeClr w14:val="tx1"/>
                  </w14:solidFill>
                </w14:textFill>
              </w:rPr>
              <w:t>分；对项目背景、内容理解</w:t>
            </w:r>
            <w:r>
              <w:rPr>
                <w:rFonts w:hint="eastAsia" w:ascii="宋体" w:hAnsi="宋体" w:eastAsia="宋体" w:cs="宋体"/>
                <w:color w:val="000000" w:themeColor="text1"/>
                <w:sz w:val="24"/>
                <w:szCs w:val="24"/>
                <w:highlight w:val="none"/>
                <w:lang w:eastAsia="zh-CN"/>
                <w14:textFill>
                  <w14:solidFill>
                    <w14:schemeClr w14:val="tx1"/>
                  </w14:solidFill>
                </w14:textFill>
              </w:rPr>
              <w:t>基本准确</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实施方案</w:t>
            </w:r>
            <w:r>
              <w:rPr>
                <w:rFonts w:hint="eastAsia" w:ascii="宋体" w:hAnsi="宋体" w:eastAsia="宋体" w:cs="宋体"/>
                <w:color w:val="000000" w:themeColor="text1"/>
                <w:sz w:val="24"/>
                <w:szCs w:val="24"/>
                <w:highlight w:val="none"/>
                <w14:textFill>
                  <w14:solidFill>
                    <w14:schemeClr w14:val="tx1"/>
                  </w14:solidFill>
                </w14:textFill>
              </w:rPr>
              <w:t>基本可行的得</w:t>
            </w:r>
            <w:r>
              <w:rPr>
                <w:rFonts w:hint="eastAsia" w:ascii="宋体" w:hAnsi="宋体" w:eastAsia="宋体" w:cs="宋体"/>
                <w:color w:val="000000" w:themeColor="text1"/>
                <w:sz w:val="24"/>
                <w:szCs w:val="24"/>
                <w:highlight w:val="none"/>
                <w:lang w:val="en-US" w:eastAsia="zh-CN"/>
                <w14:textFill>
                  <w14:solidFill>
                    <w14:schemeClr w14:val="tx1"/>
                  </w14:solidFill>
                </w14:textFill>
              </w:rPr>
              <w:t>0-3</w:t>
            </w:r>
            <w:r>
              <w:rPr>
                <w:rFonts w:hint="eastAsia" w:ascii="宋体" w:hAnsi="宋体" w:eastAsia="宋体" w:cs="宋体"/>
                <w:color w:val="000000" w:themeColor="text1"/>
                <w:sz w:val="24"/>
                <w:szCs w:val="24"/>
                <w:highlight w:val="none"/>
                <w14:textFill>
                  <w14:solidFill>
                    <w14:schemeClr w14:val="tx1"/>
                  </w14:solidFill>
                </w14:textFill>
              </w:rPr>
              <w:t>分；缺项不得分。</w:t>
            </w:r>
          </w:p>
        </w:tc>
      </w:tr>
      <w:tr w14:paraId="64B195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0" w:hRule="atLeast"/>
          <w:jc w:val="center"/>
        </w:trPr>
        <w:tc>
          <w:tcPr>
            <w:tcW w:w="877" w:type="dxa"/>
            <w:gridSpan w:val="2"/>
            <w:vMerge w:val="continue"/>
            <w:tcBorders>
              <w:top w:val="single" w:color="auto" w:sz="4" w:space="0"/>
              <w:left w:val="single" w:color="auto" w:sz="4" w:space="0"/>
              <w:bottom w:val="single" w:color="auto" w:sz="4" w:space="0"/>
              <w:right w:val="single" w:color="auto" w:sz="4" w:space="0"/>
            </w:tcBorders>
            <w:vAlign w:val="center"/>
          </w:tcPr>
          <w:p w14:paraId="2765B71B">
            <w:pPr>
              <w:spacing w:line="360" w:lineRule="auto"/>
              <w:ind w:firstLine="480" w:firstLineChars="200"/>
              <w:jc w:val="center"/>
              <w:rPr>
                <w:rFonts w:ascii="宋体" w:hAnsi="宋体" w:cs="宋体"/>
                <w:color w:val="000000" w:themeColor="text1"/>
                <w:sz w:val="24"/>
                <w:szCs w:val="24"/>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6C3073D3">
            <w:pPr>
              <w:jc w:val="center"/>
              <w:rPr>
                <w:rFonts w:ascii="宋体" w:hAnsi="宋体" w:cs="宋体"/>
                <w:color w:val="000000" w:themeColor="text1"/>
                <w:sz w:val="24"/>
                <w:szCs w:val="24"/>
                <w:highlight w:val="none"/>
                <w14:textFill>
                  <w14:solidFill>
                    <w14:schemeClr w14:val="tx1"/>
                  </w14:solidFill>
                </w14:textFill>
              </w:rPr>
            </w:pPr>
          </w:p>
        </w:tc>
        <w:tc>
          <w:tcPr>
            <w:tcW w:w="1844" w:type="dxa"/>
            <w:gridSpan w:val="2"/>
            <w:tcBorders>
              <w:top w:val="single" w:color="auto" w:sz="4" w:space="0"/>
              <w:left w:val="single" w:color="auto" w:sz="4" w:space="0"/>
              <w:bottom w:val="single" w:color="auto" w:sz="4" w:space="0"/>
              <w:right w:val="single" w:color="auto" w:sz="4" w:space="0"/>
            </w:tcBorders>
            <w:vAlign w:val="center"/>
          </w:tcPr>
          <w:p w14:paraId="4A3700F6">
            <w:pPr>
              <w:spacing w:line="360" w:lineRule="auto"/>
              <w:jc w:val="cente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项目实施难点及关键过程分析（0-8分）</w:t>
            </w:r>
          </w:p>
        </w:tc>
        <w:tc>
          <w:tcPr>
            <w:tcW w:w="6005" w:type="dxa"/>
            <w:tcBorders>
              <w:top w:val="single" w:color="auto" w:sz="4" w:space="0"/>
              <w:left w:val="single" w:color="auto" w:sz="4" w:space="0"/>
              <w:bottom w:val="single" w:color="auto" w:sz="4" w:space="0"/>
              <w:right w:val="single" w:color="auto" w:sz="4" w:space="0"/>
            </w:tcBorders>
            <w:vAlign w:val="center"/>
          </w:tcPr>
          <w:p w14:paraId="49144413">
            <w:pPr>
              <w:spacing w:line="360" w:lineRule="auto"/>
              <w:jc w:val="left"/>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14:textFill>
                  <w14:solidFill>
                    <w14:schemeClr w14:val="tx1"/>
                  </w14:solidFill>
                </w14:textFill>
              </w:rPr>
              <w:t>全面、准确抓住本项目的重点与难点，提出满足采购人需求的，符合实际的解决思路，</w:t>
            </w:r>
            <w:r>
              <w:rPr>
                <w:rFonts w:hint="eastAsia" w:ascii="宋体" w:hAnsi="宋体" w:eastAsia="宋体" w:cs="宋体"/>
                <w:color w:val="000000" w:themeColor="text1"/>
                <w:sz w:val="24"/>
                <w:szCs w:val="24"/>
                <w:highlight w:val="none"/>
                <w14:textFill>
                  <w14:solidFill>
                    <w14:schemeClr w14:val="tx1"/>
                  </w14:solidFill>
                </w14:textFill>
              </w:rPr>
              <w:t>对项目实施具有较强的指导作用，</w:t>
            </w:r>
            <w:r>
              <w:rPr>
                <w:rFonts w:hint="eastAsia" w:ascii="宋体" w:hAnsi="宋体" w:eastAsia="宋体" w:cs="宋体"/>
                <w:color w:val="000000" w:themeColor="text1"/>
                <w:sz w:val="24"/>
                <w:szCs w:val="24"/>
                <w:highlight w:val="none"/>
                <w:lang w:val="en-US"/>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6-8</w:t>
            </w:r>
            <w:r>
              <w:rPr>
                <w:rFonts w:hint="eastAsia" w:ascii="宋体" w:hAnsi="宋体" w:eastAsia="宋体" w:cs="宋体"/>
                <w:color w:val="000000" w:themeColor="text1"/>
                <w:sz w:val="24"/>
                <w:szCs w:val="24"/>
                <w:highlight w:val="none"/>
                <w:lang w:val="en-US"/>
                <w14:textFill>
                  <w14:solidFill>
                    <w14:schemeClr w14:val="tx1"/>
                  </w14:solidFill>
                </w14:textFill>
              </w:rPr>
              <w:t>分；本项目的重点与难点基本理解，提出的解决思路基本满足采购人需求，</w:t>
            </w:r>
            <w:r>
              <w:rPr>
                <w:rFonts w:hint="eastAsia" w:ascii="宋体" w:hAnsi="宋体" w:eastAsia="宋体" w:cs="宋体"/>
                <w:color w:val="000000" w:themeColor="text1"/>
                <w:sz w:val="24"/>
                <w:szCs w:val="24"/>
                <w:highlight w:val="none"/>
                <w14:textFill>
                  <w14:solidFill>
                    <w14:schemeClr w14:val="tx1"/>
                  </w14:solidFill>
                </w14:textFill>
              </w:rPr>
              <w:t>对项目实施的指导作用一般</w:t>
            </w:r>
            <w:r>
              <w:rPr>
                <w:rFonts w:hint="eastAsia" w:ascii="宋体" w:hAnsi="宋体" w:eastAsia="宋体" w:cs="宋体"/>
                <w:color w:val="000000" w:themeColor="text1"/>
                <w:sz w:val="24"/>
                <w:szCs w:val="24"/>
                <w:highlight w:val="none"/>
                <w:lang w:val="en-US"/>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3-5</w:t>
            </w:r>
            <w:r>
              <w:rPr>
                <w:rFonts w:hint="eastAsia" w:ascii="宋体" w:hAnsi="宋体" w:eastAsia="宋体" w:cs="宋体"/>
                <w:color w:val="000000" w:themeColor="text1"/>
                <w:sz w:val="24"/>
                <w:szCs w:val="24"/>
                <w:highlight w:val="none"/>
                <w:lang w:val="en-US"/>
                <w14:textFill>
                  <w14:solidFill>
                    <w14:schemeClr w14:val="tx1"/>
                  </w14:solidFill>
                </w14:textFill>
              </w:rPr>
              <w:t>分；</w:t>
            </w:r>
            <w:r>
              <w:rPr>
                <w:rFonts w:hint="eastAsia" w:ascii="宋体" w:hAnsi="宋体" w:eastAsia="宋体" w:cs="宋体"/>
                <w:color w:val="000000" w:themeColor="text1"/>
                <w:sz w:val="24"/>
                <w:szCs w:val="24"/>
                <w:highlight w:val="none"/>
                <w14:textFill>
                  <w14:solidFill>
                    <w14:schemeClr w14:val="tx1"/>
                  </w14:solidFill>
                </w14:textFill>
              </w:rPr>
              <w:t>本项目的重点与难点理解不太全面，未能抓住符合实际的解决思路</w:t>
            </w:r>
            <w:r>
              <w:rPr>
                <w:rFonts w:hint="eastAsia" w:ascii="宋体" w:hAnsi="宋体" w:eastAsia="宋体" w:cs="宋体"/>
                <w:color w:val="000000" w:themeColor="text1"/>
                <w:sz w:val="24"/>
                <w:szCs w:val="24"/>
                <w:highlight w:val="none"/>
                <w:lang w:eastAsia="zh-CN"/>
                <w14:textFill>
                  <w14:solidFill>
                    <w14:schemeClr w14:val="tx1"/>
                  </w14:solidFill>
                </w14:textFill>
              </w:rPr>
              <w:t>得</w:t>
            </w:r>
            <w:r>
              <w:rPr>
                <w:rFonts w:hint="eastAsia" w:ascii="宋体" w:hAnsi="宋体" w:eastAsia="宋体" w:cs="宋体"/>
                <w:color w:val="000000" w:themeColor="text1"/>
                <w:sz w:val="24"/>
                <w:szCs w:val="24"/>
                <w:highlight w:val="none"/>
                <w:lang w:val="en-US" w:eastAsia="zh-CN"/>
                <w14:textFill>
                  <w14:solidFill>
                    <w14:schemeClr w14:val="tx1"/>
                  </w14:solidFill>
                </w14:textFill>
              </w:rPr>
              <w:t>0-2</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14:textFill>
                  <w14:solidFill>
                    <w14:schemeClr w14:val="tx1"/>
                  </w14:solidFill>
                </w14:textFill>
              </w:rPr>
              <w:t>。</w:t>
            </w:r>
          </w:p>
        </w:tc>
      </w:tr>
      <w:tr w14:paraId="5D26EE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5" w:hRule="atLeast"/>
          <w:jc w:val="center"/>
        </w:trPr>
        <w:tc>
          <w:tcPr>
            <w:tcW w:w="877" w:type="dxa"/>
            <w:gridSpan w:val="2"/>
            <w:vMerge w:val="continue"/>
            <w:tcBorders>
              <w:top w:val="single" w:color="auto" w:sz="4" w:space="0"/>
              <w:left w:val="single" w:color="auto" w:sz="4" w:space="0"/>
              <w:bottom w:val="single" w:color="auto" w:sz="4" w:space="0"/>
              <w:right w:val="single" w:color="auto" w:sz="4" w:space="0"/>
            </w:tcBorders>
            <w:vAlign w:val="center"/>
          </w:tcPr>
          <w:p w14:paraId="252D538F">
            <w:pPr>
              <w:spacing w:line="360" w:lineRule="auto"/>
              <w:ind w:firstLine="480" w:firstLineChars="200"/>
              <w:jc w:val="center"/>
              <w:rPr>
                <w:rFonts w:ascii="宋体" w:hAnsi="宋体" w:cs="宋体"/>
                <w:color w:val="000000" w:themeColor="text1"/>
                <w:sz w:val="24"/>
                <w:szCs w:val="24"/>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49F925E">
            <w:pPr>
              <w:jc w:val="center"/>
              <w:rPr>
                <w:rFonts w:ascii="宋体" w:hAnsi="宋体" w:cs="宋体"/>
                <w:color w:val="000000" w:themeColor="text1"/>
                <w:sz w:val="24"/>
                <w:szCs w:val="24"/>
                <w:highlight w:val="none"/>
                <w14:textFill>
                  <w14:solidFill>
                    <w14:schemeClr w14:val="tx1"/>
                  </w14:solidFill>
                </w14:textFill>
              </w:rPr>
            </w:pPr>
          </w:p>
        </w:tc>
        <w:tc>
          <w:tcPr>
            <w:tcW w:w="1844" w:type="dxa"/>
            <w:gridSpan w:val="2"/>
            <w:tcBorders>
              <w:top w:val="single" w:color="auto" w:sz="4" w:space="0"/>
              <w:left w:val="single" w:color="auto" w:sz="4" w:space="0"/>
              <w:bottom w:val="single" w:color="auto" w:sz="4" w:space="0"/>
              <w:right w:val="single" w:color="auto" w:sz="4" w:space="0"/>
            </w:tcBorders>
            <w:vAlign w:val="center"/>
          </w:tcPr>
          <w:p w14:paraId="6A5CD8B1">
            <w:pPr>
              <w:spacing w:line="360" w:lineRule="auto"/>
              <w:jc w:val="cente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工作进度安排及进度保证措施（0-6分）</w:t>
            </w:r>
          </w:p>
        </w:tc>
        <w:tc>
          <w:tcPr>
            <w:tcW w:w="6005" w:type="dxa"/>
            <w:tcBorders>
              <w:top w:val="single" w:color="auto" w:sz="4" w:space="0"/>
              <w:left w:val="single" w:color="auto" w:sz="4" w:space="0"/>
              <w:bottom w:val="single" w:color="auto" w:sz="4" w:space="0"/>
              <w:right w:val="single" w:color="auto" w:sz="4" w:space="0"/>
            </w:tcBorders>
            <w:vAlign w:val="center"/>
          </w:tcPr>
          <w:p w14:paraId="6FA4C9B0">
            <w:pPr>
              <w:spacing w:line="360" w:lineRule="auto"/>
              <w:jc w:val="left"/>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进度安排及周期合理、进度控制措施得当，服务方案合理可行，得4-6分；项目进度安排及周期可行，能够满足要求，服务方案比较合理可行的，得2-3分；项目进度安排及周期一般，基本满足要求，服务方案基本可行的，得0-1</w:t>
            </w:r>
            <w:r>
              <w:rPr>
                <w:rFonts w:hint="eastAsia" w:ascii="宋体" w:hAnsi="宋体" w:eastAsia="宋体" w:cs="宋体"/>
                <w:color w:val="000000" w:themeColor="text1"/>
                <w:sz w:val="24"/>
                <w:szCs w:val="24"/>
                <w:highlight w:val="none"/>
                <w14:textFill>
                  <w14:solidFill>
                    <w14:schemeClr w14:val="tx1"/>
                  </w14:solidFill>
                </w14:textFill>
              </w:rPr>
              <w:t>分</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r>
      <w:tr w14:paraId="09561E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2" w:hRule="atLeast"/>
          <w:jc w:val="center"/>
        </w:trPr>
        <w:tc>
          <w:tcPr>
            <w:tcW w:w="877" w:type="dxa"/>
            <w:gridSpan w:val="2"/>
            <w:vMerge w:val="continue"/>
            <w:tcBorders>
              <w:top w:val="single" w:color="auto" w:sz="4" w:space="0"/>
              <w:left w:val="single" w:color="auto" w:sz="4" w:space="0"/>
              <w:bottom w:val="single" w:color="auto" w:sz="4" w:space="0"/>
              <w:right w:val="single" w:color="auto" w:sz="4" w:space="0"/>
            </w:tcBorders>
            <w:vAlign w:val="center"/>
          </w:tcPr>
          <w:p w14:paraId="3324C76B">
            <w:pPr>
              <w:spacing w:line="360" w:lineRule="auto"/>
              <w:ind w:firstLine="480" w:firstLineChars="200"/>
              <w:jc w:val="center"/>
              <w:rPr>
                <w:rFonts w:ascii="宋体" w:hAnsi="宋体" w:cs="宋体"/>
                <w:color w:val="000000" w:themeColor="text1"/>
                <w:sz w:val="24"/>
                <w:szCs w:val="24"/>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54A57680">
            <w:pPr>
              <w:jc w:val="center"/>
              <w:rPr>
                <w:rFonts w:ascii="宋体" w:hAnsi="宋体" w:cs="宋体"/>
                <w:color w:val="000000" w:themeColor="text1"/>
                <w:sz w:val="24"/>
                <w:szCs w:val="24"/>
                <w:highlight w:val="none"/>
                <w14:textFill>
                  <w14:solidFill>
                    <w14:schemeClr w14:val="tx1"/>
                  </w14:solidFill>
                </w14:textFill>
              </w:rPr>
            </w:pPr>
          </w:p>
        </w:tc>
        <w:tc>
          <w:tcPr>
            <w:tcW w:w="1844" w:type="dxa"/>
            <w:gridSpan w:val="2"/>
            <w:tcBorders>
              <w:top w:val="single" w:color="auto" w:sz="4" w:space="0"/>
              <w:left w:val="single" w:color="auto" w:sz="4" w:space="0"/>
              <w:bottom w:val="single" w:color="auto" w:sz="4" w:space="0"/>
              <w:right w:val="single" w:color="auto" w:sz="4" w:space="0"/>
            </w:tcBorders>
            <w:vAlign w:val="center"/>
          </w:tcPr>
          <w:p w14:paraId="414278C3">
            <w:pPr>
              <w:spacing w:line="360" w:lineRule="auto"/>
              <w:jc w:val="cente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项目成果质量保证措施（0-6分）</w:t>
            </w:r>
          </w:p>
        </w:tc>
        <w:tc>
          <w:tcPr>
            <w:tcW w:w="6005" w:type="dxa"/>
            <w:tcBorders>
              <w:top w:val="single" w:color="auto" w:sz="4" w:space="0"/>
              <w:left w:val="single" w:color="auto" w:sz="4" w:space="0"/>
              <w:bottom w:val="single" w:color="auto" w:sz="4" w:space="0"/>
              <w:right w:val="single" w:color="auto" w:sz="4" w:space="0"/>
            </w:tcBorders>
            <w:vAlign w:val="center"/>
          </w:tcPr>
          <w:p w14:paraId="78842778">
            <w:pPr>
              <w:spacing w:line="360" w:lineRule="auto"/>
              <w:jc w:val="left"/>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项目成果管理及保证措施完备、可行性强的得6分；成果管理及保证措施具有一定可行性得3分</w:t>
            </w:r>
            <w:r>
              <w:rPr>
                <w:rFonts w:hint="eastAsia" w:ascii="宋体" w:hAnsi="宋体" w:eastAsia="宋体" w:cs="宋体"/>
                <w:color w:val="000000" w:themeColor="text1"/>
                <w:sz w:val="24"/>
                <w:szCs w:val="24"/>
                <w:highlight w:val="none"/>
                <w:lang w:val="en-US" w:eastAsia="zh-CN"/>
                <w14:textFill>
                  <w14:solidFill>
                    <w14:schemeClr w14:val="tx1"/>
                  </w14:solidFill>
                </w14:textFill>
              </w:rPr>
              <w:t>；缺项不得分。</w:t>
            </w:r>
          </w:p>
        </w:tc>
      </w:tr>
      <w:tr w14:paraId="70BAB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2" w:hRule="atLeast"/>
          <w:jc w:val="center"/>
        </w:trPr>
        <w:tc>
          <w:tcPr>
            <w:tcW w:w="877" w:type="dxa"/>
            <w:gridSpan w:val="2"/>
            <w:vMerge w:val="continue"/>
            <w:tcBorders>
              <w:top w:val="single" w:color="auto" w:sz="4" w:space="0"/>
              <w:left w:val="single" w:color="auto" w:sz="4" w:space="0"/>
              <w:bottom w:val="single" w:color="auto" w:sz="4" w:space="0"/>
              <w:right w:val="single" w:color="auto" w:sz="4" w:space="0"/>
            </w:tcBorders>
            <w:vAlign w:val="center"/>
          </w:tcPr>
          <w:p w14:paraId="3F8DDFB9">
            <w:pPr>
              <w:spacing w:line="360" w:lineRule="auto"/>
              <w:ind w:firstLine="480" w:firstLineChars="200"/>
              <w:jc w:val="center"/>
              <w:rPr>
                <w:rFonts w:ascii="宋体" w:hAnsi="宋体" w:cs="宋体"/>
                <w:color w:val="000000" w:themeColor="text1"/>
                <w:sz w:val="24"/>
                <w:szCs w:val="24"/>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A6660A0">
            <w:pPr>
              <w:jc w:val="center"/>
              <w:rPr>
                <w:rFonts w:ascii="宋体" w:hAnsi="宋体" w:cs="宋体"/>
                <w:color w:val="000000" w:themeColor="text1"/>
                <w:sz w:val="24"/>
                <w:szCs w:val="24"/>
                <w:highlight w:val="none"/>
                <w14:textFill>
                  <w14:solidFill>
                    <w14:schemeClr w14:val="tx1"/>
                  </w14:solidFill>
                </w14:textFill>
              </w:rPr>
            </w:pPr>
          </w:p>
        </w:tc>
        <w:tc>
          <w:tcPr>
            <w:tcW w:w="1844" w:type="dxa"/>
            <w:gridSpan w:val="2"/>
            <w:tcBorders>
              <w:top w:val="single" w:color="auto" w:sz="4" w:space="0"/>
              <w:left w:val="single" w:color="auto" w:sz="4" w:space="0"/>
              <w:bottom w:val="single" w:color="auto" w:sz="4" w:space="0"/>
              <w:right w:val="single" w:color="auto" w:sz="4" w:space="0"/>
            </w:tcBorders>
            <w:vAlign w:val="center"/>
          </w:tcPr>
          <w:p w14:paraId="4F73B114">
            <w:pPr>
              <w:spacing w:line="360" w:lineRule="auto"/>
              <w:jc w:val="cente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项目人员组织机构分配（0-4分）</w:t>
            </w:r>
          </w:p>
        </w:tc>
        <w:tc>
          <w:tcPr>
            <w:tcW w:w="6005" w:type="dxa"/>
            <w:tcBorders>
              <w:top w:val="single" w:color="auto" w:sz="4" w:space="0"/>
              <w:left w:val="single" w:color="auto" w:sz="4" w:space="0"/>
              <w:bottom w:val="single" w:color="auto" w:sz="4" w:space="0"/>
              <w:right w:val="single" w:color="auto" w:sz="4" w:space="0"/>
            </w:tcBorders>
            <w:vAlign w:val="center"/>
          </w:tcPr>
          <w:p w14:paraId="2895EAEC">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项目组织机构搭配合理、满足项目得3-4分：一般的得</w:t>
            </w:r>
          </w:p>
          <w:p w14:paraId="75680A13">
            <w:pPr>
              <w:spacing w:line="360" w:lineRule="auto"/>
              <w:jc w:val="left"/>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1-2分，缺项不得分。</w:t>
            </w:r>
          </w:p>
        </w:tc>
      </w:tr>
      <w:tr w14:paraId="078E73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1" w:hRule="atLeast"/>
          <w:jc w:val="center"/>
        </w:trPr>
        <w:tc>
          <w:tcPr>
            <w:tcW w:w="877" w:type="dxa"/>
            <w:gridSpan w:val="2"/>
            <w:vMerge w:val="continue"/>
            <w:tcBorders>
              <w:top w:val="single" w:color="auto" w:sz="4" w:space="0"/>
              <w:left w:val="single" w:color="auto" w:sz="4" w:space="0"/>
              <w:bottom w:val="single" w:color="auto" w:sz="4" w:space="0"/>
              <w:right w:val="single" w:color="auto" w:sz="4" w:space="0"/>
            </w:tcBorders>
            <w:vAlign w:val="center"/>
          </w:tcPr>
          <w:p w14:paraId="7B17CD99">
            <w:pPr>
              <w:spacing w:line="360" w:lineRule="auto"/>
              <w:ind w:firstLine="480" w:firstLineChars="200"/>
              <w:jc w:val="center"/>
              <w:rPr>
                <w:rFonts w:ascii="宋体" w:hAnsi="宋体" w:cs="宋体"/>
                <w:color w:val="000000" w:themeColor="text1"/>
                <w:sz w:val="24"/>
                <w:szCs w:val="24"/>
                <w:highlight w:val="none"/>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59E8CA25">
            <w:pPr>
              <w:jc w:val="center"/>
              <w:rPr>
                <w:rFonts w:ascii="宋体" w:hAnsi="宋体" w:cs="宋体"/>
                <w:color w:val="000000" w:themeColor="text1"/>
                <w:sz w:val="24"/>
                <w:szCs w:val="24"/>
                <w:highlight w:val="none"/>
                <w14:textFill>
                  <w14:solidFill>
                    <w14:schemeClr w14:val="tx1"/>
                  </w14:solidFill>
                </w14:textFill>
              </w:rPr>
            </w:pPr>
          </w:p>
        </w:tc>
        <w:tc>
          <w:tcPr>
            <w:tcW w:w="1844" w:type="dxa"/>
            <w:gridSpan w:val="2"/>
            <w:tcBorders>
              <w:top w:val="single" w:color="auto" w:sz="4" w:space="0"/>
              <w:left w:val="single" w:color="auto" w:sz="4" w:space="0"/>
              <w:bottom w:val="single" w:color="auto" w:sz="4" w:space="0"/>
              <w:right w:val="single" w:color="auto" w:sz="4" w:space="0"/>
            </w:tcBorders>
            <w:vAlign w:val="center"/>
          </w:tcPr>
          <w:p w14:paraId="401EF30C">
            <w:pPr>
              <w:spacing w:line="360" w:lineRule="auto"/>
              <w:jc w:val="cente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服务计划及承诺（0-6分）</w:t>
            </w:r>
          </w:p>
        </w:tc>
        <w:tc>
          <w:tcPr>
            <w:tcW w:w="6005" w:type="dxa"/>
            <w:tcBorders>
              <w:top w:val="single" w:color="auto" w:sz="4" w:space="0"/>
              <w:left w:val="single" w:color="auto" w:sz="4" w:space="0"/>
              <w:bottom w:val="single" w:color="auto" w:sz="4" w:space="0"/>
              <w:right w:val="single" w:color="auto" w:sz="4" w:space="0"/>
            </w:tcBorders>
            <w:vAlign w:val="center"/>
          </w:tcPr>
          <w:p w14:paraId="14927F1F">
            <w:p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1、有项目实施期间的服务计划的3分，否则不得分。</w:t>
            </w:r>
          </w:p>
          <w:p w14:paraId="40BD5B1E">
            <w:pPr>
              <w:spacing w:line="360" w:lineRule="auto"/>
              <w:jc w:val="left"/>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2、服务承诺详实、具体，有相应处罚措施的得3分，否则不得分。本项最多得6分，缺项不得分。</w:t>
            </w:r>
          </w:p>
        </w:tc>
      </w:tr>
      <w:tr w14:paraId="2075C0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877" w:type="dxa"/>
            <w:gridSpan w:val="2"/>
            <w:vMerge w:val="restart"/>
            <w:tcBorders>
              <w:top w:val="single" w:color="auto" w:sz="4" w:space="0"/>
              <w:left w:val="single" w:color="auto" w:sz="4" w:space="0"/>
              <w:right w:val="single" w:color="auto" w:sz="4" w:space="0"/>
            </w:tcBorders>
            <w:vAlign w:val="center"/>
          </w:tcPr>
          <w:p w14:paraId="13AC798B">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1134" w:type="dxa"/>
            <w:vMerge w:val="restart"/>
            <w:tcBorders>
              <w:top w:val="single" w:color="auto" w:sz="4" w:space="0"/>
              <w:left w:val="single" w:color="auto" w:sz="4" w:space="0"/>
              <w:right w:val="single" w:color="auto" w:sz="4" w:space="0"/>
            </w:tcBorders>
            <w:vAlign w:val="center"/>
          </w:tcPr>
          <w:p w14:paraId="2298207C">
            <w:pPr>
              <w:spacing w:line="36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商务部分（</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0分）</w:t>
            </w:r>
          </w:p>
        </w:tc>
        <w:tc>
          <w:tcPr>
            <w:tcW w:w="1844" w:type="dxa"/>
            <w:gridSpan w:val="2"/>
            <w:tcBorders>
              <w:top w:val="single" w:color="auto" w:sz="4" w:space="0"/>
              <w:left w:val="single" w:color="auto" w:sz="4" w:space="0"/>
              <w:bottom w:val="single" w:color="auto" w:sz="4" w:space="0"/>
              <w:right w:val="single" w:color="auto" w:sz="4" w:space="0"/>
            </w:tcBorders>
            <w:vAlign w:val="center"/>
          </w:tcPr>
          <w:p w14:paraId="0C92D48B">
            <w:pPr>
              <w:spacing w:line="264" w:lineRule="auto"/>
              <w:jc w:val="center"/>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企业业绩</w:t>
            </w:r>
          </w:p>
          <w:p w14:paraId="212934D5">
            <w:pPr>
              <w:spacing w:line="264" w:lineRule="auto"/>
              <w:jc w:val="center"/>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0-8</w:t>
            </w:r>
            <w:r>
              <w:rPr>
                <w:rFonts w:hint="eastAsia" w:asciiTheme="minorEastAsia" w:hAnsiTheme="minorEastAsia" w:eastAsiaTheme="minorEastAsia"/>
                <w:color w:val="000000" w:themeColor="text1"/>
                <w:sz w:val="24"/>
                <w:szCs w:val="24"/>
                <w:highlight w:val="none"/>
                <w14:textFill>
                  <w14:solidFill>
                    <w14:schemeClr w14:val="tx1"/>
                  </w14:solidFill>
                </w14:textFill>
              </w:rPr>
              <w:t>分）</w:t>
            </w:r>
          </w:p>
        </w:tc>
        <w:tc>
          <w:tcPr>
            <w:tcW w:w="6005" w:type="dxa"/>
            <w:tcBorders>
              <w:top w:val="single" w:color="auto" w:sz="4" w:space="0"/>
              <w:left w:val="single" w:color="auto" w:sz="4" w:space="0"/>
              <w:bottom w:val="single" w:color="auto" w:sz="4" w:space="0"/>
              <w:right w:val="single" w:color="auto" w:sz="4" w:space="0"/>
            </w:tcBorders>
            <w:vAlign w:val="center"/>
          </w:tcPr>
          <w:p w14:paraId="15386311">
            <w:p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供应商提供2022年1月1日以来（以合同签订时间为准）园地林地草地分等定级业绩的，每有1份得1分，若业绩为三门峡市范围内，每有1份得3分，不重复记分，本项最多得8分。</w:t>
            </w:r>
          </w:p>
          <w:p w14:paraId="69676364">
            <w:p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备注：业绩需将合同、中标通知书、验收意见资料附在标书中，否则不得分。（投标文件扫描件、扫描件不清晰或缺页，影响评标的不得分）；</w:t>
            </w:r>
          </w:p>
        </w:tc>
      </w:tr>
      <w:tr w14:paraId="7A077A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877" w:type="dxa"/>
            <w:gridSpan w:val="2"/>
            <w:vMerge w:val="continue"/>
            <w:tcBorders>
              <w:left w:val="single" w:color="auto" w:sz="4" w:space="0"/>
              <w:right w:val="single" w:color="auto" w:sz="4" w:space="0"/>
            </w:tcBorders>
            <w:vAlign w:val="center"/>
          </w:tcPr>
          <w:p w14:paraId="5D2F59F1">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tc>
        <w:tc>
          <w:tcPr>
            <w:tcW w:w="1134" w:type="dxa"/>
            <w:vMerge w:val="continue"/>
            <w:tcBorders>
              <w:left w:val="single" w:color="auto" w:sz="4" w:space="0"/>
              <w:right w:val="single" w:color="auto" w:sz="4" w:space="0"/>
            </w:tcBorders>
            <w:vAlign w:val="center"/>
          </w:tcPr>
          <w:p w14:paraId="38A41AD6">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1844" w:type="dxa"/>
            <w:gridSpan w:val="2"/>
            <w:tcBorders>
              <w:top w:val="single" w:color="auto" w:sz="4" w:space="0"/>
              <w:left w:val="single" w:color="auto" w:sz="4" w:space="0"/>
              <w:bottom w:val="single" w:color="auto" w:sz="4" w:space="0"/>
              <w:right w:val="single" w:color="auto" w:sz="4" w:space="0"/>
            </w:tcBorders>
            <w:vAlign w:val="center"/>
          </w:tcPr>
          <w:p w14:paraId="37C7D079">
            <w:pPr>
              <w:spacing w:line="264" w:lineRule="auto"/>
              <w:jc w:val="cente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项目管理机构</w:t>
            </w:r>
          </w:p>
          <w:p w14:paraId="15AE2A71">
            <w:pPr>
              <w:spacing w:line="264" w:lineRule="auto"/>
              <w:jc w:val="cente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（0-15分）</w:t>
            </w:r>
          </w:p>
        </w:tc>
        <w:tc>
          <w:tcPr>
            <w:tcW w:w="6005" w:type="dxa"/>
            <w:tcBorders>
              <w:top w:val="single" w:color="auto" w:sz="4" w:space="0"/>
              <w:left w:val="single" w:color="auto" w:sz="4" w:space="0"/>
              <w:bottom w:val="single" w:color="auto" w:sz="4" w:space="0"/>
              <w:right w:val="single" w:color="auto" w:sz="4" w:space="0"/>
            </w:tcBorders>
            <w:vAlign w:val="center"/>
          </w:tcPr>
          <w:p w14:paraId="682C2CC0">
            <w:p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1、项目负责人为土地或地理、农学专业高级职称加2</w:t>
            </w:r>
          </w:p>
          <w:p w14:paraId="120CBED6">
            <w:p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分，若为土地或地理、农学专业正高级职称得5分，本</w:t>
            </w:r>
          </w:p>
          <w:p w14:paraId="5463EF58">
            <w:p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项最多得5分；</w:t>
            </w:r>
          </w:p>
          <w:p w14:paraId="69736A6B">
            <w:p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2、除项目负责人之外，项目组成人员中每具有一个土</w:t>
            </w:r>
          </w:p>
          <w:p w14:paraId="0E1CD154">
            <w:p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地或地理、农学专业高级职称的得2分，最多加10分；</w:t>
            </w:r>
          </w:p>
          <w:p w14:paraId="17953819">
            <w:p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(项目管理机构人员需提供所在单位缴纳社保证明）</w:t>
            </w:r>
          </w:p>
        </w:tc>
      </w:tr>
      <w:tr w14:paraId="6BB584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877" w:type="dxa"/>
            <w:gridSpan w:val="2"/>
            <w:vMerge w:val="continue"/>
            <w:tcBorders>
              <w:left w:val="single" w:color="auto" w:sz="4" w:space="0"/>
              <w:right w:val="single" w:color="auto" w:sz="4" w:space="0"/>
            </w:tcBorders>
            <w:vAlign w:val="center"/>
          </w:tcPr>
          <w:p w14:paraId="571B971D">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tc>
        <w:tc>
          <w:tcPr>
            <w:tcW w:w="1134" w:type="dxa"/>
            <w:vMerge w:val="continue"/>
            <w:tcBorders>
              <w:left w:val="single" w:color="auto" w:sz="4" w:space="0"/>
              <w:right w:val="single" w:color="auto" w:sz="4" w:space="0"/>
            </w:tcBorders>
            <w:vAlign w:val="center"/>
          </w:tcPr>
          <w:p w14:paraId="42D7E555">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1844" w:type="dxa"/>
            <w:gridSpan w:val="2"/>
            <w:tcBorders>
              <w:top w:val="single" w:color="auto" w:sz="4" w:space="0"/>
              <w:left w:val="single" w:color="auto" w:sz="4" w:space="0"/>
              <w:bottom w:val="single" w:color="auto" w:sz="4" w:space="0"/>
              <w:right w:val="single" w:color="auto" w:sz="4" w:space="0"/>
            </w:tcBorders>
            <w:vAlign w:val="center"/>
          </w:tcPr>
          <w:p w14:paraId="007281E0">
            <w:pPr>
              <w:spacing w:line="264" w:lineRule="auto"/>
              <w:jc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执业水平</w:t>
            </w:r>
          </w:p>
          <w:p w14:paraId="1F71DD7E">
            <w:pPr>
              <w:spacing w:line="264" w:lineRule="auto"/>
              <w:jc w:val="cente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（0-8分）</w:t>
            </w:r>
          </w:p>
        </w:tc>
        <w:tc>
          <w:tcPr>
            <w:tcW w:w="6005" w:type="dxa"/>
            <w:tcBorders>
              <w:top w:val="single" w:color="auto" w:sz="4" w:space="0"/>
              <w:left w:val="single" w:color="auto" w:sz="4" w:space="0"/>
              <w:bottom w:val="single" w:color="auto" w:sz="4" w:space="0"/>
              <w:right w:val="single" w:color="auto" w:sz="4" w:space="0"/>
            </w:tcBorders>
            <w:vAlign w:val="center"/>
          </w:tcPr>
          <w:p w14:paraId="344A086D">
            <w:p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项目负责人2022年以来以第一完成人获得省级及以上土地行业相关机构颁发的土地相关的奖项，得3分；(以证书原件的扫描件为准）；</w:t>
            </w:r>
          </w:p>
          <w:p w14:paraId="276C1A68">
            <w:p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项目负责人2022年以来以第一完成人获得省级人民政府颁发的土地行业相关的奖项，得5分；(以证书原件的扫描件为准）；</w:t>
            </w:r>
          </w:p>
        </w:tc>
      </w:tr>
      <w:tr w14:paraId="2CAD80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9" w:hRule="atLeast"/>
          <w:jc w:val="center"/>
        </w:trPr>
        <w:tc>
          <w:tcPr>
            <w:tcW w:w="877" w:type="dxa"/>
            <w:gridSpan w:val="2"/>
            <w:vMerge w:val="continue"/>
            <w:tcBorders>
              <w:left w:val="single" w:color="auto" w:sz="4" w:space="0"/>
              <w:bottom w:val="single" w:color="auto" w:sz="4" w:space="0"/>
              <w:right w:val="single" w:color="auto" w:sz="4" w:space="0"/>
            </w:tcBorders>
            <w:vAlign w:val="center"/>
          </w:tcPr>
          <w:p w14:paraId="046EF07B">
            <w:pPr>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p>
        </w:tc>
        <w:tc>
          <w:tcPr>
            <w:tcW w:w="1134" w:type="dxa"/>
            <w:vMerge w:val="continue"/>
            <w:tcBorders>
              <w:left w:val="single" w:color="auto" w:sz="4" w:space="0"/>
              <w:bottom w:val="single" w:color="auto" w:sz="4" w:space="0"/>
              <w:right w:val="single" w:color="auto" w:sz="4" w:space="0"/>
            </w:tcBorders>
            <w:vAlign w:val="center"/>
          </w:tcPr>
          <w:p w14:paraId="13C22651">
            <w:pPr>
              <w:spacing w:line="360" w:lineRule="auto"/>
              <w:jc w:val="center"/>
              <w:rPr>
                <w:rFonts w:ascii="宋体" w:hAnsi="宋体" w:cs="宋体"/>
                <w:color w:val="000000" w:themeColor="text1"/>
                <w:sz w:val="24"/>
                <w:szCs w:val="24"/>
                <w:highlight w:val="none"/>
                <w14:textFill>
                  <w14:solidFill>
                    <w14:schemeClr w14:val="tx1"/>
                  </w14:solidFill>
                </w14:textFill>
              </w:rPr>
            </w:pPr>
          </w:p>
        </w:tc>
        <w:tc>
          <w:tcPr>
            <w:tcW w:w="1844" w:type="dxa"/>
            <w:gridSpan w:val="2"/>
            <w:tcBorders>
              <w:top w:val="single" w:color="auto" w:sz="4" w:space="0"/>
              <w:left w:val="single" w:color="auto" w:sz="4" w:space="0"/>
              <w:bottom w:val="single" w:color="auto" w:sz="4" w:space="0"/>
              <w:right w:val="single" w:color="auto" w:sz="4" w:space="0"/>
            </w:tcBorders>
            <w:vAlign w:val="center"/>
          </w:tcPr>
          <w:p w14:paraId="0F309DE7">
            <w:pPr>
              <w:spacing w:line="264"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创新能力</w:t>
            </w:r>
          </w:p>
          <w:p w14:paraId="23C11B54">
            <w:pPr>
              <w:spacing w:line="264" w:lineRule="auto"/>
              <w:jc w:val="cente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0-</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lang w:eastAsia="zh-CN"/>
              </w:rPr>
              <w:t>分）</w:t>
            </w:r>
          </w:p>
        </w:tc>
        <w:tc>
          <w:tcPr>
            <w:tcW w:w="6005" w:type="dxa"/>
            <w:tcBorders>
              <w:top w:val="single" w:color="auto" w:sz="4" w:space="0"/>
              <w:left w:val="single" w:color="auto" w:sz="4" w:space="0"/>
              <w:bottom w:val="single" w:color="auto" w:sz="4" w:space="0"/>
              <w:right w:val="single" w:color="auto" w:sz="4" w:space="0"/>
            </w:tcBorders>
            <w:vAlign w:val="center"/>
          </w:tcPr>
          <w:p w14:paraId="6F911276">
            <w:p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企业具备探索研究能力，2022年以来获得自然资源相关专利或软件著作权登记证书，每有一个得3分，最多得9分。（须提供国家版权局认证的登记证书）；</w:t>
            </w:r>
          </w:p>
        </w:tc>
      </w:tr>
      <w:tr w14:paraId="5DF003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8" w:hRule="atLeast"/>
          <w:jc w:val="center"/>
        </w:trPr>
        <w:tc>
          <w:tcPr>
            <w:tcW w:w="9860" w:type="dxa"/>
            <w:gridSpan w:val="6"/>
            <w:tcBorders>
              <w:top w:val="single" w:color="auto" w:sz="4" w:space="0"/>
              <w:left w:val="single" w:color="auto" w:sz="4" w:space="0"/>
              <w:bottom w:val="single" w:color="auto" w:sz="4" w:space="0"/>
              <w:right w:val="single" w:color="auto" w:sz="4" w:space="0"/>
            </w:tcBorders>
            <w:vAlign w:val="center"/>
          </w:tcPr>
          <w:p w14:paraId="2C389619">
            <w:pPr>
              <w:rPr>
                <w:rFonts w:ascii="宋体" w:hAnsi="宋体" w:cs="宋体"/>
                <w:sz w:val="24"/>
                <w:szCs w:val="24"/>
              </w:rPr>
            </w:pPr>
            <w:r>
              <w:rPr>
                <w:rFonts w:hint="eastAsia" w:ascii="宋体" w:hAnsi="宋体" w:cs="宋体"/>
                <w:sz w:val="24"/>
                <w:szCs w:val="24"/>
              </w:rPr>
              <w:t>供应商最终得分=报价部分+技术部分+商务部分</w:t>
            </w:r>
          </w:p>
        </w:tc>
      </w:tr>
    </w:tbl>
    <w:p w14:paraId="75E9FC41">
      <w:pPr>
        <w:spacing w:line="460" w:lineRule="exact"/>
        <w:rPr>
          <w:rFonts w:ascii="宋体" w:hAnsi="宋体" w:cs="宋体"/>
          <w:b/>
          <w:bCs/>
          <w:sz w:val="24"/>
          <w:szCs w:val="24"/>
        </w:rPr>
      </w:pPr>
      <w:r>
        <w:rPr>
          <w:rFonts w:hint="eastAsia" w:ascii="宋体" w:hAnsi="宋体" w:cs="宋体"/>
          <w:b/>
          <w:bCs/>
          <w:sz w:val="24"/>
          <w:szCs w:val="24"/>
        </w:rPr>
        <w:t xml:space="preserve"> 4、计分办法</w:t>
      </w:r>
    </w:p>
    <w:p w14:paraId="102CAC71">
      <w:pPr>
        <w:spacing w:line="460" w:lineRule="exact"/>
        <w:rPr>
          <w:rFonts w:ascii="宋体" w:hAnsi="宋体" w:cs="宋体"/>
          <w:sz w:val="24"/>
          <w:szCs w:val="24"/>
        </w:rPr>
      </w:pPr>
      <w:r>
        <w:rPr>
          <w:rFonts w:hint="eastAsia" w:ascii="宋体" w:hAnsi="宋体" w:cs="宋体"/>
          <w:sz w:val="24"/>
          <w:szCs w:val="24"/>
        </w:rPr>
        <w:t xml:space="preserve">    4.1计分过程中按四舍五入的法则，取至小数点后2位，供应商的最终得分为所有磋商小组打分的算术平均值，最终结果取至小数点后2位。磋商小组将按供应商得分高低排序向采购人推荐成交候选人，并标明顺序。</w:t>
      </w:r>
    </w:p>
    <w:p w14:paraId="34D45DE2">
      <w:pPr>
        <w:spacing w:line="460" w:lineRule="exact"/>
        <w:outlineLvl w:val="1"/>
        <w:rPr>
          <w:rFonts w:ascii="宋体" w:hAnsi="宋体" w:cs="宋体"/>
          <w:b/>
          <w:bCs/>
          <w:kern w:val="0"/>
          <w:sz w:val="24"/>
          <w:szCs w:val="24"/>
        </w:rPr>
      </w:pPr>
      <w:bookmarkStart w:id="322" w:name="_Toc30359"/>
      <w:r>
        <w:rPr>
          <w:rFonts w:hint="eastAsia" w:ascii="宋体" w:hAnsi="宋体" w:cs="宋体"/>
          <w:b/>
          <w:bCs/>
          <w:kern w:val="0"/>
          <w:sz w:val="24"/>
          <w:szCs w:val="24"/>
        </w:rPr>
        <w:t>5、定标</w:t>
      </w:r>
      <w:bookmarkEnd w:id="322"/>
    </w:p>
    <w:p w14:paraId="21A10E13">
      <w:pPr>
        <w:spacing w:line="420" w:lineRule="exact"/>
        <w:ind w:firstLine="240" w:firstLineChars="100"/>
        <w:rPr>
          <w:rFonts w:ascii="宋体" w:hAnsi="宋体" w:cs="宋体"/>
          <w:sz w:val="24"/>
          <w:szCs w:val="24"/>
        </w:rPr>
      </w:pPr>
      <w:r>
        <w:rPr>
          <w:rFonts w:hint="eastAsia" w:ascii="宋体" w:hAnsi="宋体" w:cs="宋体"/>
          <w:sz w:val="24"/>
          <w:szCs w:val="24"/>
        </w:rPr>
        <w:t xml:space="preserve">  5.1根据磋商小组计分结果, 按照评审由高到低的顺序推荐2名或3名成交候选供应商，并向采购人提供书面评审报告。</w:t>
      </w:r>
    </w:p>
    <w:p w14:paraId="212052E4">
      <w:pPr>
        <w:pStyle w:val="3"/>
        <w:rPr>
          <w:rFonts w:ascii="宋体" w:hAnsi="宋体" w:cs="宋体"/>
          <w:bCs/>
          <w:color w:val="000000"/>
          <w:sz w:val="24"/>
          <w:szCs w:val="24"/>
        </w:rPr>
        <w:sectPr>
          <w:headerReference r:id="rId3" w:type="default"/>
          <w:footerReference r:id="rId4" w:type="default"/>
          <w:pgSz w:w="11906" w:h="16838"/>
          <w:pgMar w:top="1587" w:right="1588" w:bottom="1587" w:left="1588" w:header="720" w:footer="720" w:gutter="0"/>
          <w:cols w:space="720" w:num="1"/>
          <w:docGrid w:type="lines" w:linePitch="312" w:charSpace="0"/>
        </w:sectPr>
      </w:pPr>
    </w:p>
    <w:p w14:paraId="10DC9C6F">
      <w:pPr>
        <w:pStyle w:val="3"/>
        <w:rPr>
          <w:rFonts w:ascii="宋体" w:hAnsi="宋体" w:cs="宋体"/>
          <w:bCs/>
          <w:color w:val="000000"/>
          <w:szCs w:val="32"/>
        </w:rPr>
      </w:pPr>
      <w:bookmarkStart w:id="323" w:name="_Toc23889"/>
      <w:r>
        <w:rPr>
          <w:rFonts w:hint="eastAsia" w:ascii="宋体" w:hAnsi="宋体" w:cs="宋体"/>
          <w:bCs/>
          <w:color w:val="000000"/>
          <w:szCs w:val="32"/>
        </w:rPr>
        <w:t>第四章 合同条款</w:t>
      </w:r>
      <w:bookmarkEnd w:id="282"/>
      <w:bookmarkEnd w:id="321"/>
      <w:bookmarkEnd w:id="323"/>
    </w:p>
    <w:p w14:paraId="3CD8E9F3">
      <w:pPr>
        <w:adjustRightInd w:val="0"/>
        <w:snapToGrid w:val="0"/>
        <w:spacing w:line="360" w:lineRule="auto"/>
        <w:rPr>
          <w:rFonts w:ascii="宋体" w:hAnsi="宋体" w:cs="宋体"/>
          <w:color w:val="000000"/>
          <w:sz w:val="28"/>
          <w:szCs w:val="28"/>
        </w:rPr>
      </w:pPr>
    </w:p>
    <w:p w14:paraId="6C1C9B36">
      <w:pPr>
        <w:spacing w:line="420" w:lineRule="exact"/>
        <w:ind w:firstLine="240" w:firstLineChars="100"/>
        <w:rPr>
          <w:rFonts w:ascii="宋体" w:hAnsi="宋体" w:cs="宋体"/>
          <w:sz w:val="24"/>
          <w:szCs w:val="24"/>
        </w:rPr>
      </w:pPr>
      <w:r>
        <w:rPr>
          <w:rFonts w:hint="eastAsia" w:ascii="宋体" w:hAnsi="宋体" w:cs="宋体"/>
          <w:sz w:val="24"/>
          <w:szCs w:val="24"/>
        </w:rPr>
        <w:t>双方应根据竞争性磋商文件、成交通知书、供应商的响应文件（包括澄清说明），以及与本项目相关的资料签订采购合同。所签订的合同不得背离竞争性磋商文件的实质性内容要求和响应文件的承诺。</w:t>
      </w:r>
    </w:p>
    <w:p w14:paraId="714B2BF4">
      <w:pPr>
        <w:tabs>
          <w:tab w:val="left" w:pos="720"/>
        </w:tabs>
        <w:adjustRightInd w:val="0"/>
        <w:snapToGrid w:val="0"/>
        <w:spacing w:line="360" w:lineRule="auto"/>
        <w:rPr>
          <w:rFonts w:ascii="宋体" w:hAnsi="宋体" w:cs="宋体"/>
          <w:b/>
          <w:color w:val="000000"/>
          <w:sz w:val="24"/>
          <w:szCs w:val="24"/>
        </w:rPr>
      </w:pPr>
    </w:p>
    <w:p w14:paraId="38A99117">
      <w:pPr>
        <w:tabs>
          <w:tab w:val="left" w:pos="5063"/>
        </w:tabs>
        <w:adjustRightInd w:val="0"/>
        <w:snapToGrid w:val="0"/>
        <w:spacing w:line="360" w:lineRule="auto"/>
        <w:rPr>
          <w:rFonts w:hint="eastAsia" w:ascii="宋体" w:hAnsi="宋体" w:eastAsia="宋体" w:cs="宋体"/>
          <w:b/>
          <w:color w:val="000000"/>
          <w:sz w:val="28"/>
          <w:szCs w:val="28"/>
          <w:lang w:eastAsia="zh-CN"/>
        </w:rPr>
      </w:pPr>
      <w:r>
        <w:rPr>
          <w:rFonts w:hint="eastAsia" w:ascii="宋体" w:hAnsi="宋体" w:cs="宋体"/>
          <w:b/>
          <w:color w:val="000000"/>
          <w:sz w:val="28"/>
          <w:szCs w:val="28"/>
          <w:lang w:eastAsia="zh-CN"/>
        </w:rPr>
        <w:tab/>
      </w:r>
    </w:p>
    <w:p w14:paraId="699B9DA5">
      <w:pPr>
        <w:tabs>
          <w:tab w:val="left" w:pos="720"/>
        </w:tabs>
        <w:adjustRightInd w:val="0"/>
        <w:snapToGrid w:val="0"/>
        <w:spacing w:line="360" w:lineRule="auto"/>
        <w:rPr>
          <w:rFonts w:ascii="宋体" w:hAnsi="宋体" w:cs="宋体"/>
          <w:b/>
          <w:color w:val="000000"/>
          <w:sz w:val="28"/>
          <w:szCs w:val="28"/>
        </w:rPr>
      </w:pPr>
    </w:p>
    <w:p w14:paraId="4C1B5BFF">
      <w:pPr>
        <w:tabs>
          <w:tab w:val="left" w:pos="720"/>
        </w:tabs>
        <w:adjustRightInd w:val="0"/>
        <w:snapToGrid w:val="0"/>
        <w:spacing w:line="360" w:lineRule="auto"/>
        <w:rPr>
          <w:rFonts w:ascii="宋体" w:hAnsi="宋体" w:cs="宋体"/>
          <w:b/>
          <w:color w:val="000000"/>
          <w:sz w:val="28"/>
          <w:szCs w:val="28"/>
        </w:rPr>
      </w:pPr>
    </w:p>
    <w:p w14:paraId="5DD5FC6C">
      <w:pPr>
        <w:tabs>
          <w:tab w:val="left" w:pos="720"/>
        </w:tabs>
        <w:adjustRightInd w:val="0"/>
        <w:snapToGrid w:val="0"/>
        <w:spacing w:line="360" w:lineRule="auto"/>
        <w:rPr>
          <w:rFonts w:ascii="宋体" w:hAnsi="宋体" w:cs="宋体"/>
          <w:b/>
          <w:color w:val="000000"/>
          <w:sz w:val="28"/>
          <w:szCs w:val="28"/>
        </w:rPr>
      </w:pPr>
    </w:p>
    <w:p w14:paraId="4EA40CB8">
      <w:pPr>
        <w:tabs>
          <w:tab w:val="left" w:pos="720"/>
        </w:tabs>
        <w:adjustRightInd w:val="0"/>
        <w:snapToGrid w:val="0"/>
        <w:spacing w:line="360" w:lineRule="auto"/>
        <w:rPr>
          <w:rFonts w:ascii="宋体" w:hAnsi="宋体" w:cs="宋体"/>
          <w:b/>
          <w:color w:val="000000"/>
          <w:sz w:val="28"/>
          <w:szCs w:val="28"/>
        </w:rPr>
      </w:pPr>
    </w:p>
    <w:p w14:paraId="0B862B69">
      <w:pPr>
        <w:tabs>
          <w:tab w:val="left" w:pos="720"/>
        </w:tabs>
        <w:adjustRightInd w:val="0"/>
        <w:snapToGrid w:val="0"/>
        <w:spacing w:line="360" w:lineRule="auto"/>
        <w:rPr>
          <w:rFonts w:ascii="宋体" w:hAnsi="宋体" w:cs="宋体"/>
          <w:b/>
          <w:color w:val="000000"/>
          <w:sz w:val="28"/>
          <w:szCs w:val="28"/>
        </w:rPr>
      </w:pPr>
    </w:p>
    <w:p w14:paraId="6EC6B8B7">
      <w:pPr>
        <w:tabs>
          <w:tab w:val="left" w:pos="720"/>
        </w:tabs>
        <w:adjustRightInd w:val="0"/>
        <w:snapToGrid w:val="0"/>
        <w:spacing w:line="360" w:lineRule="auto"/>
        <w:rPr>
          <w:rFonts w:ascii="宋体" w:hAnsi="宋体" w:cs="宋体"/>
          <w:b/>
          <w:color w:val="000000"/>
          <w:sz w:val="28"/>
          <w:szCs w:val="28"/>
        </w:rPr>
      </w:pPr>
    </w:p>
    <w:p w14:paraId="55721914">
      <w:pPr>
        <w:tabs>
          <w:tab w:val="left" w:pos="720"/>
        </w:tabs>
        <w:adjustRightInd w:val="0"/>
        <w:snapToGrid w:val="0"/>
        <w:spacing w:line="360" w:lineRule="auto"/>
        <w:rPr>
          <w:rFonts w:ascii="宋体" w:hAnsi="宋体" w:cs="宋体"/>
          <w:b/>
          <w:color w:val="000000"/>
          <w:sz w:val="28"/>
          <w:szCs w:val="28"/>
        </w:rPr>
      </w:pPr>
    </w:p>
    <w:p w14:paraId="3AA5BBDE">
      <w:pPr>
        <w:tabs>
          <w:tab w:val="left" w:pos="720"/>
        </w:tabs>
        <w:adjustRightInd w:val="0"/>
        <w:snapToGrid w:val="0"/>
        <w:spacing w:line="360" w:lineRule="auto"/>
        <w:rPr>
          <w:rFonts w:ascii="宋体" w:hAnsi="宋体" w:cs="宋体"/>
          <w:b/>
          <w:color w:val="000000"/>
          <w:sz w:val="28"/>
          <w:szCs w:val="28"/>
        </w:rPr>
      </w:pPr>
    </w:p>
    <w:p w14:paraId="38799426">
      <w:pPr>
        <w:tabs>
          <w:tab w:val="left" w:pos="720"/>
        </w:tabs>
        <w:adjustRightInd w:val="0"/>
        <w:snapToGrid w:val="0"/>
        <w:spacing w:line="360" w:lineRule="auto"/>
        <w:rPr>
          <w:rFonts w:ascii="宋体" w:hAnsi="宋体" w:cs="宋体"/>
          <w:b/>
          <w:color w:val="000000"/>
          <w:sz w:val="28"/>
          <w:szCs w:val="28"/>
        </w:rPr>
      </w:pPr>
    </w:p>
    <w:p w14:paraId="22DC3424">
      <w:pPr>
        <w:tabs>
          <w:tab w:val="left" w:pos="720"/>
        </w:tabs>
        <w:adjustRightInd w:val="0"/>
        <w:snapToGrid w:val="0"/>
        <w:spacing w:line="360" w:lineRule="auto"/>
        <w:rPr>
          <w:rFonts w:ascii="宋体" w:hAnsi="宋体" w:cs="宋体"/>
          <w:b/>
          <w:color w:val="000000"/>
          <w:sz w:val="28"/>
          <w:szCs w:val="28"/>
        </w:rPr>
      </w:pPr>
    </w:p>
    <w:p w14:paraId="4BBB584E">
      <w:pPr>
        <w:tabs>
          <w:tab w:val="left" w:pos="720"/>
        </w:tabs>
        <w:adjustRightInd w:val="0"/>
        <w:snapToGrid w:val="0"/>
        <w:spacing w:line="360" w:lineRule="auto"/>
        <w:rPr>
          <w:rFonts w:ascii="宋体" w:hAnsi="宋体" w:cs="宋体"/>
          <w:b/>
          <w:color w:val="000000"/>
          <w:sz w:val="28"/>
          <w:szCs w:val="28"/>
        </w:rPr>
      </w:pPr>
    </w:p>
    <w:p w14:paraId="680B94D7">
      <w:pPr>
        <w:adjustRightInd w:val="0"/>
        <w:snapToGrid w:val="0"/>
        <w:spacing w:line="360" w:lineRule="auto"/>
        <w:jc w:val="center"/>
        <w:rPr>
          <w:rFonts w:ascii="宋体" w:hAnsi="宋体" w:cs="宋体"/>
          <w:color w:val="000000"/>
          <w:sz w:val="24"/>
        </w:rPr>
      </w:pPr>
    </w:p>
    <w:p w14:paraId="432D7A08">
      <w:pPr>
        <w:pStyle w:val="17"/>
        <w:ind w:firstLine="540"/>
        <w:rPr>
          <w:rFonts w:ascii="宋体" w:hAnsi="宋体" w:cs="宋体"/>
          <w:color w:val="000000"/>
          <w:sz w:val="24"/>
        </w:rPr>
      </w:pPr>
    </w:p>
    <w:p w14:paraId="3002B20B">
      <w:pPr>
        <w:pStyle w:val="17"/>
        <w:ind w:firstLine="540"/>
        <w:rPr>
          <w:rFonts w:ascii="宋体" w:hAnsi="宋体" w:cs="宋体"/>
          <w:color w:val="000000"/>
          <w:sz w:val="24"/>
        </w:rPr>
      </w:pPr>
    </w:p>
    <w:p w14:paraId="46130263">
      <w:pPr>
        <w:pStyle w:val="17"/>
        <w:ind w:firstLine="540"/>
        <w:rPr>
          <w:rFonts w:ascii="宋体" w:hAnsi="宋体" w:cs="宋体"/>
          <w:color w:val="000000"/>
          <w:sz w:val="24"/>
        </w:rPr>
      </w:pPr>
    </w:p>
    <w:p w14:paraId="06768C8C">
      <w:pPr>
        <w:pStyle w:val="17"/>
        <w:ind w:firstLine="540"/>
        <w:rPr>
          <w:rFonts w:ascii="宋体" w:hAnsi="宋体" w:cs="宋体"/>
          <w:color w:val="000000"/>
          <w:sz w:val="24"/>
        </w:rPr>
      </w:pPr>
    </w:p>
    <w:p w14:paraId="34EC3DCC">
      <w:pPr>
        <w:pStyle w:val="17"/>
        <w:ind w:firstLine="540"/>
        <w:rPr>
          <w:rFonts w:ascii="宋体" w:hAnsi="宋体" w:cs="宋体"/>
          <w:color w:val="000000"/>
          <w:sz w:val="24"/>
        </w:rPr>
      </w:pPr>
    </w:p>
    <w:p w14:paraId="6481355F">
      <w:pPr>
        <w:adjustRightInd w:val="0"/>
        <w:snapToGrid w:val="0"/>
        <w:spacing w:line="360" w:lineRule="auto"/>
        <w:rPr>
          <w:rFonts w:ascii="宋体" w:hAnsi="宋体" w:cs="宋体"/>
          <w:b/>
          <w:bCs/>
          <w:color w:val="000000"/>
          <w:kern w:val="44"/>
          <w:sz w:val="32"/>
          <w:szCs w:val="32"/>
        </w:rPr>
      </w:pPr>
    </w:p>
    <w:p w14:paraId="4CC6B6B0">
      <w:pPr>
        <w:pStyle w:val="3"/>
        <w:rPr>
          <w:rFonts w:ascii="宋体" w:hAnsi="宋体" w:cs="宋体"/>
          <w:bCs/>
          <w:color w:val="000000"/>
          <w:szCs w:val="32"/>
          <w:highlight w:val="none"/>
        </w:rPr>
      </w:pPr>
      <w:bookmarkStart w:id="324" w:name="_Toc23145"/>
      <w:bookmarkStart w:id="325" w:name="_Toc24418"/>
      <w:r>
        <w:rPr>
          <w:rFonts w:hint="eastAsia" w:ascii="宋体" w:hAnsi="宋体" w:cs="宋体"/>
          <w:bCs/>
          <w:color w:val="000000"/>
          <w:szCs w:val="32"/>
          <w:highlight w:val="none"/>
        </w:rPr>
        <w:t>第五章  服务内容及要求</w:t>
      </w:r>
      <w:bookmarkEnd w:id="283"/>
      <w:bookmarkEnd w:id="284"/>
      <w:bookmarkEnd w:id="324"/>
      <w:bookmarkEnd w:id="325"/>
      <w:bookmarkStart w:id="326" w:name="_Toc488052458"/>
      <w:bookmarkStart w:id="327" w:name="_Toc6109"/>
      <w:bookmarkStart w:id="328" w:name="_Toc24680"/>
    </w:p>
    <w:p w14:paraId="770958CC">
      <w:pPr>
        <w:pStyle w:val="3"/>
        <w:jc w:val="both"/>
        <w:rPr>
          <w:rFonts w:hint="eastAsia" w:ascii="宋体" w:hAnsi="宋体" w:eastAsia="宋体" w:cs="宋体"/>
          <w:bCs/>
          <w:color w:val="000000"/>
          <w:sz w:val="24"/>
          <w:szCs w:val="24"/>
          <w:lang w:eastAsia="zh-CN"/>
        </w:rPr>
      </w:pPr>
      <w:bookmarkStart w:id="329" w:name="_Toc31216"/>
      <w:bookmarkStart w:id="330" w:name="_Toc7126"/>
      <w:r>
        <w:rPr>
          <w:rFonts w:hint="eastAsia" w:ascii="宋体" w:hAnsi="宋体" w:eastAsia="宋体" w:cs="宋体"/>
          <w:bCs/>
          <w:color w:val="000000"/>
          <w:sz w:val="24"/>
          <w:szCs w:val="24"/>
          <w:lang w:eastAsia="zh-CN"/>
        </w:rPr>
        <w:t>一、服务内容</w:t>
      </w:r>
    </w:p>
    <w:p w14:paraId="2EBF14D8">
      <w:pPr>
        <w:spacing w:line="420" w:lineRule="exact"/>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在全市范围内,对全民所有土地、矿产、森林、草原、湿地等5类自然资源资产进行全面清查,查清资产实物量,核算价值量,摸清各类全民所有自然资源资产底数,逐步理清使用权状况,建立完整的自然资源资产数据库,形成资产“一张图”。</w:t>
      </w:r>
    </w:p>
    <w:p w14:paraId="42CFAD2C">
      <w:pPr>
        <w:pStyle w:val="3"/>
        <w:jc w:val="both"/>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eastAsia="zh-CN"/>
        </w:rPr>
        <w:t>二、服务要求</w:t>
      </w:r>
    </w:p>
    <w:p w14:paraId="7E31BB2B">
      <w:pPr>
        <w:spacing w:line="420" w:lineRule="exact"/>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服务周期：按照河南省自然资源厅要求完成并提交成果。</w:t>
      </w:r>
    </w:p>
    <w:p w14:paraId="2E240AC8">
      <w:pPr>
        <w:spacing w:line="420" w:lineRule="exact"/>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质量要求：符合国家、地方及行业相关规范和标准。</w:t>
      </w:r>
    </w:p>
    <w:p w14:paraId="04FCC361">
      <w:pPr>
        <w:spacing w:line="360" w:lineRule="auto"/>
        <w:ind w:firstLine="420" w:firstLineChars="200"/>
        <w:rPr>
          <w:rFonts w:hint="eastAsia" w:ascii="宋体" w:hAnsi="宋体" w:cs="宋体"/>
          <w:bCs/>
          <w:color w:val="000000"/>
          <w:szCs w:val="32"/>
        </w:rPr>
      </w:pPr>
    </w:p>
    <w:p w14:paraId="1A29F356">
      <w:pPr>
        <w:rPr>
          <w:rFonts w:hint="eastAsia" w:ascii="宋体" w:hAnsi="宋体" w:cs="宋体"/>
          <w:bCs/>
          <w:color w:val="000000"/>
          <w:szCs w:val="32"/>
        </w:rPr>
      </w:pPr>
      <w:r>
        <w:rPr>
          <w:rFonts w:hint="eastAsia" w:ascii="宋体" w:hAnsi="宋体" w:cs="宋体"/>
          <w:bCs/>
          <w:color w:val="000000"/>
          <w:szCs w:val="32"/>
        </w:rPr>
        <w:br w:type="page"/>
      </w:r>
    </w:p>
    <w:p w14:paraId="08C00E27">
      <w:pPr>
        <w:pStyle w:val="3"/>
        <w:rPr>
          <w:rFonts w:ascii="宋体" w:hAnsi="宋体" w:cs="宋体"/>
          <w:bCs/>
          <w:color w:val="000000"/>
          <w:szCs w:val="32"/>
        </w:rPr>
      </w:pPr>
      <w:r>
        <w:rPr>
          <w:rFonts w:hint="eastAsia" w:ascii="宋体" w:hAnsi="宋体" w:cs="宋体"/>
          <w:bCs/>
          <w:color w:val="000000"/>
          <w:szCs w:val="32"/>
        </w:rPr>
        <w:t>第六章</w:t>
      </w:r>
      <w:bookmarkEnd w:id="326"/>
      <w:bookmarkEnd w:id="327"/>
      <w:bookmarkEnd w:id="328"/>
      <w:r>
        <w:rPr>
          <w:rFonts w:hint="eastAsia" w:ascii="宋体" w:hAnsi="宋体" w:cs="宋体"/>
          <w:bCs/>
          <w:color w:val="000000"/>
          <w:szCs w:val="32"/>
        </w:rPr>
        <w:t xml:space="preserve">  响应文件格式</w:t>
      </w:r>
      <w:bookmarkEnd w:id="329"/>
      <w:bookmarkEnd w:id="330"/>
    </w:p>
    <w:p w14:paraId="38DE60EF">
      <w:pPr>
        <w:adjustRightInd w:val="0"/>
        <w:snapToGrid w:val="0"/>
        <w:spacing w:line="360" w:lineRule="auto"/>
        <w:rPr>
          <w:rFonts w:ascii="宋体" w:hAnsi="宋体" w:cs="宋体"/>
          <w:b/>
          <w:bCs/>
          <w:color w:val="000000"/>
          <w:sz w:val="24"/>
          <w:szCs w:val="24"/>
        </w:rPr>
      </w:pPr>
    </w:p>
    <w:p w14:paraId="3D31ADA7">
      <w:pPr>
        <w:pStyle w:val="3"/>
        <w:rPr>
          <w:rFonts w:ascii="宋体" w:hAnsi="宋体" w:cs="宋体"/>
          <w:b w:val="0"/>
          <w:bCs/>
          <w:color w:val="000000"/>
          <w:sz w:val="40"/>
          <w:szCs w:val="40"/>
        </w:rPr>
      </w:pPr>
    </w:p>
    <w:p w14:paraId="4EB6F808">
      <w:pPr>
        <w:adjustRightInd w:val="0"/>
        <w:snapToGrid w:val="0"/>
        <w:spacing w:line="360" w:lineRule="auto"/>
        <w:rPr>
          <w:rFonts w:ascii="宋体" w:hAnsi="宋体" w:cs="宋体"/>
          <w:b/>
          <w:bCs/>
          <w:color w:val="000000"/>
          <w:sz w:val="24"/>
          <w:szCs w:val="24"/>
        </w:rPr>
      </w:pPr>
    </w:p>
    <w:p w14:paraId="3B8703CC">
      <w:pPr>
        <w:adjustRightInd w:val="0"/>
        <w:snapToGrid w:val="0"/>
        <w:spacing w:line="360" w:lineRule="auto"/>
        <w:jc w:val="center"/>
        <w:rPr>
          <w:rFonts w:ascii="宋体" w:hAnsi="宋体" w:cs="宋体"/>
          <w:b/>
          <w:bCs/>
          <w:color w:val="000000"/>
          <w:sz w:val="48"/>
          <w:szCs w:val="48"/>
          <w:u w:val="single"/>
        </w:rPr>
      </w:pPr>
      <w:r>
        <w:rPr>
          <w:rFonts w:hint="eastAsia" w:ascii="宋体" w:hAnsi="宋体" w:cs="宋体"/>
          <w:b/>
          <w:bCs/>
          <w:color w:val="000000"/>
          <w:sz w:val="48"/>
          <w:szCs w:val="48"/>
          <w:u w:val="single"/>
        </w:rPr>
        <w:t>项目名称</w:t>
      </w:r>
    </w:p>
    <w:p w14:paraId="0FAF6AA1">
      <w:pPr>
        <w:adjustRightInd w:val="0"/>
        <w:snapToGrid w:val="0"/>
        <w:spacing w:line="360" w:lineRule="auto"/>
        <w:jc w:val="center"/>
        <w:rPr>
          <w:rFonts w:ascii="宋体" w:hAnsi="宋体" w:cs="宋体"/>
          <w:color w:val="000000"/>
          <w:sz w:val="18"/>
          <w:szCs w:val="16"/>
        </w:rPr>
      </w:pPr>
      <w:r>
        <w:rPr>
          <w:rFonts w:hint="eastAsia" w:ascii="宋体" w:hAnsi="宋体" w:cs="宋体"/>
          <w:b/>
          <w:bCs/>
          <w:color w:val="000000"/>
          <w:sz w:val="56"/>
          <w:szCs w:val="56"/>
        </w:rPr>
        <w:t>响 应 文 件</w:t>
      </w:r>
    </w:p>
    <w:p w14:paraId="11FFA3FA">
      <w:pPr>
        <w:adjustRightInd w:val="0"/>
        <w:snapToGrid w:val="0"/>
        <w:spacing w:line="360" w:lineRule="auto"/>
        <w:ind w:firstLine="2783" w:firstLineChars="990"/>
        <w:rPr>
          <w:rFonts w:ascii="宋体" w:hAnsi="宋体" w:cs="宋体"/>
          <w:b/>
          <w:color w:val="000000"/>
          <w:sz w:val="28"/>
          <w:u w:val="single"/>
        </w:rPr>
      </w:pPr>
      <w:r>
        <w:rPr>
          <w:rFonts w:hint="eastAsia" w:ascii="宋体" w:hAnsi="宋体" w:cs="宋体"/>
          <w:b/>
          <w:color w:val="000000"/>
          <w:sz w:val="28"/>
        </w:rPr>
        <w:t>项目编号：</w:t>
      </w:r>
      <w:r>
        <w:rPr>
          <w:rFonts w:hint="eastAsia" w:ascii="宋体" w:hAnsi="宋体" w:cs="宋体"/>
          <w:b/>
          <w:color w:val="000000"/>
          <w:sz w:val="28"/>
          <w:u w:val="single"/>
        </w:rPr>
        <w:t xml:space="preserve">            </w:t>
      </w:r>
    </w:p>
    <w:p w14:paraId="63A7EAA7">
      <w:pPr>
        <w:adjustRightInd w:val="0"/>
        <w:snapToGrid w:val="0"/>
        <w:spacing w:line="360" w:lineRule="auto"/>
        <w:jc w:val="center"/>
        <w:rPr>
          <w:rFonts w:ascii="宋体" w:hAnsi="宋体" w:cs="宋体"/>
          <w:color w:val="000000"/>
        </w:rPr>
      </w:pPr>
    </w:p>
    <w:p w14:paraId="07662185">
      <w:pPr>
        <w:adjustRightInd w:val="0"/>
        <w:snapToGrid w:val="0"/>
        <w:spacing w:line="360" w:lineRule="auto"/>
        <w:jc w:val="center"/>
        <w:rPr>
          <w:rFonts w:ascii="宋体" w:hAnsi="宋体" w:cs="宋体"/>
          <w:color w:val="000000"/>
        </w:rPr>
      </w:pPr>
    </w:p>
    <w:p w14:paraId="3621F143">
      <w:pPr>
        <w:adjustRightInd w:val="0"/>
        <w:snapToGrid w:val="0"/>
        <w:spacing w:line="360" w:lineRule="auto"/>
        <w:jc w:val="center"/>
        <w:rPr>
          <w:rFonts w:ascii="宋体" w:hAnsi="宋体" w:cs="宋体"/>
          <w:color w:val="000000"/>
        </w:rPr>
      </w:pPr>
    </w:p>
    <w:p w14:paraId="396134E8">
      <w:pPr>
        <w:pStyle w:val="11"/>
        <w:rPr>
          <w:rFonts w:ascii="宋体" w:hAnsi="宋体" w:cs="宋体"/>
          <w:color w:val="000000"/>
        </w:rPr>
      </w:pPr>
    </w:p>
    <w:p w14:paraId="56B161BE">
      <w:pPr>
        <w:rPr>
          <w:rFonts w:ascii="宋体" w:hAnsi="宋体" w:cs="宋体"/>
          <w:color w:val="000000"/>
        </w:rPr>
      </w:pPr>
    </w:p>
    <w:p w14:paraId="6541597A">
      <w:pPr>
        <w:pStyle w:val="11"/>
        <w:rPr>
          <w:rFonts w:ascii="宋体" w:hAnsi="宋体" w:cs="宋体"/>
          <w:color w:val="000000"/>
        </w:rPr>
      </w:pPr>
    </w:p>
    <w:p w14:paraId="4C0397C8"/>
    <w:p w14:paraId="34AAF0EC">
      <w:pPr>
        <w:pStyle w:val="17"/>
      </w:pPr>
    </w:p>
    <w:p w14:paraId="4E726FBA">
      <w:pPr>
        <w:pStyle w:val="17"/>
      </w:pPr>
    </w:p>
    <w:p w14:paraId="1B5BF923">
      <w:pPr>
        <w:pStyle w:val="17"/>
      </w:pPr>
    </w:p>
    <w:p w14:paraId="6612F828">
      <w:pPr>
        <w:adjustRightInd w:val="0"/>
        <w:snapToGrid w:val="0"/>
        <w:spacing w:line="360" w:lineRule="auto"/>
        <w:jc w:val="center"/>
        <w:rPr>
          <w:rFonts w:ascii="宋体" w:hAnsi="宋体" w:cs="宋体"/>
          <w:color w:val="000000"/>
          <w:sz w:val="28"/>
          <w:szCs w:val="28"/>
        </w:rPr>
      </w:pPr>
    </w:p>
    <w:p w14:paraId="4EBA5588">
      <w:pPr>
        <w:adjustRightInd w:val="0"/>
        <w:snapToGrid w:val="0"/>
        <w:spacing w:line="360" w:lineRule="auto"/>
        <w:ind w:firstLine="1960" w:firstLineChars="700"/>
        <w:rPr>
          <w:rFonts w:ascii="宋体" w:hAnsi="宋体" w:cs="宋体"/>
          <w:color w:val="000000"/>
          <w:sz w:val="28"/>
          <w:szCs w:val="28"/>
        </w:rPr>
      </w:pPr>
      <w:bookmarkStart w:id="331" w:name="_Toc7743"/>
      <w:bookmarkEnd w:id="331"/>
      <w:bookmarkStart w:id="332" w:name="_Toc21428"/>
      <w:bookmarkEnd w:id="332"/>
      <w:bookmarkStart w:id="333" w:name="_Toc30149"/>
      <w:bookmarkEnd w:id="333"/>
      <w:bookmarkStart w:id="334" w:name="_Toc277672337"/>
      <w:bookmarkEnd w:id="334"/>
      <w:bookmarkStart w:id="335" w:name="_Toc4498"/>
      <w:bookmarkEnd w:id="335"/>
      <w:bookmarkStart w:id="336" w:name="_Toc8733"/>
      <w:bookmarkEnd w:id="336"/>
      <w:bookmarkStart w:id="337" w:name="_Toc31007"/>
      <w:bookmarkEnd w:id="337"/>
      <w:bookmarkStart w:id="338" w:name="_Toc31865"/>
      <w:bookmarkEnd w:id="338"/>
      <w:bookmarkStart w:id="339" w:name="_Toc12798"/>
      <w:bookmarkEnd w:id="339"/>
      <w:bookmarkStart w:id="340" w:name="_Toc31317"/>
      <w:bookmarkEnd w:id="340"/>
      <w:bookmarkStart w:id="341" w:name="_Toc32570"/>
      <w:bookmarkEnd w:id="341"/>
      <w:bookmarkStart w:id="342" w:name="_Toc22342"/>
      <w:bookmarkEnd w:id="342"/>
      <w:bookmarkStart w:id="343" w:name="_Toc22039"/>
      <w:bookmarkEnd w:id="343"/>
      <w:bookmarkStart w:id="344" w:name="_Toc13114"/>
      <w:bookmarkEnd w:id="344"/>
      <w:bookmarkStart w:id="345" w:name="_Toc1444"/>
      <w:bookmarkEnd w:id="345"/>
      <w:bookmarkStart w:id="346" w:name="_Toc277672339"/>
      <w:bookmarkEnd w:id="346"/>
      <w:bookmarkStart w:id="347" w:name="_Toc21909"/>
      <w:bookmarkEnd w:id="347"/>
      <w:bookmarkStart w:id="348" w:name="_Toc24574"/>
      <w:bookmarkEnd w:id="348"/>
      <w:bookmarkStart w:id="349" w:name="_Toc12692"/>
      <w:bookmarkEnd w:id="349"/>
      <w:bookmarkStart w:id="350" w:name="_Toc2039"/>
      <w:bookmarkEnd w:id="350"/>
      <w:bookmarkStart w:id="351" w:name="_Toc7647"/>
      <w:r>
        <w:rPr>
          <w:rFonts w:hint="eastAsia" w:ascii="宋体" w:hAnsi="宋体" w:cs="宋体"/>
          <w:color w:val="000000"/>
          <w:sz w:val="28"/>
          <w:szCs w:val="28"/>
        </w:rPr>
        <w:t>供应商：</w:t>
      </w:r>
      <w:bookmarkEnd w:id="351"/>
      <w:r>
        <w:rPr>
          <w:rFonts w:hint="eastAsia" w:ascii="宋体" w:hAnsi="宋体" w:cs="宋体"/>
          <w:color w:val="000000"/>
          <w:sz w:val="28"/>
          <w:szCs w:val="28"/>
          <w:u w:val="single"/>
        </w:rPr>
        <w:t xml:space="preserve">           </w:t>
      </w:r>
      <w:r>
        <w:rPr>
          <w:rFonts w:hint="eastAsia" w:ascii="宋体" w:hAnsi="宋体" w:cs="宋体"/>
          <w:color w:val="000000"/>
          <w:sz w:val="28"/>
          <w:szCs w:val="28"/>
        </w:rPr>
        <w:t>（</w:t>
      </w:r>
      <w:r>
        <w:rPr>
          <w:rFonts w:hint="eastAsia" w:ascii="宋体" w:hAnsi="宋体" w:cs="宋体"/>
          <w:color w:val="000000"/>
          <w:kern w:val="0"/>
          <w:sz w:val="28"/>
          <w:szCs w:val="28"/>
        </w:rPr>
        <w:t>全称并公章签章</w:t>
      </w:r>
      <w:r>
        <w:rPr>
          <w:rFonts w:hint="eastAsia" w:ascii="宋体" w:hAnsi="宋体" w:cs="宋体"/>
          <w:color w:val="000000"/>
          <w:sz w:val="28"/>
          <w:szCs w:val="28"/>
        </w:rPr>
        <w:t>）</w:t>
      </w:r>
    </w:p>
    <w:p w14:paraId="0714C73A">
      <w:pPr>
        <w:adjustRightInd w:val="0"/>
        <w:snapToGrid w:val="0"/>
        <w:spacing w:line="360" w:lineRule="auto"/>
        <w:ind w:firstLine="848" w:firstLineChars="303"/>
        <w:rPr>
          <w:rFonts w:ascii="宋体" w:hAnsi="宋体" w:cs="宋体"/>
          <w:color w:val="000000"/>
          <w:sz w:val="28"/>
          <w:szCs w:val="28"/>
        </w:rPr>
      </w:pPr>
      <w:r>
        <w:rPr>
          <w:rFonts w:hint="eastAsia" w:ascii="宋体" w:hAnsi="宋体" w:cs="宋体"/>
          <w:color w:val="000000"/>
          <w:sz w:val="28"/>
          <w:szCs w:val="28"/>
        </w:rPr>
        <w:t xml:space="preserve">        法定代表人：</w:t>
      </w:r>
      <w:r>
        <w:rPr>
          <w:rFonts w:hint="eastAsia" w:ascii="宋体" w:hAnsi="宋体" w:cs="宋体"/>
          <w:i/>
          <w:iCs/>
          <w:color w:val="000000"/>
          <w:sz w:val="28"/>
          <w:szCs w:val="28"/>
          <w:u w:val="single"/>
        </w:rPr>
        <w:t xml:space="preserve">          </w:t>
      </w:r>
      <w:r>
        <w:rPr>
          <w:rFonts w:hint="eastAsia" w:ascii="宋体" w:hAnsi="宋体" w:cs="宋体"/>
          <w:color w:val="000000"/>
          <w:sz w:val="28"/>
          <w:szCs w:val="28"/>
        </w:rPr>
        <w:t xml:space="preserve">（电子签章） </w:t>
      </w:r>
    </w:p>
    <w:p w14:paraId="4B220379">
      <w:pPr>
        <w:adjustRightInd w:val="0"/>
        <w:snapToGrid w:val="0"/>
        <w:spacing w:line="360" w:lineRule="auto"/>
        <w:ind w:firstLine="848" w:firstLineChars="303"/>
        <w:rPr>
          <w:rFonts w:ascii="宋体" w:hAnsi="宋体" w:cs="宋体"/>
          <w:color w:val="000000"/>
          <w:sz w:val="28"/>
          <w:szCs w:val="28"/>
        </w:rPr>
      </w:pPr>
      <w:r>
        <w:rPr>
          <w:rFonts w:hint="eastAsia" w:ascii="宋体" w:hAnsi="宋体" w:cs="宋体"/>
          <w:color w:val="000000"/>
          <w:sz w:val="28"/>
          <w:szCs w:val="28"/>
        </w:rPr>
        <w:t xml:space="preserve">        日   期：</w:t>
      </w:r>
      <w:r>
        <w:rPr>
          <w:rFonts w:hint="eastAsia" w:ascii="宋体" w:hAnsi="宋体" w:cs="宋体"/>
          <w:color w:val="000000"/>
          <w:sz w:val="28"/>
          <w:szCs w:val="28"/>
          <w:u w:val="single"/>
        </w:rPr>
        <w:t xml:space="preserve">    </w:t>
      </w:r>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月 </w:t>
      </w:r>
      <w:r>
        <w:rPr>
          <w:rFonts w:hint="eastAsia" w:ascii="宋体" w:hAnsi="宋体" w:cs="宋体"/>
          <w:color w:val="000000"/>
          <w:sz w:val="28"/>
          <w:szCs w:val="28"/>
          <w:u w:val="single"/>
        </w:rPr>
        <w:t xml:space="preserve">   </w:t>
      </w:r>
      <w:r>
        <w:rPr>
          <w:rFonts w:hint="eastAsia" w:ascii="宋体" w:hAnsi="宋体" w:cs="宋体"/>
          <w:color w:val="000000"/>
          <w:sz w:val="28"/>
          <w:szCs w:val="28"/>
        </w:rPr>
        <w:t>日</w:t>
      </w:r>
    </w:p>
    <w:p w14:paraId="77662CC1">
      <w:pPr>
        <w:adjustRightInd w:val="0"/>
        <w:snapToGrid w:val="0"/>
        <w:spacing w:line="360" w:lineRule="auto"/>
        <w:ind w:firstLine="848" w:firstLineChars="303"/>
        <w:rPr>
          <w:rFonts w:ascii="宋体" w:hAnsi="宋体" w:cs="宋体"/>
          <w:color w:val="000000"/>
          <w:sz w:val="28"/>
          <w:szCs w:val="28"/>
        </w:rPr>
      </w:pPr>
    </w:p>
    <w:p w14:paraId="1FE9D84C">
      <w:pPr>
        <w:adjustRightInd w:val="0"/>
        <w:snapToGrid w:val="0"/>
        <w:spacing w:line="360" w:lineRule="auto"/>
        <w:ind w:firstLine="848" w:firstLineChars="303"/>
        <w:rPr>
          <w:rFonts w:ascii="宋体" w:hAnsi="宋体" w:cs="宋体"/>
          <w:color w:val="000000"/>
          <w:sz w:val="28"/>
          <w:szCs w:val="28"/>
        </w:rPr>
      </w:pPr>
    </w:p>
    <w:p w14:paraId="37A852E1">
      <w:pPr>
        <w:pStyle w:val="3"/>
        <w:jc w:val="both"/>
        <w:rPr>
          <w:rFonts w:ascii="宋体" w:hAnsi="宋体" w:cs="宋体"/>
          <w:bCs/>
          <w:color w:val="000000"/>
          <w:sz w:val="24"/>
          <w:szCs w:val="24"/>
        </w:rPr>
      </w:pPr>
      <w:bookmarkStart w:id="352" w:name="_Toc11143"/>
      <w:bookmarkEnd w:id="352"/>
      <w:bookmarkStart w:id="353" w:name="_Toc5915"/>
      <w:bookmarkEnd w:id="353"/>
      <w:bookmarkStart w:id="354" w:name="_Toc15884"/>
      <w:bookmarkEnd w:id="354"/>
      <w:bookmarkStart w:id="355" w:name="_Toc940"/>
      <w:bookmarkStart w:id="356" w:name="_Toc488052459"/>
      <w:bookmarkStart w:id="357" w:name="_Toc7263"/>
      <w:bookmarkStart w:id="358" w:name="_Toc15627"/>
      <w:r>
        <w:rPr>
          <w:rFonts w:hint="eastAsia" w:ascii="宋体" w:hAnsi="宋体" w:cs="宋体"/>
          <w:bCs/>
          <w:color w:val="000000"/>
          <w:sz w:val="24"/>
          <w:szCs w:val="24"/>
        </w:rPr>
        <w:t>一、磋商申请函、</w:t>
      </w:r>
      <w:bookmarkEnd w:id="355"/>
      <w:bookmarkEnd w:id="356"/>
      <w:r>
        <w:rPr>
          <w:rFonts w:hint="eastAsia" w:ascii="宋体" w:hAnsi="宋体" w:cs="宋体"/>
          <w:bCs/>
          <w:color w:val="000000"/>
          <w:sz w:val="24"/>
          <w:szCs w:val="24"/>
        </w:rPr>
        <w:t>报价一览表</w:t>
      </w:r>
      <w:bookmarkEnd w:id="357"/>
      <w:bookmarkEnd w:id="358"/>
    </w:p>
    <w:p w14:paraId="2174B8A6">
      <w:pPr>
        <w:spacing w:before="100" w:beforeAutospacing="1" w:after="100" w:afterAutospacing="1"/>
        <w:ind w:left="240"/>
        <w:rPr>
          <w:rFonts w:ascii="宋体" w:hAnsi="宋体" w:cs="宋体"/>
          <w:sz w:val="24"/>
          <w:szCs w:val="24"/>
        </w:rPr>
      </w:pPr>
      <w:r>
        <w:rPr>
          <w:rFonts w:hint="eastAsia" w:ascii="宋体" w:hAnsi="宋体" w:cs="宋体"/>
          <w:bCs/>
          <w:sz w:val="24"/>
          <w:szCs w:val="24"/>
        </w:rPr>
        <w:t>致:</w:t>
      </w:r>
      <w:r>
        <w:rPr>
          <w:rFonts w:hint="eastAsia" w:ascii="宋体" w:hAnsi="宋体" w:cs="宋体"/>
          <w:color w:val="000000"/>
          <w:sz w:val="24"/>
          <w:szCs w:val="24"/>
          <w:u w:val="single"/>
          <w:lang w:bidi="zh-CN"/>
        </w:rPr>
        <w:t xml:space="preserve">                </w:t>
      </w:r>
      <w:r>
        <w:rPr>
          <w:rFonts w:hint="eastAsia" w:ascii="宋体" w:hAnsi="宋体" w:cs="宋体"/>
          <w:color w:val="000000"/>
          <w:sz w:val="24"/>
          <w:szCs w:val="24"/>
          <w:lang w:bidi="zh-CN"/>
        </w:rPr>
        <w:t>（采购人名称）</w:t>
      </w:r>
      <w:r>
        <w:rPr>
          <w:rFonts w:hint="eastAsia" w:ascii="宋体" w:hAnsi="宋体" w:cs="宋体"/>
          <w:sz w:val="24"/>
          <w:szCs w:val="24"/>
        </w:rPr>
        <w:t xml:space="preserve"> </w:t>
      </w:r>
    </w:p>
    <w:p w14:paraId="241E5071">
      <w:pPr>
        <w:spacing w:before="100" w:beforeAutospacing="1" w:after="100" w:afterAutospacing="1" w:line="380" w:lineRule="exact"/>
        <w:ind w:firstLine="960" w:firstLineChars="4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(供应商全称)授权</w:t>
      </w:r>
      <w:r>
        <w:rPr>
          <w:rFonts w:hint="eastAsia" w:ascii="宋体" w:hAnsi="宋体" w:cs="宋体"/>
          <w:sz w:val="24"/>
          <w:szCs w:val="24"/>
          <w:u w:val="single"/>
        </w:rPr>
        <w:t xml:space="preserve">       </w:t>
      </w:r>
      <w:r>
        <w:rPr>
          <w:rFonts w:hint="eastAsia" w:ascii="宋体" w:hAnsi="宋体" w:cs="宋体"/>
          <w:sz w:val="24"/>
          <w:szCs w:val="24"/>
        </w:rPr>
        <w:t>(供应商代表姓名)</w:t>
      </w:r>
      <w:r>
        <w:rPr>
          <w:rFonts w:hint="eastAsia" w:ascii="宋体" w:hAnsi="宋体" w:cs="宋体"/>
          <w:sz w:val="24"/>
          <w:szCs w:val="24"/>
          <w:u w:val="single"/>
        </w:rPr>
        <w:t xml:space="preserve">      </w:t>
      </w:r>
      <w:r>
        <w:rPr>
          <w:rFonts w:hint="eastAsia" w:ascii="宋体" w:hAnsi="宋体" w:cs="宋体"/>
          <w:sz w:val="24"/>
          <w:szCs w:val="24"/>
        </w:rPr>
        <w:t xml:space="preserve"> (职务、职称)为我方代表，参加贵方组织的招标的有关活动，并对此项目进行投标。为此：</w:t>
      </w:r>
    </w:p>
    <w:p w14:paraId="7EED2E99">
      <w:pPr>
        <w:spacing w:before="100" w:beforeAutospacing="1" w:after="100" w:afterAutospacing="1" w:line="380" w:lineRule="exact"/>
        <w:ind w:firstLine="480" w:firstLineChars="200"/>
        <w:rPr>
          <w:rFonts w:ascii="宋体" w:hAnsi="宋体" w:cs="宋体"/>
          <w:sz w:val="24"/>
          <w:szCs w:val="24"/>
        </w:rPr>
      </w:pPr>
      <w:r>
        <w:rPr>
          <w:rFonts w:hint="eastAsia" w:ascii="宋体" w:hAnsi="宋体" w:cs="宋体"/>
          <w:sz w:val="24"/>
          <w:szCs w:val="24"/>
        </w:rPr>
        <w:t>1、我方同意在本项目竞争性磋商文件中规定的投标截止日期起日内60（日历天）遵守本响应文件中的承诺且在此期限期满之前均具有约束力。</w:t>
      </w:r>
    </w:p>
    <w:p w14:paraId="22A5B608">
      <w:pPr>
        <w:spacing w:before="100" w:beforeAutospacing="1" w:after="100" w:afterAutospacing="1" w:line="380" w:lineRule="exact"/>
        <w:ind w:firstLine="480" w:firstLineChars="200"/>
        <w:rPr>
          <w:rFonts w:ascii="宋体" w:hAnsi="宋体" w:cs="宋体"/>
          <w:sz w:val="24"/>
          <w:szCs w:val="24"/>
        </w:rPr>
      </w:pPr>
      <w:r>
        <w:rPr>
          <w:rFonts w:hint="eastAsia" w:ascii="宋体" w:hAnsi="宋体" w:cs="宋体"/>
          <w:sz w:val="24"/>
          <w:szCs w:val="24"/>
        </w:rPr>
        <w:t>2、我方承诺已经具备《中华人民共和国政府采购法》中规定的参加政府采购活动的供应商应当具备的条件。</w:t>
      </w:r>
    </w:p>
    <w:p w14:paraId="6EA41099">
      <w:pPr>
        <w:spacing w:before="100" w:beforeAutospacing="1" w:after="100" w:afterAutospacing="1" w:line="380" w:lineRule="exact"/>
        <w:ind w:left="1" w:firstLine="480" w:firstLineChars="200"/>
        <w:rPr>
          <w:rFonts w:ascii="宋体" w:hAnsi="宋体" w:cs="宋体"/>
          <w:sz w:val="24"/>
          <w:szCs w:val="24"/>
        </w:rPr>
      </w:pPr>
      <w:r>
        <w:rPr>
          <w:rFonts w:hint="eastAsia" w:ascii="宋体" w:hAnsi="宋体" w:cs="宋体"/>
          <w:sz w:val="24"/>
          <w:szCs w:val="24"/>
        </w:rPr>
        <w:t>3、我方按竞争性磋商文件要求提供和交付本次采购项目货物/服务的投标报价为：</w:t>
      </w:r>
      <w:r>
        <w:rPr>
          <w:rFonts w:hint="eastAsia" w:ascii="宋体" w:hAnsi="宋体" w:cs="宋体"/>
          <w:sz w:val="24"/>
          <w:szCs w:val="24"/>
          <w:u w:val="single"/>
        </w:rPr>
        <w:t xml:space="preserve">        </w:t>
      </w:r>
      <w:r>
        <w:rPr>
          <w:rFonts w:hint="eastAsia" w:ascii="宋体" w:hAnsi="宋体" w:cs="宋体"/>
          <w:sz w:val="24"/>
          <w:szCs w:val="24"/>
        </w:rPr>
        <w:t xml:space="preserve"> (大写)，</w:t>
      </w:r>
      <w:r>
        <w:rPr>
          <w:rFonts w:hint="eastAsia" w:ascii="宋体" w:hAnsi="宋体" w:cs="宋体"/>
          <w:sz w:val="24"/>
          <w:szCs w:val="24"/>
          <w:u w:val="single"/>
        </w:rPr>
        <w:t xml:space="preserve">        </w:t>
      </w:r>
      <w:r>
        <w:rPr>
          <w:rFonts w:hint="eastAsia" w:ascii="宋体" w:hAnsi="宋体" w:cs="宋体"/>
          <w:sz w:val="24"/>
          <w:szCs w:val="24"/>
        </w:rPr>
        <w:t xml:space="preserve">(小写)。 </w:t>
      </w:r>
    </w:p>
    <w:p w14:paraId="0C39866A">
      <w:pPr>
        <w:spacing w:before="100" w:beforeAutospacing="1" w:after="100" w:afterAutospacing="1" w:line="380" w:lineRule="exact"/>
        <w:ind w:firstLine="480" w:firstLineChars="200"/>
        <w:rPr>
          <w:rFonts w:ascii="宋体" w:hAnsi="宋体" w:cs="宋体"/>
          <w:sz w:val="24"/>
          <w:szCs w:val="24"/>
        </w:rPr>
      </w:pPr>
      <w:r>
        <w:rPr>
          <w:rFonts w:hint="eastAsia" w:ascii="宋体" w:hAnsi="宋体" w:cs="宋体"/>
          <w:sz w:val="24"/>
          <w:szCs w:val="24"/>
        </w:rPr>
        <w:t>4、我方保证忠实地执行双方所签订的合同，并承担合同规定的责任和义务。</w:t>
      </w:r>
    </w:p>
    <w:p w14:paraId="6BA32CEA">
      <w:pPr>
        <w:spacing w:before="100" w:beforeAutospacing="1" w:after="100" w:afterAutospacing="1" w:line="380" w:lineRule="exact"/>
        <w:ind w:firstLine="480" w:firstLineChars="200"/>
        <w:rPr>
          <w:rFonts w:ascii="宋体" w:hAnsi="宋体" w:cs="宋体"/>
          <w:sz w:val="24"/>
          <w:szCs w:val="24"/>
        </w:rPr>
      </w:pPr>
      <w:r>
        <w:rPr>
          <w:rFonts w:hint="eastAsia" w:ascii="宋体" w:hAnsi="宋体" w:cs="宋体"/>
          <w:sz w:val="24"/>
          <w:szCs w:val="24"/>
        </w:rPr>
        <w:t>5、我方承诺完全满足和响应竞争性磋商文件中的各项商务和技术要求，若有偏差，已在响应文件商务条款偏离表中予以明确特别说明。</w:t>
      </w:r>
    </w:p>
    <w:p w14:paraId="29B5625B">
      <w:pPr>
        <w:spacing w:before="100" w:beforeAutospacing="1" w:after="100" w:afterAutospacing="1" w:line="380" w:lineRule="exact"/>
        <w:ind w:firstLine="480" w:firstLineChars="200"/>
        <w:rPr>
          <w:rFonts w:ascii="宋体" w:hAnsi="宋体" w:cs="宋体"/>
          <w:sz w:val="24"/>
          <w:szCs w:val="24"/>
        </w:rPr>
      </w:pPr>
      <w:r>
        <w:rPr>
          <w:rFonts w:hint="eastAsia" w:ascii="宋体" w:hAnsi="宋体" w:cs="宋体"/>
          <w:sz w:val="24"/>
          <w:szCs w:val="24"/>
        </w:rPr>
        <w:t>6、我方完全理解贵方不一定接受最低价的投标。</w:t>
      </w:r>
    </w:p>
    <w:p w14:paraId="24BA62CA">
      <w:pPr>
        <w:spacing w:before="100" w:beforeAutospacing="1" w:after="100" w:afterAutospacing="1" w:line="380" w:lineRule="exact"/>
        <w:ind w:firstLine="480" w:firstLineChars="200"/>
        <w:rPr>
          <w:rFonts w:ascii="宋体" w:hAnsi="宋体" w:cs="宋体"/>
          <w:sz w:val="24"/>
          <w:szCs w:val="24"/>
        </w:rPr>
      </w:pPr>
      <w:r>
        <w:rPr>
          <w:rFonts w:hint="eastAsia" w:ascii="宋体" w:hAnsi="宋体" w:cs="宋体"/>
          <w:sz w:val="24"/>
          <w:szCs w:val="24"/>
        </w:rPr>
        <w:t>7、我方愿意向贵方提供任何与本项投标有关的数据、情况和技术资料。若贵方需要，我方愿意提供我方作出的一切承诺的证明材料。</w:t>
      </w:r>
    </w:p>
    <w:p w14:paraId="462441D8">
      <w:pPr>
        <w:spacing w:before="100" w:beforeAutospacing="1" w:after="100" w:afterAutospacing="1" w:line="380" w:lineRule="exact"/>
        <w:ind w:firstLine="480" w:firstLineChars="200"/>
        <w:rPr>
          <w:rFonts w:ascii="宋体" w:hAnsi="宋体" w:cs="宋体"/>
          <w:sz w:val="24"/>
          <w:szCs w:val="24"/>
        </w:rPr>
      </w:pPr>
      <w:r>
        <w:rPr>
          <w:rFonts w:hint="eastAsia" w:ascii="宋体" w:hAnsi="宋体" w:cs="宋体"/>
          <w:sz w:val="24"/>
          <w:szCs w:val="24"/>
        </w:rPr>
        <w:t>8、我方已详细审核全部响应文件及有关附件，确认无误。</w:t>
      </w:r>
    </w:p>
    <w:p w14:paraId="14F742B2">
      <w:pPr>
        <w:spacing w:before="100" w:beforeAutospacing="1" w:after="100" w:afterAutospacing="1" w:line="380" w:lineRule="exact"/>
        <w:ind w:firstLine="480" w:firstLineChars="200"/>
        <w:rPr>
          <w:rFonts w:ascii="宋体" w:hAnsi="宋体" w:cs="宋体"/>
          <w:sz w:val="24"/>
          <w:szCs w:val="24"/>
        </w:rPr>
      </w:pPr>
      <w:r>
        <w:rPr>
          <w:rFonts w:hint="eastAsia" w:ascii="宋体" w:hAnsi="宋体" w:cs="宋体"/>
          <w:sz w:val="24"/>
          <w:szCs w:val="24"/>
        </w:rPr>
        <w:t>供应商（全称并公章签章）：</w:t>
      </w:r>
    </w:p>
    <w:p w14:paraId="19C46A50">
      <w:pPr>
        <w:spacing w:before="100" w:beforeAutospacing="1" w:after="100" w:afterAutospacing="1" w:line="380" w:lineRule="exact"/>
        <w:ind w:firstLine="480" w:firstLineChars="200"/>
        <w:rPr>
          <w:rFonts w:ascii="宋体" w:hAnsi="宋体" w:cs="宋体"/>
          <w:sz w:val="24"/>
          <w:szCs w:val="24"/>
        </w:rPr>
      </w:pPr>
      <w:r>
        <w:rPr>
          <w:rFonts w:hint="eastAsia" w:ascii="宋体" w:hAnsi="宋体" w:cs="宋体"/>
          <w:sz w:val="24"/>
          <w:szCs w:val="24"/>
        </w:rPr>
        <w:t>法定代表人（签章）：</w:t>
      </w:r>
    </w:p>
    <w:p w14:paraId="2B669EFC">
      <w:pPr>
        <w:pStyle w:val="9"/>
        <w:ind w:firstLine="480" w:firstLineChars="200"/>
      </w:pPr>
      <w:r>
        <w:rPr>
          <w:rFonts w:hint="eastAsia"/>
        </w:rPr>
        <w:t>电话：（填写能联系到的电话号码，方便通知二次报价）</w:t>
      </w:r>
    </w:p>
    <w:p w14:paraId="6FAD1940">
      <w:pPr>
        <w:spacing w:before="100" w:beforeAutospacing="1" w:after="100" w:afterAutospacing="1" w:line="380" w:lineRule="exact"/>
        <w:ind w:firstLine="480" w:firstLineChars="200"/>
        <w:rPr>
          <w:rFonts w:ascii="宋体" w:hAnsi="宋体" w:cs="宋体"/>
          <w:sz w:val="24"/>
          <w:szCs w:val="24"/>
        </w:rPr>
      </w:pPr>
      <w:r>
        <w:rPr>
          <w:rFonts w:hint="eastAsia" w:ascii="宋体" w:hAnsi="宋体" w:cs="宋体"/>
          <w:sz w:val="24"/>
          <w:szCs w:val="24"/>
        </w:rPr>
        <w:t xml:space="preserve">日期： </w:t>
      </w:r>
    </w:p>
    <w:p w14:paraId="00219233">
      <w:pPr>
        <w:autoSpaceDE w:val="0"/>
        <w:autoSpaceDN w:val="0"/>
        <w:adjustRightInd w:val="0"/>
        <w:snapToGrid w:val="0"/>
        <w:spacing w:line="312" w:lineRule="auto"/>
        <w:textAlignment w:val="baseline"/>
        <w:rPr>
          <w:rFonts w:ascii="宋体" w:hAnsi="宋体" w:cs="宋体"/>
          <w:b/>
          <w:color w:val="000000"/>
          <w:sz w:val="24"/>
          <w:szCs w:val="24"/>
        </w:rPr>
      </w:pPr>
      <w:r>
        <w:rPr>
          <w:rFonts w:hint="eastAsia" w:ascii="宋体" w:hAnsi="宋体" w:cs="宋体"/>
          <w:b/>
          <w:color w:val="000000"/>
          <w:sz w:val="24"/>
          <w:szCs w:val="24"/>
        </w:rPr>
        <w:br w:type="page"/>
      </w:r>
    </w:p>
    <w:p w14:paraId="67FACE34">
      <w:pPr>
        <w:pStyle w:val="4"/>
        <w:keepNext w:val="0"/>
        <w:keepLines w:val="0"/>
        <w:tabs>
          <w:tab w:val="left" w:pos="720"/>
        </w:tabs>
        <w:adjustRightInd w:val="0"/>
        <w:snapToGrid w:val="0"/>
        <w:spacing w:before="0" w:after="0" w:line="360" w:lineRule="auto"/>
        <w:jc w:val="center"/>
        <w:rPr>
          <w:rFonts w:ascii="宋体" w:hAnsi="宋体" w:eastAsia="宋体" w:cs="宋体"/>
          <w:color w:val="000000"/>
          <w:sz w:val="24"/>
          <w:szCs w:val="24"/>
        </w:rPr>
      </w:pPr>
      <w:bookmarkStart w:id="359" w:name="_Toc21546"/>
      <w:bookmarkStart w:id="360" w:name="_Toc11846"/>
      <w:r>
        <w:rPr>
          <w:rFonts w:hint="eastAsia" w:ascii="宋体" w:hAnsi="宋体" w:eastAsia="宋体" w:cs="宋体"/>
          <w:color w:val="000000"/>
          <w:sz w:val="24"/>
          <w:szCs w:val="24"/>
        </w:rPr>
        <w:t>报价一览表（第一轮）</w:t>
      </w:r>
      <w:bookmarkEnd w:id="359"/>
      <w:bookmarkEnd w:id="360"/>
    </w:p>
    <w:tbl>
      <w:tblPr>
        <w:tblStyle w:val="29"/>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2352"/>
        <w:gridCol w:w="2353"/>
        <w:gridCol w:w="2353"/>
      </w:tblGrid>
      <w:tr w14:paraId="226FE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2259" w:type="dxa"/>
            <w:vAlign w:val="center"/>
          </w:tcPr>
          <w:p w14:paraId="64C0D538">
            <w:pPr>
              <w:spacing w:line="360" w:lineRule="auto"/>
              <w:jc w:val="center"/>
              <w:rPr>
                <w:rFonts w:ascii="宋体" w:hAnsi="宋体" w:cs="宋体"/>
                <w:sz w:val="24"/>
                <w:szCs w:val="24"/>
              </w:rPr>
            </w:pPr>
            <w:r>
              <w:rPr>
                <w:rFonts w:hint="eastAsia" w:ascii="宋体" w:hAnsi="宋体" w:cs="宋体"/>
                <w:sz w:val="24"/>
                <w:szCs w:val="24"/>
              </w:rPr>
              <w:t>项目名称</w:t>
            </w:r>
          </w:p>
        </w:tc>
        <w:tc>
          <w:tcPr>
            <w:tcW w:w="7058" w:type="dxa"/>
            <w:gridSpan w:val="3"/>
            <w:vAlign w:val="center"/>
          </w:tcPr>
          <w:p w14:paraId="32DC5623">
            <w:pPr>
              <w:spacing w:line="360" w:lineRule="auto"/>
              <w:rPr>
                <w:rFonts w:ascii="宋体" w:hAnsi="宋体" w:cs="宋体"/>
                <w:sz w:val="24"/>
                <w:szCs w:val="24"/>
              </w:rPr>
            </w:pPr>
          </w:p>
        </w:tc>
      </w:tr>
      <w:tr w14:paraId="7823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2259" w:type="dxa"/>
            <w:vAlign w:val="center"/>
          </w:tcPr>
          <w:p w14:paraId="754F8C57">
            <w:pPr>
              <w:spacing w:line="360" w:lineRule="auto"/>
              <w:jc w:val="center"/>
              <w:rPr>
                <w:rFonts w:ascii="宋体" w:hAnsi="宋体" w:cs="宋体"/>
                <w:sz w:val="24"/>
                <w:szCs w:val="24"/>
              </w:rPr>
            </w:pPr>
            <w:r>
              <w:rPr>
                <w:rFonts w:hint="eastAsia" w:ascii="宋体" w:hAnsi="宋体" w:cs="宋体"/>
                <w:sz w:val="24"/>
                <w:szCs w:val="24"/>
              </w:rPr>
              <w:t>磋商供应商</w:t>
            </w:r>
          </w:p>
        </w:tc>
        <w:tc>
          <w:tcPr>
            <w:tcW w:w="7058" w:type="dxa"/>
            <w:gridSpan w:val="3"/>
            <w:vAlign w:val="center"/>
          </w:tcPr>
          <w:p w14:paraId="641CC5D2">
            <w:pPr>
              <w:spacing w:line="360" w:lineRule="auto"/>
              <w:rPr>
                <w:rFonts w:ascii="宋体" w:hAnsi="宋体" w:cs="宋体"/>
                <w:sz w:val="24"/>
                <w:szCs w:val="24"/>
              </w:rPr>
            </w:pPr>
          </w:p>
        </w:tc>
      </w:tr>
      <w:tr w14:paraId="36FF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2259" w:type="dxa"/>
            <w:vAlign w:val="center"/>
          </w:tcPr>
          <w:p w14:paraId="20228802">
            <w:pPr>
              <w:spacing w:line="360" w:lineRule="auto"/>
              <w:jc w:val="center"/>
              <w:rPr>
                <w:rFonts w:ascii="宋体" w:hAnsi="宋体" w:cs="宋体"/>
                <w:sz w:val="24"/>
                <w:szCs w:val="24"/>
              </w:rPr>
            </w:pPr>
            <w:r>
              <w:rPr>
                <w:rFonts w:hint="eastAsia" w:ascii="宋体" w:hAnsi="宋体" w:cs="宋体"/>
                <w:sz w:val="24"/>
                <w:szCs w:val="24"/>
              </w:rPr>
              <w:t>投标报价</w:t>
            </w:r>
          </w:p>
        </w:tc>
        <w:tc>
          <w:tcPr>
            <w:tcW w:w="7058" w:type="dxa"/>
            <w:gridSpan w:val="3"/>
            <w:vAlign w:val="center"/>
          </w:tcPr>
          <w:p w14:paraId="516DDD29">
            <w:pPr>
              <w:spacing w:line="360" w:lineRule="auto"/>
              <w:rPr>
                <w:rFonts w:ascii="宋体" w:hAnsi="宋体" w:cs="宋体"/>
                <w:sz w:val="24"/>
                <w:szCs w:val="24"/>
              </w:rPr>
            </w:pPr>
            <w:r>
              <w:rPr>
                <w:rFonts w:hint="eastAsia" w:ascii="宋体" w:hAnsi="宋体" w:cs="宋体"/>
                <w:sz w:val="24"/>
                <w:szCs w:val="24"/>
              </w:rPr>
              <w:t xml:space="preserve">大 写：  </w:t>
            </w:r>
          </w:p>
          <w:p w14:paraId="4CEC24E5">
            <w:pPr>
              <w:spacing w:line="360" w:lineRule="auto"/>
              <w:rPr>
                <w:rFonts w:ascii="宋体" w:hAnsi="宋体" w:cs="宋体"/>
                <w:sz w:val="24"/>
                <w:szCs w:val="24"/>
              </w:rPr>
            </w:pPr>
            <w:r>
              <w:rPr>
                <w:rFonts w:hint="eastAsia" w:ascii="宋体" w:hAnsi="宋体" w:cs="宋体"/>
                <w:sz w:val="24"/>
                <w:szCs w:val="24"/>
              </w:rPr>
              <w:t>小 写：</w:t>
            </w:r>
          </w:p>
        </w:tc>
      </w:tr>
      <w:tr w14:paraId="23ED3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2259" w:type="dxa"/>
            <w:vAlign w:val="center"/>
          </w:tcPr>
          <w:p w14:paraId="48545A92">
            <w:pPr>
              <w:spacing w:line="360" w:lineRule="auto"/>
              <w:jc w:val="center"/>
              <w:rPr>
                <w:rFonts w:ascii="宋体" w:hAnsi="宋体" w:cs="宋体"/>
                <w:sz w:val="24"/>
                <w:szCs w:val="24"/>
              </w:rPr>
            </w:pPr>
            <w:r>
              <w:rPr>
                <w:rFonts w:hint="eastAsia" w:ascii="宋体" w:hAnsi="宋体" w:cs="宋体"/>
                <w:sz w:val="24"/>
                <w:szCs w:val="24"/>
              </w:rPr>
              <w:t>服务周期</w:t>
            </w:r>
          </w:p>
        </w:tc>
        <w:tc>
          <w:tcPr>
            <w:tcW w:w="7058" w:type="dxa"/>
            <w:gridSpan w:val="3"/>
            <w:vAlign w:val="center"/>
          </w:tcPr>
          <w:p w14:paraId="4BE2F04E">
            <w:pPr>
              <w:spacing w:line="360" w:lineRule="auto"/>
              <w:jc w:val="center"/>
              <w:rPr>
                <w:rFonts w:ascii="宋体" w:hAnsi="宋体" w:cs="宋体"/>
                <w:sz w:val="24"/>
                <w:szCs w:val="24"/>
              </w:rPr>
            </w:pPr>
          </w:p>
        </w:tc>
      </w:tr>
      <w:tr w14:paraId="58792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2259" w:type="dxa"/>
            <w:vAlign w:val="center"/>
          </w:tcPr>
          <w:p w14:paraId="68C35EFF">
            <w:pPr>
              <w:spacing w:line="360" w:lineRule="auto"/>
              <w:jc w:val="center"/>
              <w:rPr>
                <w:rFonts w:ascii="宋体" w:hAnsi="宋体" w:cs="宋体"/>
                <w:sz w:val="24"/>
                <w:szCs w:val="24"/>
              </w:rPr>
            </w:pPr>
            <w:r>
              <w:rPr>
                <w:rFonts w:hint="eastAsia" w:ascii="宋体" w:hAnsi="宋体" w:cs="宋体"/>
                <w:sz w:val="24"/>
                <w:szCs w:val="24"/>
              </w:rPr>
              <w:t>质量要求</w:t>
            </w:r>
          </w:p>
        </w:tc>
        <w:tc>
          <w:tcPr>
            <w:tcW w:w="7058" w:type="dxa"/>
            <w:gridSpan w:val="3"/>
            <w:vAlign w:val="center"/>
          </w:tcPr>
          <w:p w14:paraId="65C8B78D">
            <w:pPr>
              <w:spacing w:line="360" w:lineRule="auto"/>
              <w:jc w:val="center"/>
              <w:rPr>
                <w:rFonts w:ascii="宋体" w:hAnsi="宋体" w:cs="宋体"/>
                <w:sz w:val="24"/>
                <w:szCs w:val="24"/>
              </w:rPr>
            </w:pPr>
          </w:p>
        </w:tc>
      </w:tr>
      <w:tr w14:paraId="2E0A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259" w:type="dxa"/>
            <w:vAlign w:val="center"/>
          </w:tcPr>
          <w:p w14:paraId="3706ACDC">
            <w:pPr>
              <w:spacing w:line="360" w:lineRule="auto"/>
              <w:jc w:val="center"/>
              <w:rPr>
                <w:rFonts w:ascii="宋体" w:hAnsi="宋体" w:cs="宋体"/>
                <w:sz w:val="24"/>
                <w:szCs w:val="24"/>
              </w:rPr>
            </w:pPr>
            <w:r>
              <w:rPr>
                <w:rFonts w:hint="eastAsia" w:ascii="宋体" w:hAnsi="宋体" w:cs="宋体"/>
                <w:sz w:val="24"/>
                <w:szCs w:val="24"/>
              </w:rPr>
              <w:t>项目负责人</w:t>
            </w:r>
          </w:p>
        </w:tc>
        <w:tc>
          <w:tcPr>
            <w:tcW w:w="2352" w:type="dxa"/>
            <w:vAlign w:val="center"/>
          </w:tcPr>
          <w:p w14:paraId="5167D615">
            <w:pPr>
              <w:spacing w:line="360" w:lineRule="auto"/>
              <w:jc w:val="center"/>
              <w:rPr>
                <w:rFonts w:ascii="宋体" w:hAnsi="宋体" w:cs="宋体"/>
                <w:sz w:val="24"/>
                <w:szCs w:val="24"/>
              </w:rPr>
            </w:pPr>
          </w:p>
        </w:tc>
        <w:tc>
          <w:tcPr>
            <w:tcW w:w="2353" w:type="dxa"/>
            <w:vAlign w:val="center"/>
          </w:tcPr>
          <w:p w14:paraId="008EA486">
            <w:pPr>
              <w:spacing w:line="360" w:lineRule="auto"/>
              <w:jc w:val="center"/>
              <w:rPr>
                <w:rFonts w:ascii="宋体" w:hAnsi="宋体" w:cs="宋体"/>
                <w:sz w:val="24"/>
                <w:szCs w:val="24"/>
              </w:rPr>
            </w:pPr>
            <w:r>
              <w:rPr>
                <w:rFonts w:hint="eastAsia" w:ascii="宋体" w:hAnsi="宋体" w:cs="宋体"/>
                <w:sz w:val="24"/>
                <w:szCs w:val="24"/>
              </w:rPr>
              <w:t>职称及联系方式</w:t>
            </w:r>
          </w:p>
        </w:tc>
        <w:tc>
          <w:tcPr>
            <w:tcW w:w="2353" w:type="dxa"/>
            <w:vAlign w:val="center"/>
          </w:tcPr>
          <w:p w14:paraId="452359BA">
            <w:pPr>
              <w:spacing w:line="360" w:lineRule="auto"/>
              <w:jc w:val="center"/>
              <w:rPr>
                <w:rFonts w:ascii="宋体" w:hAnsi="宋体" w:cs="宋体"/>
                <w:sz w:val="24"/>
                <w:szCs w:val="24"/>
              </w:rPr>
            </w:pPr>
          </w:p>
        </w:tc>
      </w:tr>
      <w:tr w14:paraId="2425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2259" w:type="dxa"/>
            <w:vAlign w:val="center"/>
          </w:tcPr>
          <w:p w14:paraId="7003FFD4">
            <w:pPr>
              <w:spacing w:line="360" w:lineRule="auto"/>
              <w:jc w:val="center"/>
              <w:rPr>
                <w:rFonts w:ascii="宋体" w:hAnsi="宋体" w:cs="宋体"/>
                <w:sz w:val="24"/>
                <w:szCs w:val="24"/>
              </w:rPr>
            </w:pPr>
            <w:r>
              <w:rPr>
                <w:rFonts w:hint="eastAsia" w:ascii="宋体" w:hAnsi="宋体" w:cs="宋体"/>
                <w:sz w:val="24"/>
                <w:szCs w:val="24"/>
              </w:rPr>
              <w:t>投标有效期</w:t>
            </w:r>
          </w:p>
        </w:tc>
        <w:tc>
          <w:tcPr>
            <w:tcW w:w="7058" w:type="dxa"/>
            <w:gridSpan w:val="3"/>
            <w:vAlign w:val="center"/>
          </w:tcPr>
          <w:p w14:paraId="7CCBBD84">
            <w:pPr>
              <w:spacing w:line="360" w:lineRule="auto"/>
              <w:jc w:val="center"/>
              <w:rPr>
                <w:rFonts w:ascii="宋体" w:hAnsi="宋体" w:cs="宋体"/>
                <w:sz w:val="24"/>
                <w:szCs w:val="24"/>
              </w:rPr>
            </w:pPr>
          </w:p>
        </w:tc>
      </w:tr>
      <w:tr w14:paraId="4E5A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2259" w:type="dxa"/>
            <w:vAlign w:val="center"/>
          </w:tcPr>
          <w:p w14:paraId="3885978A">
            <w:pPr>
              <w:spacing w:line="360" w:lineRule="auto"/>
              <w:jc w:val="center"/>
              <w:rPr>
                <w:rFonts w:ascii="宋体" w:hAnsi="宋体" w:cs="宋体"/>
                <w:sz w:val="24"/>
                <w:szCs w:val="24"/>
              </w:rPr>
            </w:pPr>
            <w:r>
              <w:rPr>
                <w:rFonts w:hint="eastAsia" w:ascii="宋体" w:hAnsi="宋体" w:cs="宋体"/>
                <w:sz w:val="24"/>
                <w:szCs w:val="24"/>
              </w:rPr>
              <w:t>其他优惠承诺</w:t>
            </w:r>
          </w:p>
        </w:tc>
        <w:tc>
          <w:tcPr>
            <w:tcW w:w="7058" w:type="dxa"/>
            <w:gridSpan w:val="3"/>
            <w:vAlign w:val="center"/>
          </w:tcPr>
          <w:p w14:paraId="19C8BA75">
            <w:pPr>
              <w:spacing w:line="360" w:lineRule="auto"/>
              <w:rPr>
                <w:rFonts w:ascii="宋体" w:hAnsi="宋体" w:cs="宋体"/>
                <w:sz w:val="24"/>
                <w:szCs w:val="24"/>
              </w:rPr>
            </w:pPr>
            <w:r>
              <w:rPr>
                <w:rFonts w:hint="eastAsia" w:ascii="宋体" w:hAnsi="宋体" w:cs="宋体"/>
                <w:sz w:val="24"/>
                <w:szCs w:val="24"/>
              </w:rPr>
              <w:t>（可另附）</w:t>
            </w:r>
          </w:p>
        </w:tc>
      </w:tr>
    </w:tbl>
    <w:p w14:paraId="779BAB50">
      <w:pPr>
        <w:rPr>
          <w:rFonts w:ascii="宋体" w:hAnsi="宋体" w:cs="宋体"/>
          <w:sz w:val="24"/>
          <w:szCs w:val="24"/>
        </w:rPr>
      </w:pPr>
    </w:p>
    <w:p w14:paraId="442C1850">
      <w:pPr>
        <w:autoSpaceDE w:val="0"/>
        <w:autoSpaceDN w:val="0"/>
        <w:adjustRightInd w:val="0"/>
        <w:snapToGrid w:val="0"/>
        <w:spacing w:line="360" w:lineRule="auto"/>
        <w:ind w:right="315" w:firstLine="2640" w:firstLineChars="1100"/>
        <w:textAlignment w:val="baseline"/>
        <w:rPr>
          <w:rFonts w:ascii="宋体" w:hAnsi="宋体" w:cs="宋体"/>
          <w:color w:val="000000"/>
          <w:kern w:val="0"/>
          <w:sz w:val="24"/>
          <w:szCs w:val="24"/>
        </w:rPr>
      </w:pPr>
      <w:r>
        <w:rPr>
          <w:rFonts w:hint="eastAsia" w:ascii="宋体" w:hAnsi="宋体" w:cs="宋体"/>
          <w:color w:val="000000"/>
          <w:kern w:val="0"/>
          <w:sz w:val="24"/>
          <w:szCs w:val="24"/>
        </w:rPr>
        <w:t>供应商：</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（全称并公章签章）</w:t>
      </w:r>
    </w:p>
    <w:p w14:paraId="7897D3FB">
      <w:pPr>
        <w:autoSpaceDE w:val="0"/>
        <w:autoSpaceDN w:val="0"/>
        <w:adjustRightInd w:val="0"/>
        <w:snapToGrid w:val="0"/>
        <w:spacing w:line="360" w:lineRule="auto"/>
        <w:ind w:right="315"/>
        <w:jc w:val="center"/>
        <w:textAlignment w:val="baseline"/>
        <w:rPr>
          <w:rFonts w:ascii="宋体" w:hAnsi="宋体" w:cs="宋体"/>
          <w:color w:val="000000"/>
          <w:kern w:val="0"/>
          <w:sz w:val="24"/>
          <w:szCs w:val="24"/>
        </w:rPr>
      </w:pPr>
      <w:r>
        <w:rPr>
          <w:rFonts w:hint="eastAsia" w:ascii="宋体" w:hAnsi="宋体" w:cs="宋体"/>
          <w:color w:val="000000"/>
          <w:kern w:val="0"/>
          <w:sz w:val="24"/>
          <w:szCs w:val="24"/>
        </w:rPr>
        <w:t xml:space="preserve">     法定代表人：</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（电子签章）</w:t>
      </w:r>
    </w:p>
    <w:p w14:paraId="1136D661">
      <w:pPr>
        <w:autoSpaceDE w:val="0"/>
        <w:autoSpaceDN w:val="0"/>
        <w:adjustRightInd w:val="0"/>
        <w:snapToGrid w:val="0"/>
        <w:spacing w:line="360" w:lineRule="auto"/>
        <w:jc w:val="left"/>
        <w:textAlignment w:val="baseline"/>
        <w:rPr>
          <w:rFonts w:ascii="宋体" w:hAnsi="宋体" w:cs="宋体"/>
          <w:color w:val="000000"/>
          <w:kern w:val="0"/>
          <w:sz w:val="24"/>
          <w:szCs w:val="24"/>
        </w:rPr>
      </w:pPr>
      <w:r>
        <w:rPr>
          <w:rFonts w:hint="eastAsia" w:ascii="宋体" w:hAnsi="宋体" w:cs="宋体"/>
          <w:color w:val="000000"/>
          <w:kern w:val="0"/>
          <w:sz w:val="24"/>
          <w:szCs w:val="24"/>
        </w:rPr>
        <w:t xml:space="preserve">                      地    址：</w:t>
      </w:r>
      <w:r>
        <w:rPr>
          <w:rFonts w:hint="eastAsia" w:ascii="宋体" w:hAnsi="宋体" w:cs="宋体"/>
          <w:color w:val="000000"/>
          <w:kern w:val="0"/>
          <w:sz w:val="24"/>
          <w:szCs w:val="24"/>
          <w:u w:val="single"/>
        </w:rPr>
        <w:t xml:space="preserve">     </w:t>
      </w:r>
    </w:p>
    <w:p w14:paraId="73787BCD">
      <w:pPr>
        <w:autoSpaceDE w:val="0"/>
        <w:autoSpaceDN w:val="0"/>
        <w:adjustRightInd w:val="0"/>
        <w:snapToGrid w:val="0"/>
        <w:spacing w:line="360" w:lineRule="auto"/>
        <w:jc w:val="left"/>
        <w:textAlignment w:val="baseline"/>
        <w:rPr>
          <w:rFonts w:ascii="宋体" w:hAnsi="宋体" w:cs="宋体"/>
          <w:color w:val="000000"/>
          <w:kern w:val="0"/>
          <w:sz w:val="24"/>
          <w:szCs w:val="24"/>
        </w:rPr>
      </w:pPr>
      <w:r>
        <w:rPr>
          <w:rFonts w:hint="eastAsia" w:ascii="宋体" w:hAnsi="宋体" w:cs="宋体"/>
          <w:color w:val="000000"/>
          <w:kern w:val="0"/>
          <w:sz w:val="24"/>
          <w:szCs w:val="24"/>
        </w:rPr>
        <w:t xml:space="preserve">                      电    话：</w:t>
      </w:r>
      <w:r>
        <w:rPr>
          <w:rFonts w:hint="eastAsia" w:ascii="宋体" w:hAnsi="宋体" w:cs="宋体"/>
          <w:color w:val="000000"/>
          <w:kern w:val="0"/>
          <w:sz w:val="24"/>
          <w:szCs w:val="24"/>
          <w:u w:val="single"/>
        </w:rPr>
        <w:t xml:space="preserve">     </w:t>
      </w:r>
    </w:p>
    <w:p w14:paraId="44C75A28">
      <w:pPr>
        <w:autoSpaceDE w:val="0"/>
        <w:autoSpaceDN w:val="0"/>
        <w:adjustRightInd w:val="0"/>
        <w:snapToGrid w:val="0"/>
        <w:spacing w:line="360" w:lineRule="auto"/>
        <w:jc w:val="left"/>
        <w:textAlignment w:val="baseline"/>
        <w:rPr>
          <w:rFonts w:ascii="宋体" w:hAnsi="宋体" w:cs="宋体"/>
          <w:color w:val="000000"/>
          <w:kern w:val="0"/>
          <w:sz w:val="24"/>
          <w:szCs w:val="24"/>
        </w:rPr>
      </w:pPr>
      <w:r>
        <w:rPr>
          <w:rFonts w:hint="eastAsia" w:ascii="宋体" w:hAnsi="宋体" w:cs="宋体"/>
          <w:color w:val="000000"/>
          <w:kern w:val="0"/>
          <w:sz w:val="24"/>
          <w:szCs w:val="24"/>
        </w:rPr>
        <w:t xml:space="preserve">                      邮政编码：</w:t>
      </w:r>
      <w:r>
        <w:rPr>
          <w:rFonts w:hint="eastAsia" w:ascii="宋体" w:hAnsi="宋体" w:cs="宋体"/>
          <w:color w:val="000000"/>
          <w:kern w:val="0"/>
          <w:sz w:val="24"/>
          <w:szCs w:val="24"/>
          <w:u w:val="single"/>
        </w:rPr>
        <w:t xml:space="preserve">        </w:t>
      </w:r>
    </w:p>
    <w:p w14:paraId="42206EB6">
      <w:pPr>
        <w:autoSpaceDE w:val="0"/>
        <w:autoSpaceDN w:val="0"/>
        <w:adjustRightInd w:val="0"/>
        <w:snapToGrid w:val="0"/>
        <w:spacing w:line="360" w:lineRule="auto"/>
        <w:ind w:firstLine="3240" w:firstLineChars="1350"/>
        <w:textAlignment w:val="baseline"/>
        <w:rPr>
          <w:rFonts w:ascii="宋体" w:hAnsi="宋体" w:cs="宋体"/>
          <w:color w:val="000000"/>
          <w:kern w:val="0"/>
          <w:sz w:val="24"/>
          <w:szCs w:val="24"/>
        </w:rPr>
      </w:pP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年</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月</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日</w:t>
      </w:r>
    </w:p>
    <w:p w14:paraId="784DDD3B">
      <w:pPr>
        <w:autoSpaceDE w:val="0"/>
        <w:autoSpaceDN w:val="0"/>
        <w:adjustRightInd w:val="0"/>
        <w:snapToGrid w:val="0"/>
        <w:spacing w:line="360" w:lineRule="auto"/>
        <w:textAlignment w:val="baseline"/>
        <w:rPr>
          <w:rFonts w:ascii="宋体" w:hAnsi="宋体" w:cs="宋体"/>
          <w:color w:val="000000"/>
          <w:kern w:val="0"/>
          <w:sz w:val="24"/>
          <w:szCs w:val="24"/>
        </w:rPr>
      </w:pPr>
      <w:bookmarkStart w:id="361" w:name="_Toc29161"/>
      <w:bookmarkEnd w:id="361"/>
      <w:bookmarkStart w:id="362" w:name="_Toc19791"/>
      <w:bookmarkEnd w:id="362"/>
      <w:bookmarkStart w:id="363" w:name="_Toc488052462"/>
      <w:bookmarkStart w:id="364" w:name="_Toc15409"/>
      <w:bookmarkStart w:id="365" w:name="_Toc12942"/>
    </w:p>
    <w:p w14:paraId="59F66BA8">
      <w:pPr>
        <w:pStyle w:val="4"/>
        <w:rPr>
          <w:rFonts w:eastAsia="宋体"/>
        </w:rPr>
      </w:pPr>
      <w:bookmarkStart w:id="366" w:name="_Toc22589"/>
      <w:r>
        <w:rPr>
          <w:rFonts w:hint="eastAsia" w:ascii="宋体" w:hAnsi="宋体" w:eastAsia="宋体" w:cs="宋体"/>
          <w:color w:val="000000"/>
          <w:kern w:val="0"/>
          <w:sz w:val="24"/>
          <w:szCs w:val="24"/>
        </w:rPr>
        <w:br w:type="page"/>
      </w:r>
      <w:bookmarkStart w:id="367" w:name="_Toc25704"/>
      <w:r>
        <w:rPr>
          <w:rFonts w:hint="eastAsia" w:ascii="宋体" w:hAnsi="宋体" w:eastAsia="宋体" w:cs="宋体"/>
          <w:color w:val="000000"/>
          <w:kern w:val="0"/>
          <w:sz w:val="24"/>
          <w:szCs w:val="24"/>
        </w:rPr>
        <w:t>磋商报价明细表（格式自拟）</w:t>
      </w:r>
      <w:bookmarkEnd w:id="367"/>
    </w:p>
    <w:p w14:paraId="0C2451D3">
      <w:pPr>
        <w:pStyle w:val="9"/>
      </w:pPr>
    </w:p>
    <w:p w14:paraId="0679E0A9">
      <w:pPr>
        <w:pStyle w:val="4"/>
        <w:rPr>
          <w:rFonts w:ascii="宋体" w:hAnsi="宋体" w:eastAsia="宋体" w:cs="宋体"/>
          <w:color w:val="000000"/>
          <w:sz w:val="24"/>
          <w:szCs w:val="24"/>
        </w:rPr>
      </w:pPr>
      <w:r>
        <w:rPr>
          <w:rFonts w:hint="eastAsia" w:ascii="宋体" w:hAnsi="宋体" w:eastAsia="宋体" w:cs="宋体"/>
          <w:color w:val="000000"/>
          <w:kern w:val="0"/>
          <w:sz w:val="24"/>
          <w:szCs w:val="24"/>
        </w:rPr>
        <w:br w:type="page"/>
      </w:r>
      <w:bookmarkStart w:id="368" w:name="_Toc3592"/>
      <w:r>
        <w:rPr>
          <w:rFonts w:hint="eastAsia" w:ascii="宋体" w:hAnsi="宋体" w:eastAsia="宋体" w:cs="宋体"/>
          <w:color w:val="000000"/>
          <w:kern w:val="0"/>
          <w:sz w:val="24"/>
          <w:szCs w:val="24"/>
        </w:rPr>
        <w:t>二、法定代表人身份证明、授权委托书</w:t>
      </w:r>
      <w:bookmarkEnd w:id="363"/>
      <w:bookmarkEnd w:id="364"/>
      <w:bookmarkEnd w:id="365"/>
      <w:bookmarkEnd w:id="366"/>
      <w:bookmarkEnd w:id="368"/>
    </w:p>
    <w:p w14:paraId="1EAFE979">
      <w:pPr>
        <w:pStyle w:val="5"/>
        <w:adjustRightInd w:val="0"/>
        <w:snapToGrid w:val="0"/>
        <w:spacing w:line="360" w:lineRule="auto"/>
        <w:jc w:val="center"/>
        <w:rPr>
          <w:rFonts w:ascii="宋体" w:hAnsi="宋体" w:eastAsia="宋体" w:cs="宋体"/>
          <w:color w:val="000000"/>
          <w:kern w:val="0"/>
          <w:sz w:val="24"/>
          <w:szCs w:val="24"/>
        </w:rPr>
      </w:pPr>
      <w:bookmarkStart w:id="369" w:name="_Toc24011"/>
      <w:bookmarkEnd w:id="369"/>
      <w:bookmarkStart w:id="370" w:name="_Toc15174"/>
      <w:bookmarkEnd w:id="370"/>
      <w:bookmarkStart w:id="371" w:name="_Toc31381"/>
      <w:bookmarkEnd w:id="371"/>
      <w:bookmarkStart w:id="372" w:name="_Toc653"/>
      <w:bookmarkEnd w:id="372"/>
      <w:bookmarkStart w:id="373" w:name="_Toc12120"/>
      <w:bookmarkEnd w:id="373"/>
      <w:bookmarkStart w:id="374" w:name="_Toc11834"/>
      <w:bookmarkEnd w:id="374"/>
      <w:bookmarkStart w:id="375" w:name="_Toc5476"/>
      <w:bookmarkEnd w:id="375"/>
      <w:bookmarkStart w:id="376" w:name="_Toc29107"/>
      <w:bookmarkStart w:id="377" w:name="_Toc8716"/>
      <w:bookmarkStart w:id="378" w:name="_Toc31455"/>
      <w:bookmarkStart w:id="379" w:name="_Toc488052463"/>
      <w:bookmarkStart w:id="380" w:name="_Toc11455"/>
      <w:r>
        <w:rPr>
          <w:rFonts w:hint="eastAsia" w:ascii="宋体" w:hAnsi="宋体" w:eastAsia="宋体" w:cs="宋体"/>
          <w:color w:val="000000"/>
          <w:kern w:val="0"/>
          <w:sz w:val="24"/>
          <w:szCs w:val="24"/>
        </w:rPr>
        <w:t>1、法定代表人身份证明</w:t>
      </w:r>
      <w:bookmarkEnd w:id="376"/>
      <w:bookmarkEnd w:id="377"/>
      <w:bookmarkEnd w:id="378"/>
      <w:bookmarkEnd w:id="379"/>
      <w:bookmarkEnd w:id="380"/>
    </w:p>
    <w:p w14:paraId="0D1D1E33">
      <w:pPr>
        <w:autoSpaceDE w:val="0"/>
        <w:autoSpaceDN w:val="0"/>
        <w:adjustRightInd w:val="0"/>
        <w:snapToGrid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供应商名称：</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w:t>
      </w:r>
    </w:p>
    <w:p w14:paraId="25D7206D">
      <w:pPr>
        <w:autoSpaceDE w:val="0"/>
        <w:autoSpaceDN w:val="0"/>
        <w:adjustRightInd w:val="0"/>
        <w:snapToGrid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单位性质：</w:t>
      </w:r>
      <w:r>
        <w:rPr>
          <w:rFonts w:hint="eastAsia" w:ascii="宋体" w:hAnsi="宋体" w:cs="宋体"/>
          <w:color w:val="000000"/>
          <w:kern w:val="0"/>
          <w:sz w:val="24"/>
          <w:szCs w:val="24"/>
          <w:u w:val="single"/>
        </w:rPr>
        <w:t xml:space="preserve">     </w:t>
      </w:r>
    </w:p>
    <w:p w14:paraId="6ABF1751">
      <w:pPr>
        <w:autoSpaceDE w:val="0"/>
        <w:autoSpaceDN w:val="0"/>
        <w:adjustRightInd w:val="0"/>
        <w:snapToGrid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地址：</w:t>
      </w:r>
      <w:r>
        <w:rPr>
          <w:rFonts w:hint="eastAsia" w:ascii="宋体" w:hAnsi="宋体" w:cs="宋体"/>
          <w:color w:val="000000"/>
          <w:kern w:val="0"/>
          <w:sz w:val="24"/>
          <w:szCs w:val="24"/>
          <w:u w:val="single"/>
        </w:rPr>
        <w:t xml:space="preserve">        </w:t>
      </w:r>
    </w:p>
    <w:p w14:paraId="659D8BF9">
      <w:pPr>
        <w:autoSpaceDE w:val="0"/>
        <w:autoSpaceDN w:val="0"/>
        <w:adjustRightInd w:val="0"/>
        <w:snapToGrid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成立时间：</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年</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月</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日</w:t>
      </w:r>
    </w:p>
    <w:p w14:paraId="39E0F194">
      <w:pPr>
        <w:autoSpaceDE w:val="0"/>
        <w:autoSpaceDN w:val="0"/>
        <w:adjustRightInd w:val="0"/>
        <w:snapToGrid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经营期限：</w:t>
      </w:r>
      <w:r>
        <w:rPr>
          <w:rFonts w:hint="eastAsia" w:ascii="宋体" w:hAnsi="宋体" w:cs="宋体"/>
          <w:color w:val="000000"/>
          <w:kern w:val="0"/>
          <w:sz w:val="24"/>
          <w:szCs w:val="24"/>
          <w:u w:val="single"/>
        </w:rPr>
        <w:t xml:space="preserve">      </w:t>
      </w:r>
    </w:p>
    <w:p w14:paraId="7D60BD81">
      <w:pPr>
        <w:autoSpaceDE w:val="0"/>
        <w:autoSpaceDN w:val="0"/>
        <w:adjustRightInd w:val="0"/>
        <w:snapToGrid w:val="0"/>
        <w:spacing w:line="360" w:lineRule="auto"/>
        <w:jc w:val="left"/>
        <w:rPr>
          <w:rFonts w:ascii="宋体" w:hAnsi="宋体" w:cs="宋体"/>
          <w:color w:val="000000"/>
          <w:kern w:val="0"/>
          <w:sz w:val="24"/>
          <w:szCs w:val="24"/>
          <w:u w:val="single"/>
        </w:rPr>
      </w:pPr>
      <w:r>
        <w:rPr>
          <w:rFonts w:hint="eastAsia" w:ascii="宋体" w:hAnsi="宋体" w:cs="宋体"/>
          <w:color w:val="000000"/>
          <w:kern w:val="0"/>
          <w:sz w:val="24"/>
          <w:szCs w:val="24"/>
        </w:rPr>
        <w:t>姓名：</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性别：</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年龄：</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职务： </w:t>
      </w:r>
      <w:r>
        <w:rPr>
          <w:rFonts w:hint="eastAsia" w:ascii="宋体" w:hAnsi="宋体" w:cs="宋体"/>
          <w:color w:val="000000"/>
          <w:kern w:val="0"/>
          <w:sz w:val="24"/>
          <w:szCs w:val="24"/>
          <w:u w:val="single"/>
        </w:rPr>
        <w:t xml:space="preserve">        </w:t>
      </w:r>
    </w:p>
    <w:p w14:paraId="728C6C8F">
      <w:pPr>
        <w:autoSpaceDE w:val="0"/>
        <w:autoSpaceDN w:val="0"/>
        <w:adjustRightInd w:val="0"/>
        <w:snapToGrid w:val="0"/>
        <w:spacing w:line="360" w:lineRule="auto"/>
        <w:jc w:val="left"/>
        <w:rPr>
          <w:rFonts w:ascii="宋体" w:hAnsi="宋体" w:cs="宋体"/>
          <w:color w:val="000000"/>
          <w:kern w:val="0"/>
          <w:sz w:val="24"/>
          <w:szCs w:val="24"/>
        </w:rPr>
      </w:pPr>
      <w:r>
        <w:rPr>
          <w:rFonts w:hint="eastAsia" w:ascii="宋体" w:hAnsi="宋体" w:cs="宋体"/>
          <w:color w:val="000000"/>
          <w:kern w:val="0"/>
          <w:sz w:val="24"/>
          <w:szCs w:val="24"/>
        </w:rPr>
        <w:t>系</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（供应商名称）的法定代表人。</w:t>
      </w:r>
    </w:p>
    <w:p w14:paraId="654F8388">
      <w:pPr>
        <w:autoSpaceDE w:val="0"/>
        <w:autoSpaceDN w:val="0"/>
        <w:adjustRightInd w:val="0"/>
        <w:snapToGrid w:val="0"/>
        <w:spacing w:line="360" w:lineRule="auto"/>
        <w:jc w:val="left"/>
        <w:rPr>
          <w:rFonts w:ascii="宋体" w:hAnsi="宋体" w:cs="宋体"/>
          <w:color w:val="000000"/>
          <w:kern w:val="0"/>
          <w:sz w:val="24"/>
          <w:szCs w:val="24"/>
        </w:rPr>
      </w:pPr>
    </w:p>
    <w:p w14:paraId="1A7E3BD9">
      <w:pPr>
        <w:autoSpaceDE w:val="0"/>
        <w:autoSpaceDN w:val="0"/>
        <w:adjustRightInd w:val="0"/>
        <w:snapToGri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特此证明。</w:t>
      </w:r>
    </w:p>
    <w:p w14:paraId="24AC7D37">
      <w:pPr>
        <w:autoSpaceDE w:val="0"/>
        <w:autoSpaceDN w:val="0"/>
        <w:adjustRightInd w:val="0"/>
        <w:snapToGri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附：法定代表人身份证复印件</w:t>
      </w:r>
    </w:p>
    <w:p w14:paraId="7261CD06">
      <w:pPr>
        <w:autoSpaceDE w:val="0"/>
        <w:autoSpaceDN w:val="0"/>
        <w:adjustRightInd w:val="0"/>
        <w:snapToGrid w:val="0"/>
        <w:spacing w:line="360" w:lineRule="auto"/>
        <w:ind w:firstLine="480" w:firstLineChars="200"/>
        <w:jc w:val="left"/>
        <w:rPr>
          <w:rFonts w:ascii="宋体" w:hAnsi="宋体" w:cs="宋体"/>
          <w:color w:val="000000"/>
          <w:kern w:val="0"/>
          <w:sz w:val="24"/>
          <w:szCs w:val="24"/>
        </w:rPr>
      </w:pPr>
    </w:p>
    <w:p w14:paraId="25C89C1E">
      <w:pPr>
        <w:autoSpaceDE w:val="0"/>
        <w:autoSpaceDN w:val="0"/>
        <w:adjustRightInd w:val="0"/>
        <w:snapToGrid w:val="0"/>
        <w:spacing w:line="360" w:lineRule="auto"/>
        <w:ind w:firstLine="480" w:firstLineChars="200"/>
        <w:jc w:val="left"/>
        <w:rPr>
          <w:rFonts w:ascii="宋体" w:hAnsi="宋体" w:cs="宋体"/>
          <w:color w:val="000000"/>
          <w:kern w:val="0"/>
          <w:sz w:val="24"/>
          <w:szCs w:val="24"/>
        </w:rPr>
      </w:pPr>
    </w:p>
    <w:p w14:paraId="1AC85A82">
      <w:pPr>
        <w:autoSpaceDE w:val="0"/>
        <w:autoSpaceDN w:val="0"/>
        <w:adjustRightInd w:val="0"/>
        <w:snapToGrid w:val="0"/>
        <w:spacing w:line="360" w:lineRule="auto"/>
        <w:ind w:firstLine="480" w:firstLineChars="200"/>
        <w:jc w:val="left"/>
        <w:rPr>
          <w:rFonts w:ascii="宋体" w:hAnsi="宋体" w:cs="宋体"/>
          <w:color w:val="000000"/>
          <w:kern w:val="0"/>
          <w:sz w:val="24"/>
          <w:szCs w:val="24"/>
        </w:rPr>
      </w:pPr>
    </w:p>
    <w:p w14:paraId="7CEF7264">
      <w:pPr>
        <w:autoSpaceDE w:val="0"/>
        <w:autoSpaceDN w:val="0"/>
        <w:adjustRightInd w:val="0"/>
        <w:snapToGrid w:val="0"/>
        <w:spacing w:line="360" w:lineRule="auto"/>
        <w:ind w:firstLine="480" w:firstLineChars="200"/>
        <w:jc w:val="left"/>
        <w:rPr>
          <w:rFonts w:ascii="宋体" w:hAnsi="宋体" w:cs="宋体"/>
          <w:color w:val="000000"/>
          <w:kern w:val="0"/>
          <w:sz w:val="24"/>
          <w:szCs w:val="24"/>
        </w:rPr>
      </w:pPr>
    </w:p>
    <w:p w14:paraId="3D7BEB38">
      <w:pPr>
        <w:autoSpaceDE w:val="0"/>
        <w:autoSpaceDN w:val="0"/>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 xml:space="preserve">                                         供应商：</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（全称并公章签章）</w:t>
      </w:r>
    </w:p>
    <w:p w14:paraId="79907B46">
      <w:pPr>
        <w:autoSpaceDE w:val="0"/>
        <w:autoSpaceDN w:val="0"/>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 xml:space="preserve">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年</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月</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日</w:t>
      </w:r>
    </w:p>
    <w:p w14:paraId="1705FCAF">
      <w:pPr>
        <w:autoSpaceDE w:val="0"/>
        <w:autoSpaceDN w:val="0"/>
        <w:adjustRightInd w:val="0"/>
        <w:snapToGrid w:val="0"/>
        <w:spacing w:line="360" w:lineRule="auto"/>
        <w:jc w:val="left"/>
        <w:rPr>
          <w:rFonts w:ascii="宋体" w:hAnsi="宋体" w:cs="宋体"/>
          <w:color w:val="000000"/>
          <w:kern w:val="0"/>
          <w:sz w:val="24"/>
          <w:szCs w:val="24"/>
        </w:rPr>
      </w:pPr>
    </w:p>
    <w:p w14:paraId="154D5C25">
      <w:pPr>
        <w:autoSpaceDE w:val="0"/>
        <w:autoSpaceDN w:val="0"/>
        <w:adjustRightInd w:val="0"/>
        <w:snapToGrid w:val="0"/>
        <w:spacing w:line="360" w:lineRule="auto"/>
        <w:jc w:val="left"/>
        <w:rPr>
          <w:rFonts w:ascii="宋体" w:hAnsi="宋体" w:cs="宋体"/>
          <w:color w:val="000000"/>
          <w:kern w:val="0"/>
          <w:sz w:val="24"/>
          <w:szCs w:val="24"/>
        </w:rPr>
      </w:pPr>
    </w:p>
    <w:p w14:paraId="557B17DE">
      <w:pPr>
        <w:pStyle w:val="4"/>
        <w:adjustRightInd w:val="0"/>
        <w:snapToGrid w:val="0"/>
        <w:spacing w:line="360" w:lineRule="auto"/>
        <w:rPr>
          <w:rFonts w:ascii="宋体" w:hAnsi="宋体" w:eastAsia="宋体" w:cs="宋体"/>
          <w:color w:val="000000"/>
          <w:kern w:val="0"/>
          <w:sz w:val="24"/>
          <w:szCs w:val="24"/>
        </w:rPr>
      </w:pPr>
    </w:p>
    <w:p w14:paraId="7AB61B9A">
      <w:pPr>
        <w:adjustRightInd w:val="0"/>
        <w:snapToGrid w:val="0"/>
        <w:spacing w:line="360" w:lineRule="auto"/>
        <w:rPr>
          <w:rFonts w:ascii="宋体" w:hAnsi="宋体" w:cs="宋体"/>
          <w:color w:val="000000"/>
          <w:kern w:val="0"/>
          <w:sz w:val="24"/>
          <w:szCs w:val="24"/>
        </w:rPr>
      </w:pPr>
    </w:p>
    <w:p w14:paraId="0206B9FD">
      <w:pPr>
        <w:widowControl/>
        <w:adjustRightInd w:val="0"/>
        <w:spacing w:beforeAutospacing="1" w:afterAutospacing="1" w:line="360" w:lineRule="auto"/>
        <w:jc w:val="left"/>
        <w:rPr>
          <w:rFonts w:ascii="宋体" w:hAnsi="宋体" w:cs="宋体"/>
          <w:b/>
          <w:bCs/>
          <w:color w:val="000000"/>
          <w:kern w:val="0"/>
          <w:sz w:val="24"/>
          <w:szCs w:val="24"/>
        </w:rPr>
        <w:sectPr>
          <w:headerReference r:id="rId5" w:type="default"/>
          <w:footerReference r:id="rId6" w:type="default"/>
          <w:pgSz w:w="11906" w:h="16838"/>
          <w:pgMar w:top="1587" w:right="1588" w:bottom="1587" w:left="1588" w:header="720" w:footer="720" w:gutter="0"/>
          <w:pgNumType w:fmt="decimal" w:start="31"/>
          <w:cols w:space="720" w:num="1"/>
          <w:docGrid w:type="lines" w:linePitch="312" w:charSpace="0"/>
        </w:sectPr>
      </w:pPr>
      <w:bookmarkStart w:id="381" w:name="_Toc18640"/>
      <w:bookmarkEnd w:id="381"/>
      <w:bookmarkStart w:id="382" w:name="_Toc2176"/>
      <w:bookmarkEnd w:id="382"/>
      <w:bookmarkStart w:id="383" w:name="_Toc573"/>
      <w:bookmarkEnd w:id="383"/>
    </w:p>
    <w:p w14:paraId="2562877A">
      <w:pPr>
        <w:pStyle w:val="5"/>
        <w:adjustRightInd w:val="0"/>
        <w:snapToGrid w:val="0"/>
        <w:spacing w:line="360" w:lineRule="auto"/>
        <w:jc w:val="center"/>
        <w:rPr>
          <w:rFonts w:ascii="宋体" w:hAnsi="宋体" w:eastAsia="宋体" w:cs="宋体"/>
          <w:color w:val="000000"/>
          <w:kern w:val="0"/>
          <w:sz w:val="24"/>
          <w:szCs w:val="24"/>
        </w:rPr>
      </w:pPr>
      <w:bookmarkStart w:id="384" w:name="_Toc30587"/>
      <w:bookmarkEnd w:id="384"/>
      <w:bookmarkStart w:id="385" w:name="_Toc19058"/>
      <w:bookmarkEnd w:id="385"/>
      <w:bookmarkStart w:id="386" w:name="_Toc13259"/>
      <w:bookmarkEnd w:id="386"/>
      <w:bookmarkStart w:id="387" w:name="_Toc2162"/>
      <w:bookmarkEnd w:id="387"/>
      <w:bookmarkStart w:id="388" w:name="_Toc27495"/>
      <w:bookmarkStart w:id="389" w:name="_Toc488052464"/>
      <w:bookmarkStart w:id="390" w:name="_Toc9141"/>
      <w:bookmarkStart w:id="391" w:name="_Toc6232"/>
      <w:bookmarkStart w:id="392" w:name="_Toc27290"/>
      <w:r>
        <w:rPr>
          <w:rFonts w:hint="eastAsia" w:ascii="宋体" w:hAnsi="宋体" w:eastAsia="宋体" w:cs="宋体"/>
          <w:color w:val="000000"/>
          <w:kern w:val="0"/>
          <w:sz w:val="24"/>
          <w:szCs w:val="24"/>
        </w:rPr>
        <w:t>2、授权委托书</w:t>
      </w:r>
      <w:bookmarkEnd w:id="388"/>
      <w:bookmarkEnd w:id="389"/>
      <w:bookmarkEnd w:id="390"/>
      <w:bookmarkEnd w:id="391"/>
      <w:bookmarkEnd w:id="392"/>
    </w:p>
    <w:p w14:paraId="002DBD8B">
      <w:pPr>
        <w:autoSpaceDE w:val="0"/>
        <w:autoSpaceDN w:val="0"/>
        <w:adjustRightInd w:val="0"/>
        <w:snapToGrid w:val="0"/>
        <w:spacing w:line="360" w:lineRule="auto"/>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rPr>
        <w:t>本人</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系</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的法人代表人，兹授权</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为我方全权代表，代表我参与</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项目投标活动。代理人在开标、评标、合同磋商过程中所签署的一切文件和处理与之有关的一切事宜。</w:t>
      </w:r>
    </w:p>
    <w:p w14:paraId="1BBC6230">
      <w:pPr>
        <w:autoSpaceDE w:val="0"/>
        <w:autoSpaceDN w:val="0"/>
        <w:adjustRightInd w:val="0"/>
        <w:snapToGrid w:val="0"/>
        <w:spacing w:line="360" w:lineRule="auto"/>
        <w:ind w:firstLine="480" w:firstLineChars="200"/>
        <w:jc w:val="left"/>
        <w:rPr>
          <w:rFonts w:ascii="宋体" w:hAnsi="宋体" w:cs="宋体"/>
          <w:color w:val="000000"/>
          <w:sz w:val="24"/>
          <w:szCs w:val="24"/>
        </w:rPr>
      </w:pPr>
      <w:r>
        <w:rPr>
          <w:rFonts w:hint="eastAsia" w:ascii="宋体" w:hAnsi="宋体" w:cs="宋体"/>
          <w:color w:val="000000"/>
          <w:kern w:val="0"/>
          <w:sz w:val="24"/>
          <w:szCs w:val="24"/>
        </w:rPr>
        <w:t>有效期限：</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w:t>
      </w:r>
    </w:p>
    <w:p w14:paraId="7D6F623F">
      <w:pPr>
        <w:adjustRightInd w:val="0"/>
        <w:snapToGrid w:val="0"/>
        <w:spacing w:line="360" w:lineRule="auto"/>
        <w:jc w:val="left"/>
        <w:rPr>
          <w:rFonts w:ascii="宋体" w:hAnsi="宋体" w:cs="宋体"/>
          <w:color w:val="000000"/>
          <w:sz w:val="24"/>
          <w:szCs w:val="24"/>
        </w:rPr>
      </w:pPr>
      <w:r>
        <w:rPr>
          <w:rFonts w:hint="eastAsia" w:ascii="宋体" w:hAnsi="宋体" w:cs="宋体"/>
          <w:color w:val="000000"/>
          <w:kern w:val="0"/>
          <w:sz w:val="24"/>
          <w:szCs w:val="24"/>
        </w:rPr>
        <w:t xml:space="preserve">    代理人无权转让委托书，特此委托。</w:t>
      </w:r>
    </w:p>
    <w:p w14:paraId="61D01A8D">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color w:val="000000"/>
          <w:kern w:val="0"/>
          <w:sz w:val="24"/>
          <w:szCs w:val="24"/>
        </w:rPr>
        <w:t>附：</w:t>
      </w:r>
      <w:r>
        <w:rPr>
          <w:rFonts w:hint="eastAsia" w:ascii="宋体" w:hAnsi="宋体" w:cs="宋体"/>
          <w:kern w:val="0"/>
          <w:sz w:val="24"/>
          <w:szCs w:val="24"/>
        </w:rPr>
        <w:t>委托代理人身份证复印件、社保证明复印件。</w:t>
      </w:r>
    </w:p>
    <w:p w14:paraId="54C9750D">
      <w:pPr>
        <w:adjustRightInd w:val="0"/>
        <w:snapToGrid w:val="0"/>
        <w:spacing w:line="360" w:lineRule="auto"/>
        <w:jc w:val="left"/>
        <w:rPr>
          <w:rFonts w:ascii="宋体" w:hAnsi="宋体" w:cs="宋体"/>
          <w:color w:val="000000"/>
          <w:sz w:val="24"/>
          <w:szCs w:val="24"/>
        </w:rPr>
      </w:pPr>
    </w:p>
    <w:p w14:paraId="06752CC8">
      <w:pPr>
        <w:adjustRightInd w:val="0"/>
        <w:snapToGrid w:val="0"/>
        <w:spacing w:line="360" w:lineRule="auto"/>
        <w:jc w:val="left"/>
        <w:rPr>
          <w:rFonts w:ascii="宋体" w:hAnsi="宋体" w:cs="宋体"/>
          <w:color w:val="000000"/>
          <w:sz w:val="24"/>
          <w:szCs w:val="24"/>
        </w:rPr>
      </w:pPr>
    </w:p>
    <w:p w14:paraId="7B0C9B1D">
      <w:pPr>
        <w:adjustRightInd w:val="0"/>
        <w:snapToGrid w:val="0"/>
        <w:spacing w:line="360" w:lineRule="auto"/>
        <w:jc w:val="left"/>
        <w:rPr>
          <w:rFonts w:ascii="宋体" w:hAnsi="宋体" w:cs="宋体"/>
          <w:color w:val="000000"/>
          <w:sz w:val="24"/>
          <w:szCs w:val="24"/>
        </w:rPr>
      </w:pPr>
    </w:p>
    <w:p w14:paraId="2115ED61">
      <w:pPr>
        <w:adjustRightInd w:val="0"/>
        <w:snapToGrid w:val="0"/>
        <w:spacing w:line="360" w:lineRule="auto"/>
        <w:jc w:val="left"/>
        <w:rPr>
          <w:rFonts w:ascii="宋体" w:hAnsi="宋体" w:cs="宋体"/>
          <w:color w:val="000000"/>
          <w:sz w:val="24"/>
          <w:szCs w:val="24"/>
        </w:rPr>
      </w:pPr>
    </w:p>
    <w:p w14:paraId="15E401B2">
      <w:pPr>
        <w:adjustRightInd w:val="0"/>
        <w:snapToGrid w:val="0"/>
        <w:spacing w:line="360" w:lineRule="auto"/>
        <w:jc w:val="left"/>
        <w:rPr>
          <w:rFonts w:ascii="宋体" w:hAnsi="宋体" w:cs="宋体"/>
          <w:color w:val="000000"/>
          <w:sz w:val="24"/>
          <w:szCs w:val="24"/>
        </w:rPr>
      </w:pPr>
    </w:p>
    <w:p w14:paraId="0FF87328">
      <w:pPr>
        <w:adjustRightInd w:val="0"/>
        <w:snapToGrid w:val="0"/>
        <w:spacing w:line="360" w:lineRule="auto"/>
        <w:jc w:val="left"/>
        <w:rPr>
          <w:rFonts w:ascii="宋体" w:hAnsi="宋体" w:cs="宋体"/>
          <w:color w:val="000000"/>
          <w:sz w:val="24"/>
          <w:szCs w:val="24"/>
        </w:rPr>
      </w:pPr>
    </w:p>
    <w:p w14:paraId="4410F395">
      <w:pPr>
        <w:spacing w:line="500" w:lineRule="exact"/>
        <w:rPr>
          <w:rFonts w:ascii="宋体" w:hAnsi="宋体" w:cs="宋体"/>
          <w:sz w:val="24"/>
          <w:szCs w:val="24"/>
        </w:rPr>
      </w:pPr>
      <w:r>
        <w:rPr>
          <w:rFonts w:hint="eastAsia" w:ascii="宋体" w:hAnsi="宋体" w:cs="宋体"/>
          <w:color w:val="000000"/>
          <w:kern w:val="0"/>
          <w:sz w:val="24"/>
          <w:szCs w:val="24"/>
        </w:rPr>
        <w:t xml:space="preserve">                       </w:t>
      </w:r>
      <w:r>
        <w:rPr>
          <w:rFonts w:hint="eastAsia" w:ascii="宋体" w:hAnsi="宋体" w:cs="宋体"/>
          <w:sz w:val="24"/>
          <w:szCs w:val="24"/>
        </w:rPr>
        <w:t>供应商：</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color w:val="000000"/>
          <w:kern w:val="0"/>
          <w:sz w:val="24"/>
          <w:szCs w:val="24"/>
        </w:rPr>
        <w:t>全称并公章签章</w:t>
      </w:r>
      <w:r>
        <w:rPr>
          <w:rFonts w:hint="eastAsia" w:ascii="宋体" w:hAnsi="宋体" w:cs="宋体"/>
          <w:sz w:val="24"/>
          <w:szCs w:val="24"/>
        </w:rPr>
        <w:t>）</w:t>
      </w:r>
    </w:p>
    <w:p w14:paraId="7778E308">
      <w:pPr>
        <w:spacing w:line="500" w:lineRule="exact"/>
        <w:rPr>
          <w:rFonts w:ascii="宋体" w:hAnsi="宋体" w:cs="宋体"/>
          <w:sz w:val="24"/>
          <w:szCs w:val="24"/>
        </w:rPr>
      </w:pPr>
      <w:r>
        <w:rPr>
          <w:rFonts w:hint="eastAsia" w:ascii="宋体" w:hAnsi="宋体" w:cs="宋体"/>
          <w:sz w:val="24"/>
          <w:szCs w:val="24"/>
        </w:rPr>
        <w:t xml:space="preserve">                       法定代表人：</w:t>
      </w:r>
      <w:r>
        <w:rPr>
          <w:rFonts w:hint="eastAsia" w:ascii="宋体" w:hAnsi="宋体" w:cs="宋体"/>
          <w:sz w:val="24"/>
          <w:szCs w:val="24"/>
          <w:u w:val="single"/>
        </w:rPr>
        <w:t xml:space="preserve">                    </w:t>
      </w:r>
      <w:r>
        <w:rPr>
          <w:rFonts w:hint="eastAsia" w:ascii="宋体" w:hAnsi="宋体" w:cs="宋体"/>
          <w:sz w:val="24"/>
          <w:szCs w:val="24"/>
        </w:rPr>
        <w:t>（</w:t>
      </w:r>
      <w:r>
        <w:rPr>
          <w:rFonts w:hint="eastAsia" w:ascii="宋体" w:hAnsi="宋体" w:cs="宋体"/>
          <w:kern w:val="0"/>
          <w:sz w:val="24"/>
          <w:szCs w:val="24"/>
        </w:rPr>
        <w:t>电子签章</w:t>
      </w:r>
      <w:r>
        <w:rPr>
          <w:rFonts w:hint="eastAsia" w:ascii="宋体" w:hAnsi="宋体" w:cs="宋体"/>
          <w:sz w:val="24"/>
          <w:szCs w:val="24"/>
        </w:rPr>
        <w:t>）</w:t>
      </w:r>
    </w:p>
    <w:p w14:paraId="1F068A99">
      <w:pPr>
        <w:spacing w:line="500" w:lineRule="exact"/>
        <w:rPr>
          <w:rFonts w:ascii="宋体" w:hAnsi="宋体" w:cs="宋体"/>
          <w:sz w:val="24"/>
          <w:szCs w:val="24"/>
        </w:rPr>
      </w:pPr>
      <w:r>
        <w:rPr>
          <w:rFonts w:hint="eastAsia" w:ascii="宋体" w:hAnsi="宋体" w:cs="宋体"/>
          <w:sz w:val="24"/>
          <w:szCs w:val="24"/>
        </w:rPr>
        <w:t xml:space="preserve">                       身份证号码：</w:t>
      </w:r>
      <w:r>
        <w:rPr>
          <w:rFonts w:hint="eastAsia" w:ascii="宋体" w:hAnsi="宋体" w:cs="宋体"/>
          <w:sz w:val="24"/>
          <w:szCs w:val="24"/>
          <w:u w:val="single"/>
        </w:rPr>
        <w:t xml:space="preserve">                       </w:t>
      </w:r>
    </w:p>
    <w:p w14:paraId="2A993BEA">
      <w:pPr>
        <w:spacing w:line="500" w:lineRule="exact"/>
        <w:rPr>
          <w:rFonts w:ascii="宋体" w:hAnsi="宋体" w:cs="宋体"/>
          <w:sz w:val="24"/>
          <w:szCs w:val="24"/>
        </w:rPr>
      </w:pPr>
      <w:r>
        <w:rPr>
          <w:rFonts w:hint="eastAsia" w:ascii="宋体" w:hAnsi="宋体" w:cs="宋体"/>
          <w:sz w:val="24"/>
          <w:szCs w:val="24"/>
        </w:rPr>
        <w:t xml:space="preserve">                       委托代理人：</w:t>
      </w:r>
      <w:r>
        <w:rPr>
          <w:rFonts w:hint="eastAsia" w:ascii="宋体" w:hAnsi="宋体" w:cs="宋体"/>
          <w:sz w:val="24"/>
          <w:szCs w:val="24"/>
          <w:u w:val="single"/>
        </w:rPr>
        <w:t xml:space="preserve">                    </w:t>
      </w:r>
      <w:r>
        <w:rPr>
          <w:rFonts w:hint="eastAsia" w:ascii="宋体" w:hAnsi="宋体" w:cs="宋体"/>
          <w:sz w:val="24"/>
          <w:szCs w:val="24"/>
        </w:rPr>
        <w:t>（电子签章）</w:t>
      </w:r>
    </w:p>
    <w:p w14:paraId="7FF3E6E9">
      <w:pPr>
        <w:spacing w:line="500" w:lineRule="exact"/>
        <w:rPr>
          <w:rFonts w:ascii="宋体" w:hAnsi="宋体" w:cs="宋体"/>
          <w:sz w:val="24"/>
          <w:szCs w:val="24"/>
        </w:rPr>
      </w:pPr>
      <w:r>
        <w:rPr>
          <w:rFonts w:hint="eastAsia" w:ascii="宋体" w:hAnsi="宋体" w:cs="宋体"/>
          <w:sz w:val="24"/>
          <w:szCs w:val="24"/>
        </w:rPr>
        <w:t xml:space="preserve">                       身份证号码：</w:t>
      </w:r>
      <w:r>
        <w:rPr>
          <w:rFonts w:hint="eastAsia" w:ascii="宋体" w:hAnsi="宋体" w:cs="宋体"/>
          <w:sz w:val="24"/>
          <w:szCs w:val="24"/>
          <w:u w:val="single"/>
        </w:rPr>
        <w:t xml:space="preserve">                      </w:t>
      </w:r>
    </w:p>
    <w:p w14:paraId="54F2519F">
      <w:pPr>
        <w:spacing w:line="500" w:lineRule="exact"/>
        <w:rPr>
          <w:rFonts w:ascii="宋体" w:hAnsi="宋体" w:cs="宋体"/>
          <w:sz w:val="24"/>
          <w:szCs w:val="24"/>
        </w:rPr>
      </w:pPr>
    </w:p>
    <w:p w14:paraId="547AD06B">
      <w:pPr>
        <w:autoSpaceDE w:val="0"/>
        <w:autoSpaceDN w:val="0"/>
        <w:adjustRightInd w:val="0"/>
        <w:snapToGrid w:val="0"/>
        <w:spacing w:line="360" w:lineRule="auto"/>
        <w:jc w:val="center"/>
        <w:rPr>
          <w:rFonts w:ascii="宋体" w:hAnsi="宋体" w:cs="宋体"/>
          <w:color w:val="000000"/>
          <w:kern w:val="0"/>
          <w:sz w:val="24"/>
          <w:szCs w:val="24"/>
        </w:rPr>
      </w:pPr>
      <w:r>
        <w:rPr>
          <w:rFonts w:hint="eastAsia" w:ascii="宋体" w:hAnsi="宋体" w:cs="宋体"/>
          <w:color w:val="000000"/>
          <w:kern w:val="0"/>
          <w:sz w:val="24"/>
          <w:szCs w:val="24"/>
        </w:rPr>
        <w:t xml:space="preserve"> </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年</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月</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日</w:t>
      </w:r>
    </w:p>
    <w:p w14:paraId="4F80B032">
      <w:pPr>
        <w:autoSpaceDE w:val="0"/>
        <w:autoSpaceDN w:val="0"/>
        <w:adjustRightInd w:val="0"/>
        <w:snapToGrid w:val="0"/>
        <w:spacing w:line="360" w:lineRule="auto"/>
        <w:ind w:right="315"/>
        <w:jc w:val="center"/>
        <w:textAlignment w:val="baseline"/>
        <w:rPr>
          <w:rFonts w:ascii="宋体" w:hAnsi="宋体" w:cs="宋体"/>
          <w:color w:val="000000"/>
          <w:kern w:val="0"/>
          <w:sz w:val="24"/>
          <w:szCs w:val="24"/>
        </w:rPr>
      </w:pPr>
    </w:p>
    <w:p w14:paraId="4B6C8AD0">
      <w:pPr>
        <w:autoSpaceDE w:val="0"/>
        <w:autoSpaceDN w:val="0"/>
        <w:adjustRightInd w:val="0"/>
        <w:snapToGrid w:val="0"/>
        <w:spacing w:line="360" w:lineRule="auto"/>
        <w:jc w:val="left"/>
        <w:textAlignment w:val="baseline"/>
        <w:rPr>
          <w:rFonts w:ascii="宋体" w:hAnsi="宋体" w:cs="宋体"/>
          <w:color w:val="000000"/>
          <w:kern w:val="0"/>
          <w:sz w:val="24"/>
          <w:szCs w:val="24"/>
        </w:rPr>
      </w:pPr>
    </w:p>
    <w:p w14:paraId="5707202D">
      <w:pPr>
        <w:autoSpaceDE w:val="0"/>
        <w:autoSpaceDN w:val="0"/>
        <w:adjustRightInd w:val="0"/>
        <w:snapToGrid w:val="0"/>
        <w:spacing w:line="360" w:lineRule="auto"/>
        <w:jc w:val="left"/>
        <w:textAlignment w:val="baseline"/>
        <w:rPr>
          <w:rFonts w:ascii="宋体" w:hAnsi="宋体" w:cs="宋体"/>
          <w:color w:val="000000"/>
          <w:kern w:val="0"/>
          <w:sz w:val="24"/>
          <w:szCs w:val="24"/>
        </w:rPr>
      </w:pPr>
    </w:p>
    <w:p w14:paraId="2E1491E2">
      <w:pPr>
        <w:autoSpaceDE w:val="0"/>
        <w:autoSpaceDN w:val="0"/>
        <w:adjustRightInd w:val="0"/>
        <w:snapToGrid w:val="0"/>
        <w:spacing w:line="360" w:lineRule="auto"/>
        <w:jc w:val="center"/>
        <w:textAlignment w:val="baseline"/>
        <w:rPr>
          <w:rFonts w:ascii="宋体" w:hAnsi="宋体" w:cs="宋体"/>
          <w:color w:val="000000"/>
          <w:sz w:val="24"/>
          <w:szCs w:val="24"/>
        </w:rPr>
      </w:pPr>
    </w:p>
    <w:p w14:paraId="0489533B">
      <w:pPr>
        <w:adjustRightInd w:val="0"/>
        <w:snapToGrid w:val="0"/>
        <w:spacing w:line="360" w:lineRule="auto"/>
        <w:rPr>
          <w:rFonts w:ascii="宋体" w:hAnsi="宋体" w:cs="宋体"/>
          <w:color w:val="000000"/>
          <w:sz w:val="24"/>
          <w:szCs w:val="24"/>
        </w:rPr>
      </w:pPr>
      <w:bookmarkStart w:id="393" w:name="_Toc30081"/>
      <w:bookmarkEnd w:id="393"/>
      <w:bookmarkStart w:id="394" w:name="_Toc8511"/>
      <w:bookmarkEnd w:id="394"/>
      <w:bookmarkStart w:id="395" w:name="_Toc32215"/>
      <w:bookmarkEnd w:id="395"/>
      <w:bookmarkStart w:id="396" w:name="_Toc277672342"/>
      <w:bookmarkEnd w:id="396"/>
      <w:bookmarkStart w:id="397" w:name="_Toc12074"/>
      <w:bookmarkEnd w:id="397"/>
      <w:bookmarkStart w:id="398" w:name="_Toc24279"/>
      <w:bookmarkEnd w:id="398"/>
      <w:bookmarkStart w:id="399" w:name="_Toc10662"/>
      <w:bookmarkEnd w:id="399"/>
      <w:bookmarkStart w:id="400" w:name="_Toc27204"/>
      <w:bookmarkEnd w:id="400"/>
    </w:p>
    <w:p w14:paraId="5FB1FE36">
      <w:pPr>
        <w:widowControl/>
        <w:adjustRightInd w:val="0"/>
        <w:spacing w:beforeAutospacing="1" w:afterAutospacing="1" w:line="360" w:lineRule="auto"/>
        <w:jc w:val="left"/>
        <w:rPr>
          <w:rFonts w:ascii="宋体" w:hAnsi="宋体" w:cs="宋体"/>
          <w:b/>
          <w:bCs/>
          <w:color w:val="000000"/>
          <w:spacing w:val="85"/>
          <w:kern w:val="0"/>
          <w:sz w:val="24"/>
          <w:szCs w:val="24"/>
        </w:rPr>
        <w:sectPr>
          <w:pgSz w:w="11906" w:h="16838"/>
          <w:pgMar w:top="1440" w:right="1800" w:bottom="1440" w:left="1800" w:header="720" w:footer="720" w:gutter="0"/>
          <w:pgNumType w:fmt="decimal"/>
          <w:cols w:space="720" w:num="1"/>
          <w:docGrid w:type="lines" w:linePitch="312" w:charSpace="0"/>
        </w:sectPr>
      </w:pPr>
    </w:p>
    <w:p w14:paraId="5CB59465">
      <w:pPr>
        <w:widowControl/>
        <w:shd w:val="clear" w:color="auto" w:fill="FFFFFF"/>
        <w:spacing w:line="311" w:lineRule="atLeast"/>
        <w:jc w:val="left"/>
        <w:outlineLvl w:val="1"/>
        <w:rPr>
          <w:rFonts w:ascii="宋体" w:hAnsi="宋体" w:cs="宋体"/>
          <w:b/>
          <w:bCs/>
          <w:sz w:val="24"/>
          <w:szCs w:val="24"/>
        </w:rPr>
      </w:pPr>
      <w:bookmarkStart w:id="401" w:name="_Toc28280"/>
      <w:bookmarkEnd w:id="401"/>
      <w:bookmarkStart w:id="402" w:name="_Toc20295"/>
      <w:bookmarkEnd w:id="402"/>
      <w:bookmarkStart w:id="403" w:name="_Toc14434"/>
      <w:bookmarkEnd w:id="403"/>
      <w:bookmarkStart w:id="404" w:name="_Toc12096"/>
      <w:bookmarkStart w:id="405" w:name="_Toc488052465"/>
      <w:bookmarkStart w:id="406" w:name="_Toc12430"/>
      <w:bookmarkStart w:id="407" w:name="_Toc24148"/>
      <w:r>
        <w:rPr>
          <w:rFonts w:hint="eastAsia" w:ascii="宋体" w:hAnsi="宋体" w:cs="宋体"/>
          <w:bCs/>
          <w:color w:val="000000"/>
          <w:kern w:val="0"/>
          <w:sz w:val="24"/>
          <w:szCs w:val="24"/>
        </w:rPr>
        <w:t>三、</w:t>
      </w:r>
      <w:bookmarkEnd w:id="404"/>
      <w:bookmarkEnd w:id="405"/>
      <w:bookmarkStart w:id="408" w:name="_Toc452907952"/>
      <w:r>
        <w:rPr>
          <w:rFonts w:hint="eastAsia" w:ascii="宋体" w:hAnsi="宋体" w:cs="宋体"/>
          <w:b/>
          <w:bCs/>
          <w:sz w:val="24"/>
          <w:szCs w:val="24"/>
        </w:rPr>
        <w:t>投标人承诺书</w:t>
      </w:r>
      <w:bookmarkEnd w:id="406"/>
      <w:bookmarkEnd w:id="407"/>
      <w:bookmarkEnd w:id="408"/>
    </w:p>
    <w:p w14:paraId="2EC178DF">
      <w:pPr>
        <w:spacing w:line="360" w:lineRule="auto"/>
        <w:rPr>
          <w:rFonts w:ascii="宋体" w:hAnsi="宋体" w:cs="宋体"/>
          <w:sz w:val="24"/>
          <w:szCs w:val="24"/>
        </w:rPr>
      </w:pPr>
    </w:p>
    <w:p w14:paraId="201455BC">
      <w:pPr>
        <w:spacing w:line="480" w:lineRule="exact"/>
        <w:rPr>
          <w:rFonts w:ascii="宋体" w:hAnsi="宋体" w:cs="宋体"/>
          <w:sz w:val="24"/>
          <w:szCs w:val="24"/>
        </w:rPr>
      </w:pPr>
      <w:r>
        <w:rPr>
          <w:rFonts w:hint="eastAsia" w:ascii="宋体" w:hAnsi="宋体" w:cs="宋体"/>
          <w:sz w:val="24"/>
          <w:szCs w:val="24"/>
        </w:rPr>
        <w:t>致：（招标人名称）</w:t>
      </w:r>
    </w:p>
    <w:p w14:paraId="64A44077">
      <w:pPr>
        <w:spacing w:line="480" w:lineRule="exact"/>
        <w:rPr>
          <w:rFonts w:ascii="宋体" w:hAnsi="宋体" w:cs="宋体"/>
          <w:sz w:val="24"/>
          <w:szCs w:val="24"/>
        </w:rPr>
      </w:pPr>
      <w:r>
        <w:rPr>
          <w:rFonts w:hint="eastAsia" w:ascii="宋体" w:hAnsi="宋体" w:cs="宋体"/>
          <w:sz w:val="24"/>
          <w:szCs w:val="24"/>
        </w:rPr>
        <w:t xml:space="preserve">    我单位真诚的参加项目投标。如有幸中标，我单位将组织思想正派、作风顽强、职业道德良好、技术素质过硬、能够吃苦耐劳、善于打硬仗的项目人员完成任务，我单位谨此郑重承诺：</w:t>
      </w:r>
    </w:p>
    <w:p w14:paraId="1804596C">
      <w:pPr>
        <w:spacing w:line="480" w:lineRule="exact"/>
        <w:rPr>
          <w:rFonts w:ascii="宋体" w:hAnsi="宋体" w:cs="宋体"/>
          <w:sz w:val="24"/>
          <w:szCs w:val="24"/>
        </w:rPr>
      </w:pPr>
      <w:r>
        <w:rPr>
          <w:rFonts w:hint="eastAsia" w:ascii="宋体" w:hAnsi="宋体" w:cs="宋体"/>
          <w:sz w:val="24"/>
          <w:szCs w:val="24"/>
        </w:rPr>
        <w:t>1、在合同执行期间，发包人有权对项目组中不称职的人员提出更换，对此，我单位完全理解并会及时对项目组进行调整，同时报发包人审核备案。</w:t>
      </w:r>
    </w:p>
    <w:p w14:paraId="4AA17E6B">
      <w:pPr>
        <w:spacing w:line="480" w:lineRule="exact"/>
        <w:rPr>
          <w:rFonts w:ascii="宋体" w:hAnsi="宋体" w:cs="宋体"/>
          <w:sz w:val="24"/>
          <w:szCs w:val="24"/>
        </w:rPr>
      </w:pPr>
      <w:r>
        <w:rPr>
          <w:rFonts w:hint="eastAsia" w:ascii="宋体" w:hAnsi="宋体" w:cs="宋体"/>
          <w:sz w:val="24"/>
          <w:szCs w:val="24"/>
        </w:rPr>
        <w:t>2、在本投标文件中明确的项目负责人及项目组其他人员均能到位，若本投标文件中明确的项目组人员不能满足项目需要，我单位将根据实际需要进行充实和补充，同时报发包人审核备案。</w:t>
      </w:r>
    </w:p>
    <w:p w14:paraId="35CC6FD0">
      <w:pPr>
        <w:spacing w:line="480" w:lineRule="exact"/>
        <w:rPr>
          <w:rFonts w:ascii="宋体" w:hAnsi="宋体" w:cs="宋体"/>
          <w:sz w:val="24"/>
          <w:szCs w:val="24"/>
        </w:rPr>
      </w:pPr>
      <w:r>
        <w:rPr>
          <w:rFonts w:hint="eastAsia" w:ascii="宋体" w:hAnsi="宋体" w:cs="宋体"/>
          <w:sz w:val="24"/>
          <w:szCs w:val="24"/>
        </w:rPr>
        <w:t>3、我单位承诺，本投标文件中项目组成员及项目负责人，均属我单位建制内的正式职工，保证能够在中标后投入本项目工作。</w:t>
      </w:r>
    </w:p>
    <w:p w14:paraId="082396FA">
      <w:pPr>
        <w:spacing w:line="480" w:lineRule="exact"/>
        <w:rPr>
          <w:rFonts w:ascii="宋体" w:hAnsi="宋体" w:cs="宋体"/>
          <w:sz w:val="24"/>
          <w:szCs w:val="24"/>
        </w:rPr>
      </w:pPr>
      <w:r>
        <w:rPr>
          <w:rFonts w:hint="eastAsia" w:ascii="宋体" w:hAnsi="宋体" w:cs="宋体"/>
          <w:sz w:val="24"/>
          <w:szCs w:val="24"/>
        </w:rPr>
        <w:t>4、项目组成员若为挂靠我单位的、临时投标拼凑的、中标后不能投入工作的（特殊原因除外）、实施阶段具体人员和投标文件中项目组人员不符的，一经发现并经查实后，发包人有权作出任何处理或处罚决定，我单位保证认真执行。</w:t>
      </w:r>
    </w:p>
    <w:p w14:paraId="562E5A4F">
      <w:pPr>
        <w:spacing w:line="360" w:lineRule="auto"/>
        <w:rPr>
          <w:rFonts w:ascii="宋体" w:hAnsi="宋体" w:cs="宋体"/>
          <w:sz w:val="24"/>
          <w:szCs w:val="24"/>
        </w:rPr>
      </w:pPr>
    </w:p>
    <w:p w14:paraId="1C42F139">
      <w:pPr>
        <w:spacing w:line="360" w:lineRule="auto"/>
        <w:rPr>
          <w:rFonts w:ascii="宋体" w:hAnsi="宋体" w:cs="宋体"/>
          <w:sz w:val="24"/>
          <w:szCs w:val="24"/>
        </w:rPr>
      </w:pPr>
      <w:r>
        <w:rPr>
          <w:rFonts w:hint="eastAsia" w:ascii="宋体" w:hAnsi="宋体" w:cs="宋体"/>
          <w:sz w:val="24"/>
          <w:szCs w:val="24"/>
        </w:rPr>
        <w:t>供应商：（全称并公章签章）</w:t>
      </w:r>
    </w:p>
    <w:p w14:paraId="40E697A9">
      <w:pPr>
        <w:spacing w:line="360" w:lineRule="auto"/>
        <w:rPr>
          <w:rFonts w:ascii="宋体" w:hAnsi="宋体" w:cs="宋体"/>
          <w:sz w:val="24"/>
          <w:szCs w:val="24"/>
        </w:rPr>
      </w:pPr>
      <w:r>
        <w:rPr>
          <w:rFonts w:hint="eastAsia" w:ascii="宋体" w:hAnsi="宋体" w:cs="宋体"/>
          <w:sz w:val="24"/>
          <w:szCs w:val="24"/>
        </w:rPr>
        <w:t>法定代表人：（电子签章）</w:t>
      </w:r>
    </w:p>
    <w:p w14:paraId="1E3FA99D">
      <w:pPr>
        <w:spacing w:line="360" w:lineRule="auto"/>
        <w:rPr>
          <w:rFonts w:ascii="宋体" w:hAnsi="宋体" w:cs="宋体"/>
          <w:sz w:val="24"/>
          <w:szCs w:val="24"/>
        </w:rPr>
      </w:pPr>
      <w:r>
        <w:rPr>
          <w:rFonts w:hint="eastAsia" w:ascii="宋体" w:hAnsi="宋体" w:cs="宋体"/>
          <w:sz w:val="24"/>
          <w:szCs w:val="24"/>
        </w:rPr>
        <w:t>年   月   日</w:t>
      </w:r>
    </w:p>
    <w:p w14:paraId="2258D4E6">
      <w:pPr>
        <w:widowControl/>
        <w:shd w:val="clear" w:color="auto" w:fill="FFFFFF"/>
        <w:rPr>
          <w:rFonts w:ascii="宋体" w:hAnsi="宋体" w:cs="宋体"/>
          <w:color w:val="333333"/>
          <w:spacing w:val="6"/>
          <w:kern w:val="0"/>
          <w:sz w:val="24"/>
          <w:szCs w:val="24"/>
        </w:rPr>
      </w:pPr>
    </w:p>
    <w:p w14:paraId="29390408">
      <w:pPr>
        <w:adjustRightInd w:val="0"/>
        <w:snapToGrid w:val="0"/>
        <w:spacing w:line="360" w:lineRule="auto"/>
        <w:rPr>
          <w:rFonts w:ascii="宋体" w:hAnsi="宋体" w:cs="宋体"/>
          <w:color w:val="000000"/>
          <w:kern w:val="0"/>
          <w:sz w:val="24"/>
          <w:szCs w:val="24"/>
        </w:rPr>
      </w:pPr>
    </w:p>
    <w:p w14:paraId="04DF61AD">
      <w:pPr>
        <w:adjustRightInd w:val="0"/>
        <w:snapToGrid w:val="0"/>
        <w:spacing w:line="360" w:lineRule="auto"/>
        <w:rPr>
          <w:rFonts w:ascii="宋体" w:hAnsi="宋体" w:cs="宋体"/>
          <w:color w:val="000000"/>
          <w:kern w:val="0"/>
          <w:sz w:val="24"/>
          <w:szCs w:val="24"/>
        </w:rPr>
      </w:pPr>
    </w:p>
    <w:p w14:paraId="07F1886A">
      <w:pPr>
        <w:adjustRightInd w:val="0"/>
        <w:snapToGrid w:val="0"/>
        <w:spacing w:line="360" w:lineRule="auto"/>
        <w:rPr>
          <w:rFonts w:ascii="宋体" w:hAnsi="宋体" w:cs="宋体"/>
          <w:color w:val="000000"/>
          <w:kern w:val="0"/>
          <w:sz w:val="24"/>
          <w:szCs w:val="24"/>
        </w:rPr>
      </w:pPr>
    </w:p>
    <w:p w14:paraId="1F8465ED">
      <w:pPr>
        <w:spacing w:line="480" w:lineRule="auto"/>
        <w:rPr>
          <w:rFonts w:ascii="宋体" w:hAnsi="宋体" w:cs="宋体"/>
          <w:color w:val="000000"/>
          <w:kern w:val="0"/>
          <w:sz w:val="24"/>
          <w:szCs w:val="24"/>
        </w:rPr>
      </w:pPr>
      <w:bookmarkStart w:id="409" w:name="_Toc30105"/>
    </w:p>
    <w:p w14:paraId="58E46639">
      <w:pPr>
        <w:spacing w:line="480" w:lineRule="auto"/>
        <w:jc w:val="left"/>
        <w:rPr>
          <w:rFonts w:ascii="宋体" w:hAnsi="宋体" w:cs="宋体"/>
          <w:b/>
          <w:color w:val="000000"/>
          <w:kern w:val="0"/>
          <w:sz w:val="24"/>
          <w:szCs w:val="24"/>
        </w:rPr>
      </w:pPr>
    </w:p>
    <w:p w14:paraId="5E20A6EC">
      <w:pPr>
        <w:spacing w:line="480" w:lineRule="auto"/>
        <w:jc w:val="left"/>
        <w:rPr>
          <w:rFonts w:ascii="宋体" w:hAnsi="宋体" w:cs="宋体"/>
          <w:b/>
          <w:color w:val="000000"/>
          <w:kern w:val="0"/>
          <w:sz w:val="24"/>
          <w:szCs w:val="24"/>
        </w:rPr>
      </w:pPr>
    </w:p>
    <w:p w14:paraId="7B18B9EE">
      <w:pPr>
        <w:spacing w:line="480" w:lineRule="auto"/>
        <w:jc w:val="left"/>
        <w:rPr>
          <w:rFonts w:ascii="宋体" w:hAnsi="宋体" w:cs="宋体"/>
          <w:b/>
          <w:color w:val="000000"/>
          <w:kern w:val="0"/>
          <w:sz w:val="24"/>
          <w:szCs w:val="24"/>
        </w:rPr>
      </w:pPr>
      <w:bookmarkStart w:id="410" w:name="_Toc6438"/>
    </w:p>
    <w:p w14:paraId="64C59D4A">
      <w:pPr>
        <w:spacing w:line="480" w:lineRule="auto"/>
        <w:jc w:val="left"/>
        <w:outlineLvl w:val="1"/>
        <w:rPr>
          <w:rFonts w:ascii="宋体" w:hAnsi="宋体" w:cs="宋体"/>
          <w:b/>
          <w:bCs/>
          <w:kern w:val="10"/>
          <w:sz w:val="24"/>
          <w:szCs w:val="24"/>
        </w:rPr>
      </w:pPr>
      <w:bookmarkStart w:id="411" w:name="_Toc8060"/>
      <w:r>
        <w:rPr>
          <w:rFonts w:hint="eastAsia" w:ascii="宋体" w:hAnsi="宋体" w:cs="宋体"/>
          <w:b/>
          <w:color w:val="000000"/>
          <w:kern w:val="0"/>
          <w:sz w:val="24"/>
          <w:szCs w:val="24"/>
        </w:rPr>
        <w:t>四、</w:t>
      </w:r>
      <w:bookmarkEnd w:id="409"/>
      <w:bookmarkStart w:id="412" w:name="_Toc16520689"/>
      <w:bookmarkStart w:id="413" w:name="_Toc508179897"/>
      <w:bookmarkStart w:id="414" w:name="_Toc16520177"/>
      <w:bookmarkStart w:id="415" w:name="_Toc49183676"/>
      <w:r>
        <w:rPr>
          <w:rFonts w:hint="eastAsia" w:ascii="宋体" w:hAnsi="宋体" w:cs="宋体"/>
          <w:b/>
          <w:bCs/>
          <w:kern w:val="10"/>
          <w:sz w:val="24"/>
          <w:szCs w:val="24"/>
        </w:rPr>
        <w:t>资格审查资料</w:t>
      </w:r>
      <w:bookmarkEnd w:id="410"/>
      <w:bookmarkEnd w:id="411"/>
      <w:bookmarkEnd w:id="412"/>
      <w:bookmarkEnd w:id="413"/>
      <w:bookmarkEnd w:id="414"/>
      <w:bookmarkEnd w:id="415"/>
    </w:p>
    <w:p w14:paraId="577796C2">
      <w:pPr>
        <w:adjustRightInd w:val="0"/>
        <w:snapToGrid w:val="0"/>
        <w:spacing w:line="360" w:lineRule="auto"/>
        <w:rPr>
          <w:rFonts w:ascii="宋体" w:hAnsi="宋体" w:cs="宋体"/>
          <w:color w:val="000000"/>
          <w:kern w:val="0"/>
          <w:sz w:val="24"/>
          <w:szCs w:val="24"/>
        </w:rPr>
      </w:pPr>
    </w:p>
    <w:p w14:paraId="19E1F118">
      <w:pPr>
        <w:adjustRightInd w:val="0"/>
        <w:snapToGrid w:val="0"/>
        <w:spacing w:line="360" w:lineRule="auto"/>
        <w:rPr>
          <w:rFonts w:ascii="宋体" w:hAnsi="宋体" w:cs="宋体"/>
          <w:color w:val="000000"/>
          <w:kern w:val="0"/>
          <w:sz w:val="24"/>
          <w:szCs w:val="24"/>
        </w:rPr>
      </w:pPr>
    </w:p>
    <w:p w14:paraId="0337EDDE">
      <w:pPr>
        <w:adjustRightInd w:val="0"/>
        <w:snapToGrid w:val="0"/>
        <w:spacing w:line="360" w:lineRule="auto"/>
        <w:rPr>
          <w:rFonts w:ascii="宋体" w:hAnsi="宋体" w:cs="宋体"/>
          <w:color w:val="000000"/>
          <w:kern w:val="0"/>
          <w:sz w:val="24"/>
          <w:szCs w:val="24"/>
        </w:rPr>
      </w:pPr>
    </w:p>
    <w:p w14:paraId="64D6C5FE">
      <w:pPr>
        <w:adjustRightInd w:val="0"/>
        <w:snapToGrid w:val="0"/>
        <w:spacing w:line="360" w:lineRule="auto"/>
        <w:rPr>
          <w:rFonts w:ascii="宋体" w:hAnsi="宋体" w:cs="宋体"/>
          <w:color w:val="000000"/>
          <w:kern w:val="0"/>
          <w:sz w:val="24"/>
          <w:szCs w:val="24"/>
        </w:rPr>
      </w:pPr>
    </w:p>
    <w:p w14:paraId="441E8BD9">
      <w:pPr>
        <w:adjustRightInd w:val="0"/>
        <w:snapToGrid w:val="0"/>
        <w:spacing w:line="360" w:lineRule="auto"/>
        <w:rPr>
          <w:rFonts w:ascii="宋体" w:hAnsi="宋体" w:cs="宋体"/>
          <w:color w:val="000000"/>
          <w:kern w:val="0"/>
          <w:sz w:val="24"/>
          <w:szCs w:val="24"/>
        </w:rPr>
      </w:pPr>
    </w:p>
    <w:p w14:paraId="38924C22">
      <w:pPr>
        <w:adjustRightInd w:val="0"/>
        <w:snapToGrid w:val="0"/>
        <w:spacing w:line="360" w:lineRule="auto"/>
        <w:rPr>
          <w:rFonts w:ascii="宋体" w:hAnsi="宋体" w:cs="宋体"/>
          <w:color w:val="000000"/>
          <w:kern w:val="0"/>
          <w:sz w:val="24"/>
          <w:szCs w:val="24"/>
        </w:rPr>
      </w:pPr>
    </w:p>
    <w:p w14:paraId="07D0D337">
      <w:pPr>
        <w:adjustRightInd w:val="0"/>
        <w:snapToGrid w:val="0"/>
        <w:spacing w:line="360" w:lineRule="auto"/>
        <w:rPr>
          <w:rFonts w:ascii="宋体" w:hAnsi="宋体" w:cs="宋体"/>
          <w:color w:val="000000"/>
          <w:kern w:val="0"/>
          <w:sz w:val="24"/>
          <w:szCs w:val="24"/>
        </w:rPr>
      </w:pPr>
    </w:p>
    <w:p w14:paraId="3E85E0C0">
      <w:pPr>
        <w:adjustRightInd w:val="0"/>
        <w:snapToGrid w:val="0"/>
        <w:spacing w:line="360" w:lineRule="auto"/>
        <w:rPr>
          <w:rFonts w:ascii="宋体" w:hAnsi="宋体" w:cs="宋体"/>
          <w:color w:val="000000"/>
          <w:kern w:val="0"/>
          <w:sz w:val="24"/>
          <w:szCs w:val="24"/>
        </w:rPr>
      </w:pPr>
    </w:p>
    <w:p w14:paraId="5B6F8652">
      <w:pPr>
        <w:adjustRightInd w:val="0"/>
        <w:snapToGrid w:val="0"/>
        <w:spacing w:line="360" w:lineRule="auto"/>
        <w:rPr>
          <w:rFonts w:ascii="宋体" w:hAnsi="宋体" w:cs="宋体"/>
          <w:color w:val="000000"/>
          <w:kern w:val="0"/>
          <w:sz w:val="24"/>
          <w:szCs w:val="24"/>
        </w:rPr>
      </w:pPr>
    </w:p>
    <w:p w14:paraId="322DB884">
      <w:pPr>
        <w:adjustRightInd w:val="0"/>
        <w:snapToGrid w:val="0"/>
        <w:spacing w:line="360" w:lineRule="auto"/>
        <w:rPr>
          <w:rFonts w:ascii="宋体" w:hAnsi="宋体" w:cs="宋体"/>
          <w:color w:val="000000"/>
          <w:kern w:val="0"/>
          <w:sz w:val="24"/>
          <w:szCs w:val="24"/>
        </w:rPr>
      </w:pPr>
    </w:p>
    <w:p w14:paraId="66B28A0B">
      <w:pPr>
        <w:adjustRightInd w:val="0"/>
        <w:snapToGrid w:val="0"/>
        <w:spacing w:line="360" w:lineRule="auto"/>
        <w:rPr>
          <w:rFonts w:ascii="宋体" w:hAnsi="宋体" w:cs="宋体"/>
          <w:color w:val="000000"/>
          <w:kern w:val="0"/>
          <w:sz w:val="24"/>
          <w:szCs w:val="24"/>
        </w:rPr>
      </w:pPr>
    </w:p>
    <w:p w14:paraId="7CDF55CF">
      <w:pPr>
        <w:adjustRightInd w:val="0"/>
        <w:snapToGrid w:val="0"/>
        <w:spacing w:line="360" w:lineRule="auto"/>
        <w:rPr>
          <w:rFonts w:ascii="宋体" w:hAnsi="宋体" w:cs="宋体"/>
          <w:color w:val="000000"/>
          <w:kern w:val="0"/>
          <w:sz w:val="24"/>
          <w:szCs w:val="24"/>
        </w:rPr>
      </w:pPr>
    </w:p>
    <w:p w14:paraId="5B774A47">
      <w:pPr>
        <w:adjustRightInd w:val="0"/>
        <w:snapToGrid w:val="0"/>
        <w:spacing w:line="360" w:lineRule="auto"/>
        <w:rPr>
          <w:rFonts w:ascii="宋体" w:hAnsi="宋体" w:cs="宋体"/>
          <w:color w:val="000000"/>
          <w:kern w:val="0"/>
          <w:sz w:val="24"/>
          <w:szCs w:val="24"/>
        </w:rPr>
      </w:pPr>
    </w:p>
    <w:p w14:paraId="37E0E5DF">
      <w:pPr>
        <w:adjustRightInd w:val="0"/>
        <w:snapToGrid w:val="0"/>
        <w:spacing w:line="360" w:lineRule="auto"/>
        <w:rPr>
          <w:rFonts w:ascii="宋体" w:hAnsi="宋体" w:cs="宋体"/>
          <w:color w:val="000000"/>
          <w:kern w:val="0"/>
          <w:sz w:val="24"/>
          <w:szCs w:val="24"/>
        </w:rPr>
      </w:pPr>
    </w:p>
    <w:p w14:paraId="6F6BC877">
      <w:pPr>
        <w:adjustRightInd w:val="0"/>
        <w:snapToGrid w:val="0"/>
        <w:spacing w:line="360" w:lineRule="auto"/>
        <w:rPr>
          <w:rFonts w:ascii="宋体" w:hAnsi="宋体" w:cs="宋体"/>
          <w:color w:val="000000"/>
          <w:kern w:val="0"/>
          <w:sz w:val="24"/>
          <w:szCs w:val="24"/>
        </w:rPr>
      </w:pPr>
    </w:p>
    <w:p w14:paraId="47162F4B">
      <w:pPr>
        <w:adjustRightInd w:val="0"/>
        <w:snapToGrid w:val="0"/>
        <w:spacing w:line="360" w:lineRule="auto"/>
        <w:rPr>
          <w:rFonts w:ascii="宋体" w:hAnsi="宋体" w:cs="宋体"/>
          <w:color w:val="000000"/>
          <w:kern w:val="0"/>
          <w:sz w:val="24"/>
          <w:szCs w:val="24"/>
        </w:rPr>
      </w:pPr>
    </w:p>
    <w:p w14:paraId="769A0B37">
      <w:pPr>
        <w:adjustRightInd w:val="0"/>
        <w:snapToGrid w:val="0"/>
        <w:spacing w:line="360" w:lineRule="auto"/>
        <w:rPr>
          <w:rFonts w:ascii="宋体" w:hAnsi="宋体" w:cs="宋体"/>
          <w:color w:val="000000"/>
          <w:kern w:val="0"/>
          <w:sz w:val="24"/>
          <w:szCs w:val="24"/>
        </w:rPr>
      </w:pPr>
    </w:p>
    <w:p w14:paraId="5C854CDB">
      <w:pPr>
        <w:adjustRightInd w:val="0"/>
        <w:snapToGrid w:val="0"/>
        <w:spacing w:line="360" w:lineRule="auto"/>
        <w:rPr>
          <w:rFonts w:ascii="宋体" w:hAnsi="宋体" w:cs="宋体"/>
          <w:color w:val="000000"/>
          <w:kern w:val="0"/>
          <w:sz w:val="24"/>
          <w:szCs w:val="24"/>
        </w:rPr>
      </w:pPr>
    </w:p>
    <w:p w14:paraId="3BC5FFB2">
      <w:pPr>
        <w:adjustRightInd w:val="0"/>
        <w:snapToGrid w:val="0"/>
        <w:spacing w:line="360" w:lineRule="auto"/>
        <w:rPr>
          <w:rFonts w:ascii="宋体" w:hAnsi="宋体" w:cs="宋体"/>
          <w:color w:val="000000"/>
          <w:kern w:val="0"/>
          <w:sz w:val="24"/>
          <w:szCs w:val="24"/>
        </w:rPr>
      </w:pPr>
    </w:p>
    <w:p w14:paraId="536A3A34">
      <w:pPr>
        <w:adjustRightInd w:val="0"/>
        <w:snapToGrid w:val="0"/>
        <w:spacing w:line="360" w:lineRule="auto"/>
        <w:rPr>
          <w:rFonts w:ascii="宋体" w:hAnsi="宋体" w:cs="宋体"/>
          <w:color w:val="000000"/>
          <w:kern w:val="0"/>
          <w:sz w:val="24"/>
          <w:szCs w:val="24"/>
        </w:rPr>
      </w:pPr>
    </w:p>
    <w:p w14:paraId="42830426">
      <w:pPr>
        <w:adjustRightInd w:val="0"/>
        <w:snapToGrid w:val="0"/>
        <w:spacing w:line="360" w:lineRule="auto"/>
        <w:rPr>
          <w:rFonts w:ascii="宋体" w:hAnsi="宋体" w:cs="宋体"/>
          <w:color w:val="000000"/>
          <w:kern w:val="0"/>
          <w:sz w:val="24"/>
          <w:szCs w:val="24"/>
        </w:rPr>
      </w:pPr>
    </w:p>
    <w:p w14:paraId="7CDBA67E">
      <w:pPr>
        <w:adjustRightInd w:val="0"/>
        <w:snapToGrid w:val="0"/>
        <w:spacing w:line="360" w:lineRule="auto"/>
        <w:rPr>
          <w:rFonts w:ascii="宋体" w:hAnsi="宋体" w:cs="宋体"/>
          <w:color w:val="000000"/>
          <w:kern w:val="0"/>
          <w:sz w:val="24"/>
          <w:szCs w:val="24"/>
        </w:rPr>
      </w:pPr>
    </w:p>
    <w:p w14:paraId="2DE5FE6D">
      <w:pPr>
        <w:adjustRightInd w:val="0"/>
        <w:snapToGrid w:val="0"/>
        <w:spacing w:line="360" w:lineRule="auto"/>
        <w:rPr>
          <w:rFonts w:ascii="宋体" w:hAnsi="宋体" w:cs="宋体"/>
          <w:color w:val="000000"/>
          <w:kern w:val="0"/>
          <w:sz w:val="24"/>
          <w:szCs w:val="24"/>
        </w:rPr>
      </w:pPr>
    </w:p>
    <w:p w14:paraId="66EC95D7">
      <w:pPr>
        <w:adjustRightInd w:val="0"/>
        <w:snapToGrid w:val="0"/>
        <w:spacing w:line="360" w:lineRule="auto"/>
        <w:rPr>
          <w:rFonts w:ascii="宋体" w:hAnsi="宋体" w:cs="宋体"/>
          <w:color w:val="000000"/>
          <w:kern w:val="0"/>
          <w:sz w:val="24"/>
          <w:szCs w:val="24"/>
        </w:rPr>
      </w:pPr>
    </w:p>
    <w:p w14:paraId="5D1E14F1">
      <w:pPr>
        <w:adjustRightInd w:val="0"/>
        <w:snapToGrid w:val="0"/>
        <w:spacing w:line="360" w:lineRule="auto"/>
        <w:rPr>
          <w:rFonts w:ascii="宋体" w:hAnsi="宋体" w:cs="宋体"/>
          <w:color w:val="000000"/>
          <w:kern w:val="0"/>
          <w:sz w:val="24"/>
          <w:szCs w:val="24"/>
        </w:rPr>
      </w:pPr>
    </w:p>
    <w:p w14:paraId="00A48BE5">
      <w:pPr>
        <w:pStyle w:val="17"/>
        <w:ind w:firstLine="0" w:firstLineChars="0"/>
        <w:rPr>
          <w:rFonts w:ascii="宋体" w:hAnsi="宋体" w:eastAsia="宋体" w:cs="宋体"/>
          <w:color w:val="000000"/>
          <w:kern w:val="0"/>
          <w:sz w:val="24"/>
          <w:szCs w:val="24"/>
        </w:rPr>
      </w:pPr>
    </w:p>
    <w:p w14:paraId="363FDFED">
      <w:pPr>
        <w:rPr>
          <w:rFonts w:ascii="宋体" w:hAnsi="宋体" w:cs="宋体"/>
          <w:b/>
          <w:color w:val="000000"/>
          <w:kern w:val="0"/>
          <w:sz w:val="24"/>
          <w:szCs w:val="24"/>
        </w:rPr>
      </w:pPr>
      <w:bookmarkStart w:id="416" w:name="_Toc28962"/>
      <w:bookmarkStart w:id="417" w:name="_Toc3348"/>
      <w:bookmarkStart w:id="418" w:name="_Toc488052468"/>
      <w:r>
        <w:rPr>
          <w:rFonts w:hint="eastAsia" w:ascii="宋体" w:hAnsi="宋体" w:cs="宋体"/>
          <w:b/>
          <w:color w:val="000000"/>
          <w:kern w:val="0"/>
          <w:sz w:val="24"/>
          <w:szCs w:val="24"/>
        </w:rPr>
        <w:br w:type="page"/>
      </w:r>
    </w:p>
    <w:p w14:paraId="44878EC0">
      <w:pPr>
        <w:spacing w:line="480" w:lineRule="auto"/>
        <w:jc w:val="left"/>
        <w:outlineLvl w:val="1"/>
        <w:rPr>
          <w:rFonts w:ascii="宋体" w:hAnsi="宋体" w:cs="宋体"/>
          <w:b/>
          <w:color w:val="000000"/>
          <w:kern w:val="0"/>
          <w:sz w:val="24"/>
          <w:szCs w:val="24"/>
        </w:rPr>
      </w:pPr>
      <w:r>
        <w:rPr>
          <w:rFonts w:hint="eastAsia" w:ascii="宋体" w:hAnsi="宋体" w:cs="宋体"/>
          <w:b/>
          <w:color w:val="000000"/>
          <w:kern w:val="0"/>
          <w:sz w:val="24"/>
          <w:szCs w:val="24"/>
        </w:rPr>
        <w:t>五、商务部分（格式自拟）</w:t>
      </w:r>
      <w:bookmarkEnd w:id="416"/>
      <w:bookmarkEnd w:id="417"/>
    </w:p>
    <w:p w14:paraId="4445022B">
      <w:pPr>
        <w:pStyle w:val="17"/>
        <w:ind w:firstLine="0" w:firstLineChars="0"/>
        <w:jc w:val="center"/>
      </w:pPr>
    </w:p>
    <w:p w14:paraId="7E88FA92">
      <w:pPr>
        <w:spacing w:line="400" w:lineRule="exact"/>
        <w:rPr>
          <w:rFonts w:ascii="宋体" w:hAnsi="宋体" w:cs="宋体"/>
          <w:b/>
          <w:bCs/>
          <w:color w:val="000000"/>
          <w:sz w:val="24"/>
          <w:szCs w:val="24"/>
        </w:rPr>
      </w:pPr>
    </w:p>
    <w:p w14:paraId="4BFD1148">
      <w:pPr>
        <w:spacing w:line="400" w:lineRule="exact"/>
        <w:rPr>
          <w:rFonts w:ascii="宋体" w:hAnsi="宋体" w:cs="宋体"/>
          <w:sz w:val="24"/>
          <w:szCs w:val="24"/>
        </w:rPr>
      </w:pPr>
    </w:p>
    <w:p w14:paraId="70B9A273">
      <w:pPr>
        <w:spacing w:line="400" w:lineRule="exact"/>
        <w:rPr>
          <w:rFonts w:ascii="宋体" w:hAnsi="宋体" w:cs="宋体"/>
          <w:sz w:val="24"/>
          <w:szCs w:val="24"/>
        </w:rPr>
      </w:pPr>
    </w:p>
    <w:bookmarkEnd w:id="418"/>
    <w:p w14:paraId="39DC4B5D">
      <w:pPr>
        <w:spacing w:line="400" w:lineRule="exact"/>
        <w:rPr>
          <w:rFonts w:ascii="宋体" w:hAnsi="宋体" w:cs="宋体"/>
          <w:sz w:val="24"/>
          <w:szCs w:val="24"/>
        </w:rPr>
      </w:pPr>
    </w:p>
    <w:p w14:paraId="3297AFA0">
      <w:pPr>
        <w:rPr>
          <w:rFonts w:ascii="宋体" w:hAnsi="宋体" w:cs="宋体"/>
          <w:bCs/>
          <w:color w:val="000000"/>
          <w:sz w:val="24"/>
          <w:szCs w:val="24"/>
        </w:rPr>
      </w:pPr>
      <w:bookmarkStart w:id="419" w:name="_Toc22218"/>
      <w:bookmarkStart w:id="420" w:name="_Toc31503"/>
      <w:r>
        <w:rPr>
          <w:rFonts w:hint="eastAsia" w:ascii="宋体" w:hAnsi="宋体" w:cs="宋体"/>
          <w:bCs/>
          <w:color w:val="000000"/>
          <w:sz w:val="24"/>
          <w:szCs w:val="24"/>
        </w:rPr>
        <w:br w:type="page"/>
      </w:r>
    </w:p>
    <w:p w14:paraId="0E4AB347">
      <w:pPr>
        <w:pStyle w:val="4"/>
        <w:rPr>
          <w:rFonts w:ascii="宋体" w:hAnsi="宋体" w:eastAsia="宋体" w:cs="宋体"/>
          <w:bCs/>
          <w:color w:val="000000"/>
          <w:sz w:val="24"/>
          <w:szCs w:val="24"/>
        </w:rPr>
      </w:pPr>
      <w:r>
        <w:rPr>
          <w:rFonts w:hint="eastAsia" w:ascii="宋体" w:hAnsi="宋体" w:eastAsia="宋体" w:cs="宋体"/>
          <w:bCs/>
          <w:color w:val="000000"/>
          <w:sz w:val="24"/>
          <w:szCs w:val="24"/>
        </w:rPr>
        <w:t>六、技术部分（格式自拟）</w:t>
      </w:r>
      <w:bookmarkEnd w:id="419"/>
      <w:bookmarkEnd w:id="420"/>
    </w:p>
    <w:p w14:paraId="507E4D2F">
      <w:pPr>
        <w:spacing w:line="400" w:lineRule="exact"/>
        <w:rPr>
          <w:rFonts w:ascii="宋体" w:hAnsi="宋体" w:cs="宋体"/>
          <w:bCs/>
          <w:color w:val="000000"/>
          <w:sz w:val="24"/>
          <w:szCs w:val="24"/>
        </w:rPr>
      </w:pPr>
    </w:p>
    <w:p w14:paraId="42146844">
      <w:pPr>
        <w:spacing w:line="400" w:lineRule="exact"/>
        <w:rPr>
          <w:rFonts w:ascii="宋体" w:hAnsi="宋体" w:cs="宋体"/>
          <w:bCs/>
          <w:color w:val="000000"/>
          <w:sz w:val="24"/>
          <w:szCs w:val="24"/>
        </w:rPr>
      </w:pPr>
    </w:p>
    <w:p w14:paraId="32E2E11A">
      <w:pPr>
        <w:spacing w:line="400" w:lineRule="exact"/>
        <w:rPr>
          <w:rFonts w:ascii="宋体" w:hAnsi="宋体" w:cs="宋体"/>
          <w:bCs/>
          <w:color w:val="000000"/>
          <w:sz w:val="24"/>
          <w:szCs w:val="24"/>
        </w:rPr>
      </w:pPr>
    </w:p>
    <w:p w14:paraId="3D2A8AA8">
      <w:pPr>
        <w:spacing w:line="400" w:lineRule="exact"/>
        <w:rPr>
          <w:rFonts w:ascii="宋体" w:hAnsi="宋体" w:cs="宋体"/>
          <w:bCs/>
          <w:color w:val="000000"/>
          <w:sz w:val="24"/>
          <w:szCs w:val="24"/>
        </w:rPr>
      </w:pPr>
    </w:p>
    <w:p w14:paraId="646DAF5A">
      <w:pPr>
        <w:spacing w:line="400" w:lineRule="exact"/>
        <w:rPr>
          <w:rFonts w:ascii="宋体" w:hAnsi="宋体" w:cs="宋体"/>
          <w:bCs/>
          <w:color w:val="000000"/>
          <w:sz w:val="24"/>
          <w:szCs w:val="24"/>
        </w:rPr>
      </w:pPr>
    </w:p>
    <w:p w14:paraId="6D7C2372">
      <w:pPr>
        <w:spacing w:line="400" w:lineRule="exact"/>
        <w:rPr>
          <w:rFonts w:ascii="宋体" w:hAnsi="宋体" w:cs="宋体"/>
          <w:bCs/>
          <w:color w:val="000000"/>
          <w:sz w:val="24"/>
          <w:szCs w:val="24"/>
        </w:rPr>
      </w:pPr>
    </w:p>
    <w:p w14:paraId="3F4ED7FE">
      <w:pPr>
        <w:pStyle w:val="4"/>
        <w:jc w:val="center"/>
        <w:rPr>
          <w:rFonts w:ascii="宋体" w:hAnsi="宋体" w:eastAsia="宋体" w:cs="宋体"/>
          <w:kern w:val="0"/>
          <w:sz w:val="24"/>
          <w:szCs w:val="24"/>
        </w:rPr>
      </w:pPr>
      <w:bookmarkStart w:id="421" w:name="_Toc452907958"/>
    </w:p>
    <w:p w14:paraId="22413C9B">
      <w:pPr>
        <w:rPr>
          <w:rFonts w:ascii="宋体" w:hAnsi="宋体" w:cs="宋体"/>
          <w:sz w:val="24"/>
          <w:szCs w:val="24"/>
        </w:rPr>
      </w:pPr>
    </w:p>
    <w:p w14:paraId="0EFEBCF1">
      <w:pPr>
        <w:pStyle w:val="4"/>
        <w:jc w:val="center"/>
        <w:rPr>
          <w:rFonts w:ascii="宋体" w:hAnsi="宋体" w:eastAsia="宋体" w:cs="宋体"/>
          <w:kern w:val="0"/>
          <w:sz w:val="24"/>
          <w:szCs w:val="24"/>
        </w:rPr>
      </w:pPr>
    </w:p>
    <w:p w14:paraId="1F161210">
      <w:pPr>
        <w:pStyle w:val="4"/>
        <w:jc w:val="center"/>
        <w:rPr>
          <w:rFonts w:ascii="宋体" w:hAnsi="宋体" w:eastAsia="宋体" w:cs="宋体"/>
          <w:kern w:val="0"/>
          <w:sz w:val="24"/>
          <w:szCs w:val="24"/>
        </w:rPr>
      </w:pPr>
    </w:p>
    <w:p w14:paraId="3FD2D384">
      <w:pPr>
        <w:pStyle w:val="4"/>
        <w:jc w:val="center"/>
        <w:rPr>
          <w:rFonts w:ascii="宋体" w:hAnsi="宋体" w:eastAsia="宋体" w:cs="宋体"/>
          <w:kern w:val="0"/>
          <w:sz w:val="24"/>
          <w:szCs w:val="24"/>
        </w:rPr>
      </w:pPr>
    </w:p>
    <w:p w14:paraId="245055F4">
      <w:pPr>
        <w:pStyle w:val="4"/>
        <w:jc w:val="center"/>
        <w:rPr>
          <w:rFonts w:ascii="宋体" w:hAnsi="宋体" w:eastAsia="宋体" w:cs="宋体"/>
          <w:kern w:val="0"/>
          <w:sz w:val="24"/>
          <w:szCs w:val="24"/>
        </w:rPr>
      </w:pPr>
    </w:p>
    <w:p w14:paraId="3E8E9BB0">
      <w:pPr>
        <w:pStyle w:val="4"/>
        <w:rPr>
          <w:rFonts w:ascii="宋体" w:hAnsi="宋体" w:eastAsia="宋体" w:cs="宋体"/>
          <w:kern w:val="0"/>
          <w:sz w:val="24"/>
          <w:szCs w:val="24"/>
        </w:rPr>
      </w:pPr>
      <w:r>
        <w:rPr>
          <w:rFonts w:hint="eastAsia" w:ascii="宋体" w:hAnsi="宋体" w:eastAsia="宋体" w:cs="宋体"/>
          <w:kern w:val="0"/>
          <w:sz w:val="24"/>
          <w:szCs w:val="24"/>
        </w:rPr>
        <w:br w:type="page"/>
      </w:r>
      <w:bookmarkStart w:id="422" w:name="_Toc4374"/>
      <w:bookmarkStart w:id="423" w:name="_Toc4639"/>
      <w:r>
        <w:rPr>
          <w:rFonts w:hint="eastAsia" w:ascii="宋体" w:hAnsi="宋体" w:eastAsia="宋体" w:cs="宋体"/>
          <w:kern w:val="0"/>
          <w:sz w:val="24"/>
          <w:szCs w:val="24"/>
        </w:rPr>
        <w:t>七、项目管理机构</w:t>
      </w:r>
      <w:bookmarkEnd w:id="421"/>
      <w:bookmarkEnd w:id="422"/>
      <w:bookmarkEnd w:id="423"/>
    </w:p>
    <w:p w14:paraId="78AB8314">
      <w:pPr>
        <w:spacing w:line="480" w:lineRule="exact"/>
        <w:jc w:val="center"/>
        <w:rPr>
          <w:rFonts w:ascii="宋体" w:hAnsi="宋体" w:cs="宋体"/>
          <w:b/>
          <w:sz w:val="24"/>
          <w:szCs w:val="24"/>
        </w:rPr>
      </w:pPr>
      <w:r>
        <w:rPr>
          <w:rFonts w:hint="eastAsia" w:ascii="宋体" w:hAnsi="宋体" w:cs="宋体"/>
          <w:b/>
          <w:sz w:val="24"/>
          <w:szCs w:val="24"/>
        </w:rPr>
        <w:t>拟投入本项目人员汇总表</w:t>
      </w:r>
    </w:p>
    <w:tbl>
      <w:tblPr>
        <w:tblStyle w:val="29"/>
        <w:tblW w:w="7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64"/>
        <w:gridCol w:w="732"/>
        <w:gridCol w:w="829"/>
        <w:gridCol w:w="896"/>
        <w:gridCol w:w="2803"/>
      </w:tblGrid>
      <w:tr w14:paraId="33EE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20" w:type="dxa"/>
            <w:noWrap/>
            <w:vAlign w:val="center"/>
          </w:tcPr>
          <w:p w14:paraId="3A492BD2">
            <w:pPr>
              <w:spacing w:line="480" w:lineRule="exact"/>
              <w:rPr>
                <w:rFonts w:ascii="宋体" w:hAnsi="宋体" w:cs="宋体"/>
                <w:sz w:val="24"/>
                <w:szCs w:val="24"/>
              </w:rPr>
            </w:pPr>
            <w:r>
              <w:rPr>
                <w:rFonts w:hint="eastAsia" w:ascii="宋体" w:hAnsi="宋体" w:cs="宋体"/>
                <w:sz w:val="24"/>
                <w:szCs w:val="24"/>
              </w:rPr>
              <w:t>序号</w:t>
            </w:r>
          </w:p>
        </w:tc>
        <w:tc>
          <w:tcPr>
            <w:tcW w:w="1464" w:type="dxa"/>
            <w:noWrap/>
            <w:vAlign w:val="center"/>
          </w:tcPr>
          <w:p w14:paraId="4577EBFE">
            <w:pPr>
              <w:spacing w:line="480" w:lineRule="exact"/>
              <w:ind w:firstLine="240"/>
              <w:rPr>
                <w:rFonts w:ascii="宋体" w:hAnsi="宋体" w:cs="宋体"/>
                <w:sz w:val="24"/>
                <w:szCs w:val="24"/>
              </w:rPr>
            </w:pPr>
            <w:r>
              <w:rPr>
                <w:rFonts w:hint="eastAsia" w:ascii="宋体" w:hAnsi="宋体" w:cs="宋体"/>
                <w:sz w:val="24"/>
                <w:szCs w:val="24"/>
              </w:rPr>
              <w:t>姓   名</w:t>
            </w:r>
          </w:p>
        </w:tc>
        <w:tc>
          <w:tcPr>
            <w:tcW w:w="732" w:type="dxa"/>
            <w:noWrap/>
            <w:vAlign w:val="center"/>
          </w:tcPr>
          <w:p w14:paraId="19C3423C">
            <w:pPr>
              <w:spacing w:line="480" w:lineRule="exact"/>
              <w:rPr>
                <w:rFonts w:ascii="宋体" w:hAnsi="宋体" w:cs="宋体"/>
                <w:sz w:val="24"/>
                <w:szCs w:val="24"/>
              </w:rPr>
            </w:pPr>
            <w:r>
              <w:rPr>
                <w:rFonts w:hint="eastAsia" w:ascii="宋体" w:hAnsi="宋体" w:cs="宋体"/>
                <w:sz w:val="24"/>
                <w:szCs w:val="24"/>
              </w:rPr>
              <w:t>年龄</w:t>
            </w:r>
          </w:p>
        </w:tc>
        <w:tc>
          <w:tcPr>
            <w:tcW w:w="829" w:type="dxa"/>
            <w:noWrap/>
            <w:vAlign w:val="center"/>
          </w:tcPr>
          <w:p w14:paraId="58865BF4">
            <w:pPr>
              <w:spacing w:line="480" w:lineRule="exact"/>
              <w:rPr>
                <w:rFonts w:ascii="宋体" w:hAnsi="宋体" w:cs="宋体"/>
                <w:sz w:val="24"/>
                <w:szCs w:val="24"/>
              </w:rPr>
            </w:pPr>
            <w:r>
              <w:rPr>
                <w:rFonts w:hint="eastAsia" w:ascii="宋体" w:hAnsi="宋体" w:cs="宋体"/>
                <w:sz w:val="24"/>
                <w:szCs w:val="24"/>
              </w:rPr>
              <w:t>性别</w:t>
            </w:r>
          </w:p>
        </w:tc>
        <w:tc>
          <w:tcPr>
            <w:tcW w:w="896" w:type="dxa"/>
            <w:noWrap/>
            <w:vAlign w:val="center"/>
          </w:tcPr>
          <w:p w14:paraId="7F618EC5">
            <w:pPr>
              <w:spacing w:line="480" w:lineRule="exact"/>
              <w:rPr>
                <w:rFonts w:ascii="宋体" w:hAnsi="宋体" w:cs="宋体"/>
                <w:sz w:val="24"/>
                <w:szCs w:val="24"/>
              </w:rPr>
            </w:pPr>
            <w:r>
              <w:rPr>
                <w:rFonts w:hint="eastAsia" w:ascii="宋体" w:hAnsi="宋体" w:cs="宋体"/>
                <w:sz w:val="24"/>
                <w:szCs w:val="24"/>
              </w:rPr>
              <w:t>职称</w:t>
            </w:r>
          </w:p>
        </w:tc>
        <w:tc>
          <w:tcPr>
            <w:tcW w:w="2803" w:type="dxa"/>
            <w:noWrap/>
            <w:vAlign w:val="center"/>
          </w:tcPr>
          <w:p w14:paraId="554F1370">
            <w:pPr>
              <w:spacing w:line="480" w:lineRule="exact"/>
              <w:rPr>
                <w:rFonts w:ascii="宋体" w:hAnsi="宋体" w:cs="宋体"/>
                <w:sz w:val="24"/>
                <w:szCs w:val="24"/>
              </w:rPr>
            </w:pPr>
            <w:r>
              <w:rPr>
                <w:rFonts w:hint="eastAsia" w:ascii="宋体" w:hAnsi="宋体" w:cs="宋体"/>
                <w:sz w:val="24"/>
                <w:szCs w:val="24"/>
              </w:rPr>
              <w:t>在本项目拟任职务</w:t>
            </w:r>
          </w:p>
        </w:tc>
      </w:tr>
      <w:tr w14:paraId="37CDB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0" w:type="dxa"/>
            <w:noWrap/>
            <w:vAlign w:val="center"/>
          </w:tcPr>
          <w:p w14:paraId="630297B1">
            <w:pPr>
              <w:spacing w:line="480" w:lineRule="exact"/>
              <w:rPr>
                <w:rFonts w:ascii="宋体" w:hAnsi="宋体" w:cs="宋体"/>
                <w:sz w:val="24"/>
                <w:szCs w:val="24"/>
              </w:rPr>
            </w:pPr>
          </w:p>
        </w:tc>
        <w:tc>
          <w:tcPr>
            <w:tcW w:w="1464" w:type="dxa"/>
            <w:noWrap/>
            <w:vAlign w:val="center"/>
          </w:tcPr>
          <w:p w14:paraId="49159C2A">
            <w:pPr>
              <w:spacing w:line="480" w:lineRule="exact"/>
              <w:rPr>
                <w:rFonts w:ascii="宋体" w:hAnsi="宋体" w:cs="宋体"/>
                <w:sz w:val="24"/>
                <w:szCs w:val="24"/>
              </w:rPr>
            </w:pPr>
          </w:p>
        </w:tc>
        <w:tc>
          <w:tcPr>
            <w:tcW w:w="732" w:type="dxa"/>
            <w:noWrap/>
            <w:vAlign w:val="center"/>
          </w:tcPr>
          <w:p w14:paraId="309B6ECC">
            <w:pPr>
              <w:spacing w:line="480" w:lineRule="exact"/>
              <w:rPr>
                <w:rFonts w:ascii="宋体" w:hAnsi="宋体" w:cs="宋体"/>
                <w:sz w:val="24"/>
                <w:szCs w:val="24"/>
              </w:rPr>
            </w:pPr>
          </w:p>
        </w:tc>
        <w:tc>
          <w:tcPr>
            <w:tcW w:w="829" w:type="dxa"/>
            <w:noWrap/>
            <w:vAlign w:val="center"/>
          </w:tcPr>
          <w:p w14:paraId="37945639">
            <w:pPr>
              <w:spacing w:line="480" w:lineRule="exact"/>
              <w:rPr>
                <w:rFonts w:ascii="宋体" w:hAnsi="宋体" w:cs="宋体"/>
                <w:sz w:val="24"/>
                <w:szCs w:val="24"/>
              </w:rPr>
            </w:pPr>
          </w:p>
        </w:tc>
        <w:tc>
          <w:tcPr>
            <w:tcW w:w="896" w:type="dxa"/>
            <w:noWrap/>
            <w:vAlign w:val="center"/>
          </w:tcPr>
          <w:p w14:paraId="54B40D17">
            <w:pPr>
              <w:spacing w:line="480" w:lineRule="exact"/>
              <w:rPr>
                <w:rFonts w:ascii="宋体" w:hAnsi="宋体" w:cs="宋体"/>
                <w:sz w:val="24"/>
                <w:szCs w:val="24"/>
              </w:rPr>
            </w:pPr>
          </w:p>
        </w:tc>
        <w:tc>
          <w:tcPr>
            <w:tcW w:w="2803" w:type="dxa"/>
            <w:noWrap/>
            <w:vAlign w:val="center"/>
          </w:tcPr>
          <w:p w14:paraId="1DFFABD7">
            <w:pPr>
              <w:spacing w:line="480" w:lineRule="exact"/>
              <w:rPr>
                <w:rFonts w:ascii="宋体" w:hAnsi="宋体" w:cs="宋体"/>
                <w:sz w:val="24"/>
                <w:szCs w:val="24"/>
              </w:rPr>
            </w:pPr>
          </w:p>
        </w:tc>
      </w:tr>
      <w:tr w14:paraId="7B5E0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0" w:type="dxa"/>
            <w:noWrap/>
            <w:vAlign w:val="center"/>
          </w:tcPr>
          <w:p w14:paraId="7F2E1D1A">
            <w:pPr>
              <w:spacing w:line="480" w:lineRule="exact"/>
              <w:rPr>
                <w:rFonts w:ascii="宋体" w:hAnsi="宋体" w:cs="宋体"/>
                <w:sz w:val="24"/>
                <w:szCs w:val="24"/>
              </w:rPr>
            </w:pPr>
          </w:p>
        </w:tc>
        <w:tc>
          <w:tcPr>
            <w:tcW w:w="1464" w:type="dxa"/>
            <w:noWrap/>
            <w:vAlign w:val="center"/>
          </w:tcPr>
          <w:p w14:paraId="111EA5F4">
            <w:pPr>
              <w:spacing w:line="480" w:lineRule="exact"/>
              <w:rPr>
                <w:rFonts w:ascii="宋体" w:hAnsi="宋体" w:cs="宋体"/>
                <w:sz w:val="24"/>
                <w:szCs w:val="24"/>
              </w:rPr>
            </w:pPr>
          </w:p>
        </w:tc>
        <w:tc>
          <w:tcPr>
            <w:tcW w:w="732" w:type="dxa"/>
            <w:noWrap/>
            <w:vAlign w:val="center"/>
          </w:tcPr>
          <w:p w14:paraId="0E74D04D">
            <w:pPr>
              <w:spacing w:line="480" w:lineRule="exact"/>
              <w:rPr>
                <w:rFonts w:ascii="宋体" w:hAnsi="宋体" w:cs="宋体"/>
                <w:sz w:val="24"/>
                <w:szCs w:val="24"/>
              </w:rPr>
            </w:pPr>
          </w:p>
        </w:tc>
        <w:tc>
          <w:tcPr>
            <w:tcW w:w="829" w:type="dxa"/>
            <w:noWrap/>
            <w:vAlign w:val="center"/>
          </w:tcPr>
          <w:p w14:paraId="32228F38">
            <w:pPr>
              <w:spacing w:line="480" w:lineRule="exact"/>
              <w:rPr>
                <w:rFonts w:ascii="宋体" w:hAnsi="宋体" w:cs="宋体"/>
                <w:sz w:val="24"/>
                <w:szCs w:val="24"/>
              </w:rPr>
            </w:pPr>
          </w:p>
        </w:tc>
        <w:tc>
          <w:tcPr>
            <w:tcW w:w="896" w:type="dxa"/>
            <w:noWrap/>
            <w:vAlign w:val="center"/>
          </w:tcPr>
          <w:p w14:paraId="259C2092">
            <w:pPr>
              <w:spacing w:line="480" w:lineRule="exact"/>
              <w:rPr>
                <w:rFonts w:ascii="宋体" w:hAnsi="宋体" w:cs="宋体"/>
                <w:sz w:val="24"/>
                <w:szCs w:val="24"/>
              </w:rPr>
            </w:pPr>
          </w:p>
        </w:tc>
        <w:tc>
          <w:tcPr>
            <w:tcW w:w="2803" w:type="dxa"/>
            <w:noWrap/>
            <w:vAlign w:val="center"/>
          </w:tcPr>
          <w:p w14:paraId="493253C9">
            <w:pPr>
              <w:spacing w:line="480" w:lineRule="exact"/>
              <w:rPr>
                <w:rFonts w:ascii="宋体" w:hAnsi="宋体" w:cs="宋体"/>
                <w:sz w:val="24"/>
                <w:szCs w:val="24"/>
              </w:rPr>
            </w:pPr>
          </w:p>
        </w:tc>
      </w:tr>
      <w:tr w14:paraId="4CCD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0" w:type="dxa"/>
            <w:noWrap/>
            <w:vAlign w:val="center"/>
          </w:tcPr>
          <w:p w14:paraId="1347187C">
            <w:pPr>
              <w:spacing w:line="480" w:lineRule="exact"/>
              <w:rPr>
                <w:rFonts w:ascii="宋体" w:hAnsi="宋体" w:cs="宋体"/>
                <w:sz w:val="24"/>
                <w:szCs w:val="24"/>
              </w:rPr>
            </w:pPr>
          </w:p>
        </w:tc>
        <w:tc>
          <w:tcPr>
            <w:tcW w:w="1464" w:type="dxa"/>
            <w:noWrap/>
            <w:vAlign w:val="center"/>
          </w:tcPr>
          <w:p w14:paraId="58814514">
            <w:pPr>
              <w:spacing w:line="480" w:lineRule="exact"/>
              <w:rPr>
                <w:rFonts w:ascii="宋体" w:hAnsi="宋体" w:cs="宋体"/>
                <w:sz w:val="24"/>
                <w:szCs w:val="24"/>
              </w:rPr>
            </w:pPr>
          </w:p>
        </w:tc>
        <w:tc>
          <w:tcPr>
            <w:tcW w:w="732" w:type="dxa"/>
            <w:noWrap/>
            <w:vAlign w:val="center"/>
          </w:tcPr>
          <w:p w14:paraId="367B0641">
            <w:pPr>
              <w:spacing w:line="480" w:lineRule="exact"/>
              <w:rPr>
                <w:rFonts w:ascii="宋体" w:hAnsi="宋体" w:cs="宋体"/>
                <w:sz w:val="24"/>
                <w:szCs w:val="24"/>
              </w:rPr>
            </w:pPr>
          </w:p>
        </w:tc>
        <w:tc>
          <w:tcPr>
            <w:tcW w:w="829" w:type="dxa"/>
            <w:noWrap/>
            <w:vAlign w:val="center"/>
          </w:tcPr>
          <w:p w14:paraId="3E90349F">
            <w:pPr>
              <w:spacing w:line="480" w:lineRule="exact"/>
              <w:rPr>
                <w:rFonts w:ascii="宋体" w:hAnsi="宋体" w:cs="宋体"/>
                <w:sz w:val="24"/>
                <w:szCs w:val="24"/>
              </w:rPr>
            </w:pPr>
          </w:p>
        </w:tc>
        <w:tc>
          <w:tcPr>
            <w:tcW w:w="896" w:type="dxa"/>
            <w:noWrap/>
            <w:vAlign w:val="center"/>
          </w:tcPr>
          <w:p w14:paraId="4614EF77">
            <w:pPr>
              <w:spacing w:line="480" w:lineRule="exact"/>
              <w:rPr>
                <w:rFonts w:ascii="宋体" w:hAnsi="宋体" w:cs="宋体"/>
                <w:sz w:val="24"/>
                <w:szCs w:val="24"/>
              </w:rPr>
            </w:pPr>
          </w:p>
        </w:tc>
        <w:tc>
          <w:tcPr>
            <w:tcW w:w="2803" w:type="dxa"/>
            <w:noWrap/>
            <w:vAlign w:val="center"/>
          </w:tcPr>
          <w:p w14:paraId="3F840361">
            <w:pPr>
              <w:spacing w:line="480" w:lineRule="exact"/>
              <w:rPr>
                <w:rFonts w:ascii="宋体" w:hAnsi="宋体" w:cs="宋体"/>
                <w:sz w:val="24"/>
                <w:szCs w:val="24"/>
              </w:rPr>
            </w:pPr>
          </w:p>
        </w:tc>
      </w:tr>
      <w:tr w14:paraId="3D4EB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0" w:type="dxa"/>
            <w:noWrap/>
            <w:vAlign w:val="center"/>
          </w:tcPr>
          <w:p w14:paraId="30B9E8B7">
            <w:pPr>
              <w:spacing w:line="480" w:lineRule="exact"/>
              <w:rPr>
                <w:rFonts w:ascii="宋体" w:hAnsi="宋体" w:cs="宋体"/>
                <w:sz w:val="24"/>
                <w:szCs w:val="24"/>
              </w:rPr>
            </w:pPr>
          </w:p>
        </w:tc>
        <w:tc>
          <w:tcPr>
            <w:tcW w:w="1464" w:type="dxa"/>
            <w:noWrap/>
            <w:vAlign w:val="center"/>
          </w:tcPr>
          <w:p w14:paraId="6EAA91A1">
            <w:pPr>
              <w:spacing w:line="480" w:lineRule="exact"/>
              <w:rPr>
                <w:rFonts w:ascii="宋体" w:hAnsi="宋体" w:cs="宋体"/>
                <w:sz w:val="24"/>
                <w:szCs w:val="24"/>
              </w:rPr>
            </w:pPr>
          </w:p>
        </w:tc>
        <w:tc>
          <w:tcPr>
            <w:tcW w:w="732" w:type="dxa"/>
            <w:noWrap/>
            <w:vAlign w:val="center"/>
          </w:tcPr>
          <w:p w14:paraId="3E831FE4">
            <w:pPr>
              <w:spacing w:line="480" w:lineRule="exact"/>
              <w:rPr>
                <w:rFonts w:ascii="宋体" w:hAnsi="宋体" w:cs="宋体"/>
                <w:sz w:val="24"/>
                <w:szCs w:val="24"/>
              </w:rPr>
            </w:pPr>
          </w:p>
        </w:tc>
        <w:tc>
          <w:tcPr>
            <w:tcW w:w="829" w:type="dxa"/>
            <w:noWrap/>
            <w:vAlign w:val="center"/>
          </w:tcPr>
          <w:p w14:paraId="6B0FE136">
            <w:pPr>
              <w:spacing w:line="480" w:lineRule="exact"/>
              <w:rPr>
                <w:rFonts w:ascii="宋体" w:hAnsi="宋体" w:cs="宋体"/>
                <w:sz w:val="24"/>
                <w:szCs w:val="24"/>
              </w:rPr>
            </w:pPr>
          </w:p>
        </w:tc>
        <w:tc>
          <w:tcPr>
            <w:tcW w:w="896" w:type="dxa"/>
            <w:noWrap/>
            <w:vAlign w:val="center"/>
          </w:tcPr>
          <w:p w14:paraId="0F45CBD9">
            <w:pPr>
              <w:spacing w:line="480" w:lineRule="exact"/>
              <w:rPr>
                <w:rFonts w:ascii="宋体" w:hAnsi="宋体" w:cs="宋体"/>
                <w:sz w:val="24"/>
                <w:szCs w:val="24"/>
              </w:rPr>
            </w:pPr>
          </w:p>
        </w:tc>
        <w:tc>
          <w:tcPr>
            <w:tcW w:w="2803" w:type="dxa"/>
            <w:noWrap/>
            <w:vAlign w:val="center"/>
          </w:tcPr>
          <w:p w14:paraId="41065C84">
            <w:pPr>
              <w:spacing w:line="480" w:lineRule="exact"/>
              <w:rPr>
                <w:rFonts w:ascii="宋体" w:hAnsi="宋体" w:cs="宋体"/>
                <w:sz w:val="24"/>
                <w:szCs w:val="24"/>
              </w:rPr>
            </w:pPr>
          </w:p>
        </w:tc>
      </w:tr>
      <w:tr w14:paraId="3288A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0" w:type="dxa"/>
            <w:noWrap/>
            <w:vAlign w:val="center"/>
          </w:tcPr>
          <w:p w14:paraId="38BFAD67">
            <w:pPr>
              <w:spacing w:line="480" w:lineRule="exact"/>
              <w:rPr>
                <w:rFonts w:ascii="宋体" w:hAnsi="宋体" w:cs="宋体"/>
                <w:sz w:val="24"/>
                <w:szCs w:val="24"/>
              </w:rPr>
            </w:pPr>
          </w:p>
        </w:tc>
        <w:tc>
          <w:tcPr>
            <w:tcW w:w="1464" w:type="dxa"/>
            <w:noWrap/>
            <w:vAlign w:val="center"/>
          </w:tcPr>
          <w:p w14:paraId="35DBD7F1">
            <w:pPr>
              <w:spacing w:line="480" w:lineRule="exact"/>
              <w:rPr>
                <w:rFonts w:ascii="宋体" w:hAnsi="宋体" w:cs="宋体"/>
                <w:sz w:val="24"/>
                <w:szCs w:val="24"/>
              </w:rPr>
            </w:pPr>
          </w:p>
        </w:tc>
        <w:tc>
          <w:tcPr>
            <w:tcW w:w="732" w:type="dxa"/>
            <w:noWrap/>
            <w:vAlign w:val="center"/>
          </w:tcPr>
          <w:p w14:paraId="523EBFD9">
            <w:pPr>
              <w:spacing w:line="480" w:lineRule="exact"/>
              <w:rPr>
                <w:rFonts w:ascii="宋体" w:hAnsi="宋体" w:cs="宋体"/>
                <w:sz w:val="24"/>
                <w:szCs w:val="24"/>
              </w:rPr>
            </w:pPr>
          </w:p>
        </w:tc>
        <w:tc>
          <w:tcPr>
            <w:tcW w:w="829" w:type="dxa"/>
            <w:noWrap/>
            <w:vAlign w:val="center"/>
          </w:tcPr>
          <w:p w14:paraId="557A73DD">
            <w:pPr>
              <w:spacing w:line="480" w:lineRule="exact"/>
              <w:rPr>
                <w:rFonts w:ascii="宋体" w:hAnsi="宋体" w:cs="宋体"/>
                <w:sz w:val="24"/>
                <w:szCs w:val="24"/>
              </w:rPr>
            </w:pPr>
          </w:p>
        </w:tc>
        <w:tc>
          <w:tcPr>
            <w:tcW w:w="896" w:type="dxa"/>
            <w:noWrap/>
            <w:vAlign w:val="center"/>
          </w:tcPr>
          <w:p w14:paraId="21EB62DE">
            <w:pPr>
              <w:spacing w:line="480" w:lineRule="exact"/>
              <w:rPr>
                <w:rFonts w:ascii="宋体" w:hAnsi="宋体" w:cs="宋体"/>
                <w:sz w:val="24"/>
                <w:szCs w:val="24"/>
              </w:rPr>
            </w:pPr>
          </w:p>
        </w:tc>
        <w:tc>
          <w:tcPr>
            <w:tcW w:w="2803" w:type="dxa"/>
            <w:noWrap/>
            <w:vAlign w:val="center"/>
          </w:tcPr>
          <w:p w14:paraId="03D29127">
            <w:pPr>
              <w:spacing w:line="480" w:lineRule="exact"/>
              <w:rPr>
                <w:rFonts w:ascii="宋体" w:hAnsi="宋体" w:cs="宋体"/>
                <w:sz w:val="24"/>
                <w:szCs w:val="24"/>
              </w:rPr>
            </w:pPr>
          </w:p>
        </w:tc>
      </w:tr>
      <w:tr w14:paraId="4B25B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0" w:type="dxa"/>
            <w:noWrap/>
            <w:vAlign w:val="center"/>
          </w:tcPr>
          <w:p w14:paraId="2B9A4586">
            <w:pPr>
              <w:spacing w:line="480" w:lineRule="exact"/>
              <w:rPr>
                <w:rFonts w:ascii="宋体" w:hAnsi="宋体" w:cs="宋体"/>
                <w:sz w:val="24"/>
                <w:szCs w:val="24"/>
              </w:rPr>
            </w:pPr>
          </w:p>
        </w:tc>
        <w:tc>
          <w:tcPr>
            <w:tcW w:w="1464" w:type="dxa"/>
            <w:noWrap/>
            <w:vAlign w:val="center"/>
          </w:tcPr>
          <w:p w14:paraId="0CA92496">
            <w:pPr>
              <w:spacing w:line="480" w:lineRule="exact"/>
              <w:rPr>
                <w:rFonts w:ascii="宋体" w:hAnsi="宋体" w:cs="宋体"/>
                <w:sz w:val="24"/>
                <w:szCs w:val="24"/>
              </w:rPr>
            </w:pPr>
          </w:p>
        </w:tc>
        <w:tc>
          <w:tcPr>
            <w:tcW w:w="732" w:type="dxa"/>
            <w:noWrap/>
            <w:vAlign w:val="center"/>
          </w:tcPr>
          <w:p w14:paraId="08686854">
            <w:pPr>
              <w:spacing w:line="480" w:lineRule="exact"/>
              <w:rPr>
                <w:rFonts w:ascii="宋体" w:hAnsi="宋体" w:cs="宋体"/>
                <w:sz w:val="24"/>
                <w:szCs w:val="24"/>
              </w:rPr>
            </w:pPr>
          </w:p>
        </w:tc>
        <w:tc>
          <w:tcPr>
            <w:tcW w:w="829" w:type="dxa"/>
            <w:noWrap/>
            <w:vAlign w:val="center"/>
          </w:tcPr>
          <w:p w14:paraId="42C17993">
            <w:pPr>
              <w:spacing w:line="480" w:lineRule="exact"/>
              <w:rPr>
                <w:rFonts w:ascii="宋体" w:hAnsi="宋体" w:cs="宋体"/>
                <w:sz w:val="24"/>
                <w:szCs w:val="24"/>
              </w:rPr>
            </w:pPr>
          </w:p>
        </w:tc>
        <w:tc>
          <w:tcPr>
            <w:tcW w:w="896" w:type="dxa"/>
            <w:noWrap/>
            <w:vAlign w:val="center"/>
          </w:tcPr>
          <w:p w14:paraId="3D66445E">
            <w:pPr>
              <w:spacing w:line="480" w:lineRule="exact"/>
              <w:rPr>
                <w:rFonts w:ascii="宋体" w:hAnsi="宋体" w:cs="宋体"/>
                <w:sz w:val="24"/>
                <w:szCs w:val="24"/>
              </w:rPr>
            </w:pPr>
          </w:p>
        </w:tc>
        <w:tc>
          <w:tcPr>
            <w:tcW w:w="2803" w:type="dxa"/>
            <w:noWrap/>
            <w:vAlign w:val="center"/>
          </w:tcPr>
          <w:p w14:paraId="4993E53A">
            <w:pPr>
              <w:spacing w:line="480" w:lineRule="exact"/>
              <w:rPr>
                <w:rFonts w:ascii="宋体" w:hAnsi="宋体" w:cs="宋体"/>
                <w:sz w:val="24"/>
                <w:szCs w:val="24"/>
              </w:rPr>
            </w:pPr>
          </w:p>
        </w:tc>
      </w:tr>
      <w:tr w14:paraId="704DA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0" w:type="dxa"/>
            <w:noWrap/>
            <w:vAlign w:val="center"/>
          </w:tcPr>
          <w:p w14:paraId="1FA86471">
            <w:pPr>
              <w:spacing w:line="480" w:lineRule="exact"/>
              <w:rPr>
                <w:rFonts w:ascii="宋体" w:hAnsi="宋体" w:cs="宋体"/>
                <w:sz w:val="24"/>
                <w:szCs w:val="24"/>
              </w:rPr>
            </w:pPr>
          </w:p>
        </w:tc>
        <w:tc>
          <w:tcPr>
            <w:tcW w:w="1464" w:type="dxa"/>
            <w:noWrap/>
            <w:vAlign w:val="center"/>
          </w:tcPr>
          <w:p w14:paraId="28CF7D51">
            <w:pPr>
              <w:spacing w:line="480" w:lineRule="exact"/>
              <w:rPr>
                <w:rFonts w:ascii="宋体" w:hAnsi="宋体" w:cs="宋体"/>
                <w:sz w:val="24"/>
                <w:szCs w:val="24"/>
              </w:rPr>
            </w:pPr>
          </w:p>
        </w:tc>
        <w:tc>
          <w:tcPr>
            <w:tcW w:w="732" w:type="dxa"/>
            <w:noWrap/>
            <w:vAlign w:val="center"/>
          </w:tcPr>
          <w:p w14:paraId="7F0D0BB8">
            <w:pPr>
              <w:spacing w:line="480" w:lineRule="exact"/>
              <w:rPr>
                <w:rFonts w:ascii="宋体" w:hAnsi="宋体" w:cs="宋体"/>
                <w:sz w:val="24"/>
                <w:szCs w:val="24"/>
              </w:rPr>
            </w:pPr>
          </w:p>
        </w:tc>
        <w:tc>
          <w:tcPr>
            <w:tcW w:w="829" w:type="dxa"/>
            <w:noWrap/>
            <w:vAlign w:val="center"/>
          </w:tcPr>
          <w:p w14:paraId="235C2080">
            <w:pPr>
              <w:spacing w:line="480" w:lineRule="exact"/>
              <w:rPr>
                <w:rFonts w:ascii="宋体" w:hAnsi="宋体" w:cs="宋体"/>
                <w:sz w:val="24"/>
                <w:szCs w:val="24"/>
              </w:rPr>
            </w:pPr>
          </w:p>
        </w:tc>
        <w:tc>
          <w:tcPr>
            <w:tcW w:w="896" w:type="dxa"/>
            <w:noWrap/>
            <w:vAlign w:val="center"/>
          </w:tcPr>
          <w:p w14:paraId="3DF0A752">
            <w:pPr>
              <w:spacing w:line="480" w:lineRule="exact"/>
              <w:rPr>
                <w:rFonts w:ascii="宋体" w:hAnsi="宋体" w:cs="宋体"/>
                <w:sz w:val="24"/>
                <w:szCs w:val="24"/>
              </w:rPr>
            </w:pPr>
          </w:p>
        </w:tc>
        <w:tc>
          <w:tcPr>
            <w:tcW w:w="2803" w:type="dxa"/>
            <w:noWrap/>
            <w:vAlign w:val="center"/>
          </w:tcPr>
          <w:p w14:paraId="567E943F">
            <w:pPr>
              <w:spacing w:line="480" w:lineRule="exact"/>
              <w:rPr>
                <w:rFonts w:ascii="宋体" w:hAnsi="宋体" w:cs="宋体"/>
                <w:sz w:val="24"/>
                <w:szCs w:val="24"/>
              </w:rPr>
            </w:pPr>
          </w:p>
        </w:tc>
      </w:tr>
      <w:tr w14:paraId="5E799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0" w:type="dxa"/>
            <w:noWrap/>
            <w:vAlign w:val="center"/>
          </w:tcPr>
          <w:p w14:paraId="532FFD62">
            <w:pPr>
              <w:spacing w:line="480" w:lineRule="exact"/>
              <w:rPr>
                <w:rFonts w:ascii="宋体" w:hAnsi="宋体" w:cs="宋体"/>
                <w:sz w:val="24"/>
                <w:szCs w:val="24"/>
              </w:rPr>
            </w:pPr>
          </w:p>
        </w:tc>
        <w:tc>
          <w:tcPr>
            <w:tcW w:w="1464" w:type="dxa"/>
            <w:noWrap/>
            <w:vAlign w:val="center"/>
          </w:tcPr>
          <w:p w14:paraId="2B2E0A15">
            <w:pPr>
              <w:spacing w:line="480" w:lineRule="exact"/>
              <w:rPr>
                <w:rFonts w:ascii="宋体" w:hAnsi="宋体" w:cs="宋体"/>
                <w:sz w:val="24"/>
                <w:szCs w:val="24"/>
              </w:rPr>
            </w:pPr>
          </w:p>
        </w:tc>
        <w:tc>
          <w:tcPr>
            <w:tcW w:w="732" w:type="dxa"/>
            <w:noWrap/>
            <w:vAlign w:val="center"/>
          </w:tcPr>
          <w:p w14:paraId="7F5302C8">
            <w:pPr>
              <w:spacing w:line="480" w:lineRule="exact"/>
              <w:rPr>
                <w:rFonts w:ascii="宋体" w:hAnsi="宋体" w:cs="宋体"/>
                <w:sz w:val="24"/>
                <w:szCs w:val="24"/>
              </w:rPr>
            </w:pPr>
          </w:p>
        </w:tc>
        <w:tc>
          <w:tcPr>
            <w:tcW w:w="829" w:type="dxa"/>
            <w:noWrap/>
            <w:vAlign w:val="center"/>
          </w:tcPr>
          <w:p w14:paraId="680247DB">
            <w:pPr>
              <w:spacing w:line="480" w:lineRule="exact"/>
              <w:rPr>
                <w:rFonts w:ascii="宋体" w:hAnsi="宋体" w:cs="宋体"/>
                <w:sz w:val="24"/>
                <w:szCs w:val="24"/>
              </w:rPr>
            </w:pPr>
          </w:p>
        </w:tc>
        <w:tc>
          <w:tcPr>
            <w:tcW w:w="896" w:type="dxa"/>
            <w:noWrap/>
            <w:vAlign w:val="center"/>
          </w:tcPr>
          <w:p w14:paraId="4662E01C">
            <w:pPr>
              <w:spacing w:line="480" w:lineRule="exact"/>
              <w:rPr>
                <w:rFonts w:ascii="宋体" w:hAnsi="宋体" w:cs="宋体"/>
                <w:sz w:val="24"/>
                <w:szCs w:val="24"/>
              </w:rPr>
            </w:pPr>
          </w:p>
        </w:tc>
        <w:tc>
          <w:tcPr>
            <w:tcW w:w="2803" w:type="dxa"/>
            <w:noWrap/>
            <w:vAlign w:val="center"/>
          </w:tcPr>
          <w:p w14:paraId="7F6A9708">
            <w:pPr>
              <w:spacing w:line="480" w:lineRule="exact"/>
              <w:rPr>
                <w:rFonts w:ascii="宋体" w:hAnsi="宋体" w:cs="宋体"/>
                <w:sz w:val="24"/>
                <w:szCs w:val="24"/>
              </w:rPr>
            </w:pPr>
          </w:p>
        </w:tc>
      </w:tr>
      <w:tr w14:paraId="189A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0" w:type="dxa"/>
            <w:noWrap/>
            <w:vAlign w:val="center"/>
          </w:tcPr>
          <w:p w14:paraId="4285CA9C">
            <w:pPr>
              <w:spacing w:line="480" w:lineRule="exact"/>
              <w:rPr>
                <w:rFonts w:ascii="宋体" w:hAnsi="宋体" w:cs="宋体"/>
                <w:sz w:val="24"/>
                <w:szCs w:val="24"/>
              </w:rPr>
            </w:pPr>
          </w:p>
        </w:tc>
        <w:tc>
          <w:tcPr>
            <w:tcW w:w="1464" w:type="dxa"/>
            <w:noWrap/>
            <w:vAlign w:val="center"/>
          </w:tcPr>
          <w:p w14:paraId="47C8CF56">
            <w:pPr>
              <w:spacing w:line="480" w:lineRule="exact"/>
              <w:rPr>
                <w:rFonts w:ascii="宋体" w:hAnsi="宋体" w:cs="宋体"/>
                <w:sz w:val="24"/>
                <w:szCs w:val="24"/>
              </w:rPr>
            </w:pPr>
          </w:p>
        </w:tc>
        <w:tc>
          <w:tcPr>
            <w:tcW w:w="732" w:type="dxa"/>
            <w:noWrap/>
            <w:vAlign w:val="center"/>
          </w:tcPr>
          <w:p w14:paraId="2E5D739A">
            <w:pPr>
              <w:spacing w:line="480" w:lineRule="exact"/>
              <w:rPr>
                <w:rFonts w:ascii="宋体" w:hAnsi="宋体" w:cs="宋体"/>
                <w:sz w:val="24"/>
                <w:szCs w:val="24"/>
              </w:rPr>
            </w:pPr>
          </w:p>
        </w:tc>
        <w:tc>
          <w:tcPr>
            <w:tcW w:w="829" w:type="dxa"/>
            <w:noWrap/>
            <w:vAlign w:val="center"/>
          </w:tcPr>
          <w:p w14:paraId="2C493872">
            <w:pPr>
              <w:spacing w:line="480" w:lineRule="exact"/>
              <w:rPr>
                <w:rFonts w:ascii="宋体" w:hAnsi="宋体" w:cs="宋体"/>
                <w:sz w:val="24"/>
                <w:szCs w:val="24"/>
              </w:rPr>
            </w:pPr>
          </w:p>
        </w:tc>
        <w:tc>
          <w:tcPr>
            <w:tcW w:w="896" w:type="dxa"/>
            <w:noWrap/>
            <w:vAlign w:val="center"/>
          </w:tcPr>
          <w:p w14:paraId="128E87BF">
            <w:pPr>
              <w:spacing w:line="480" w:lineRule="exact"/>
              <w:rPr>
                <w:rFonts w:ascii="宋体" w:hAnsi="宋体" w:cs="宋体"/>
                <w:sz w:val="24"/>
                <w:szCs w:val="24"/>
              </w:rPr>
            </w:pPr>
          </w:p>
        </w:tc>
        <w:tc>
          <w:tcPr>
            <w:tcW w:w="2803" w:type="dxa"/>
            <w:noWrap/>
            <w:vAlign w:val="center"/>
          </w:tcPr>
          <w:p w14:paraId="55A01754">
            <w:pPr>
              <w:spacing w:line="480" w:lineRule="exact"/>
              <w:rPr>
                <w:rFonts w:ascii="宋体" w:hAnsi="宋体" w:cs="宋体"/>
                <w:sz w:val="24"/>
                <w:szCs w:val="24"/>
              </w:rPr>
            </w:pPr>
          </w:p>
        </w:tc>
      </w:tr>
      <w:tr w14:paraId="5BB0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0" w:type="dxa"/>
            <w:noWrap/>
            <w:vAlign w:val="center"/>
          </w:tcPr>
          <w:p w14:paraId="03B44D21">
            <w:pPr>
              <w:spacing w:line="480" w:lineRule="exact"/>
              <w:rPr>
                <w:rFonts w:ascii="宋体" w:hAnsi="宋体" w:cs="宋体"/>
                <w:sz w:val="24"/>
                <w:szCs w:val="24"/>
              </w:rPr>
            </w:pPr>
          </w:p>
        </w:tc>
        <w:tc>
          <w:tcPr>
            <w:tcW w:w="1464" w:type="dxa"/>
            <w:noWrap/>
            <w:vAlign w:val="center"/>
          </w:tcPr>
          <w:p w14:paraId="1D57A957">
            <w:pPr>
              <w:spacing w:line="480" w:lineRule="exact"/>
              <w:rPr>
                <w:rFonts w:ascii="宋体" w:hAnsi="宋体" w:cs="宋体"/>
                <w:sz w:val="24"/>
                <w:szCs w:val="24"/>
              </w:rPr>
            </w:pPr>
          </w:p>
        </w:tc>
        <w:tc>
          <w:tcPr>
            <w:tcW w:w="732" w:type="dxa"/>
            <w:noWrap/>
            <w:vAlign w:val="center"/>
          </w:tcPr>
          <w:p w14:paraId="677D632C">
            <w:pPr>
              <w:spacing w:line="480" w:lineRule="exact"/>
              <w:rPr>
                <w:rFonts w:ascii="宋体" w:hAnsi="宋体" w:cs="宋体"/>
                <w:sz w:val="24"/>
                <w:szCs w:val="24"/>
              </w:rPr>
            </w:pPr>
          </w:p>
        </w:tc>
        <w:tc>
          <w:tcPr>
            <w:tcW w:w="829" w:type="dxa"/>
            <w:noWrap/>
            <w:vAlign w:val="center"/>
          </w:tcPr>
          <w:p w14:paraId="69CC73E7">
            <w:pPr>
              <w:spacing w:line="480" w:lineRule="exact"/>
              <w:rPr>
                <w:rFonts w:ascii="宋体" w:hAnsi="宋体" w:cs="宋体"/>
                <w:sz w:val="24"/>
                <w:szCs w:val="24"/>
              </w:rPr>
            </w:pPr>
          </w:p>
        </w:tc>
        <w:tc>
          <w:tcPr>
            <w:tcW w:w="896" w:type="dxa"/>
            <w:noWrap/>
            <w:vAlign w:val="center"/>
          </w:tcPr>
          <w:p w14:paraId="7CD974E9">
            <w:pPr>
              <w:spacing w:line="480" w:lineRule="exact"/>
              <w:rPr>
                <w:rFonts w:ascii="宋体" w:hAnsi="宋体" w:cs="宋体"/>
                <w:sz w:val="24"/>
                <w:szCs w:val="24"/>
              </w:rPr>
            </w:pPr>
          </w:p>
        </w:tc>
        <w:tc>
          <w:tcPr>
            <w:tcW w:w="2803" w:type="dxa"/>
            <w:noWrap/>
            <w:vAlign w:val="center"/>
          </w:tcPr>
          <w:p w14:paraId="53088737">
            <w:pPr>
              <w:spacing w:line="480" w:lineRule="exact"/>
              <w:rPr>
                <w:rFonts w:ascii="宋体" w:hAnsi="宋体" w:cs="宋体"/>
                <w:sz w:val="24"/>
                <w:szCs w:val="24"/>
              </w:rPr>
            </w:pPr>
          </w:p>
        </w:tc>
      </w:tr>
      <w:tr w14:paraId="2F0C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0" w:type="dxa"/>
            <w:noWrap/>
            <w:vAlign w:val="center"/>
          </w:tcPr>
          <w:p w14:paraId="2714988E">
            <w:pPr>
              <w:spacing w:line="480" w:lineRule="exact"/>
              <w:rPr>
                <w:rFonts w:ascii="宋体" w:hAnsi="宋体" w:cs="宋体"/>
                <w:sz w:val="24"/>
                <w:szCs w:val="24"/>
              </w:rPr>
            </w:pPr>
          </w:p>
        </w:tc>
        <w:tc>
          <w:tcPr>
            <w:tcW w:w="1464" w:type="dxa"/>
            <w:noWrap/>
            <w:vAlign w:val="center"/>
          </w:tcPr>
          <w:p w14:paraId="5921362F">
            <w:pPr>
              <w:spacing w:line="480" w:lineRule="exact"/>
              <w:rPr>
                <w:rFonts w:ascii="宋体" w:hAnsi="宋体" w:cs="宋体"/>
                <w:sz w:val="24"/>
                <w:szCs w:val="24"/>
              </w:rPr>
            </w:pPr>
          </w:p>
        </w:tc>
        <w:tc>
          <w:tcPr>
            <w:tcW w:w="732" w:type="dxa"/>
            <w:noWrap/>
            <w:vAlign w:val="center"/>
          </w:tcPr>
          <w:p w14:paraId="57C73DAE">
            <w:pPr>
              <w:spacing w:line="480" w:lineRule="exact"/>
              <w:rPr>
                <w:rFonts w:ascii="宋体" w:hAnsi="宋体" w:cs="宋体"/>
                <w:sz w:val="24"/>
                <w:szCs w:val="24"/>
              </w:rPr>
            </w:pPr>
          </w:p>
        </w:tc>
        <w:tc>
          <w:tcPr>
            <w:tcW w:w="829" w:type="dxa"/>
            <w:noWrap/>
            <w:vAlign w:val="center"/>
          </w:tcPr>
          <w:p w14:paraId="581FDE18">
            <w:pPr>
              <w:spacing w:line="480" w:lineRule="exact"/>
              <w:rPr>
                <w:rFonts w:ascii="宋体" w:hAnsi="宋体" w:cs="宋体"/>
                <w:sz w:val="24"/>
                <w:szCs w:val="24"/>
              </w:rPr>
            </w:pPr>
          </w:p>
        </w:tc>
        <w:tc>
          <w:tcPr>
            <w:tcW w:w="896" w:type="dxa"/>
            <w:noWrap/>
            <w:vAlign w:val="center"/>
          </w:tcPr>
          <w:p w14:paraId="517CC267">
            <w:pPr>
              <w:spacing w:line="480" w:lineRule="exact"/>
              <w:rPr>
                <w:rFonts w:ascii="宋体" w:hAnsi="宋体" w:cs="宋体"/>
                <w:sz w:val="24"/>
                <w:szCs w:val="24"/>
              </w:rPr>
            </w:pPr>
          </w:p>
        </w:tc>
        <w:tc>
          <w:tcPr>
            <w:tcW w:w="2803" w:type="dxa"/>
            <w:noWrap/>
            <w:vAlign w:val="center"/>
          </w:tcPr>
          <w:p w14:paraId="38F21BD0">
            <w:pPr>
              <w:spacing w:line="480" w:lineRule="exact"/>
              <w:rPr>
                <w:rFonts w:ascii="宋体" w:hAnsi="宋体" w:cs="宋体"/>
                <w:sz w:val="24"/>
                <w:szCs w:val="24"/>
              </w:rPr>
            </w:pPr>
          </w:p>
        </w:tc>
      </w:tr>
      <w:tr w14:paraId="42562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0" w:type="dxa"/>
            <w:noWrap/>
            <w:vAlign w:val="center"/>
          </w:tcPr>
          <w:p w14:paraId="05E6ED8B">
            <w:pPr>
              <w:spacing w:line="480" w:lineRule="exact"/>
              <w:rPr>
                <w:rFonts w:ascii="宋体" w:hAnsi="宋体" w:cs="宋体"/>
                <w:sz w:val="24"/>
                <w:szCs w:val="24"/>
              </w:rPr>
            </w:pPr>
          </w:p>
        </w:tc>
        <w:tc>
          <w:tcPr>
            <w:tcW w:w="1464" w:type="dxa"/>
            <w:noWrap/>
            <w:vAlign w:val="center"/>
          </w:tcPr>
          <w:p w14:paraId="3ADC2456">
            <w:pPr>
              <w:spacing w:line="480" w:lineRule="exact"/>
              <w:rPr>
                <w:rFonts w:ascii="宋体" w:hAnsi="宋体" w:cs="宋体"/>
                <w:sz w:val="24"/>
                <w:szCs w:val="24"/>
              </w:rPr>
            </w:pPr>
          </w:p>
        </w:tc>
        <w:tc>
          <w:tcPr>
            <w:tcW w:w="732" w:type="dxa"/>
            <w:noWrap/>
            <w:vAlign w:val="center"/>
          </w:tcPr>
          <w:p w14:paraId="3282137F">
            <w:pPr>
              <w:spacing w:line="480" w:lineRule="exact"/>
              <w:rPr>
                <w:rFonts w:ascii="宋体" w:hAnsi="宋体" w:cs="宋体"/>
                <w:sz w:val="24"/>
                <w:szCs w:val="24"/>
              </w:rPr>
            </w:pPr>
          </w:p>
        </w:tc>
        <w:tc>
          <w:tcPr>
            <w:tcW w:w="829" w:type="dxa"/>
            <w:noWrap/>
            <w:vAlign w:val="center"/>
          </w:tcPr>
          <w:p w14:paraId="39F0274C">
            <w:pPr>
              <w:spacing w:line="480" w:lineRule="exact"/>
              <w:rPr>
                <w:rFonts w:ascii="宋体" w:hAnsi="宋体" w:cs="宋体"/>
                <w:sz w:val="24"/>
                <w:szCs w:val="24"/>
              </w:rPr>
            </w:pPr>
          </w:p>
        </w:tc>
        <w:tc>
          <w:tcPr>
            <w:tcW w:w="896" w:type="dxa"/>
            <w:noWrap/>
            <w:vAlign w:val="center"/>
          </w:tcPr>
          <w:p w14:paraId="43FE4B61">
            <w:pPr>
              <w:spacing w:line="480" w:lineRule="exact"/>
              <w:rPr>
                <w:rFonts w:ascii="宋体" w:hAnsi="宋体" w:cs="宋体"/>
                <w:sz w:val="24"/>
                <w:szCs w:val="24"/>
              </w:rPr>
            </w:pPr>
          </w:p>
        </w:tc>
        <w:tc>
          <w:tcPr>
            <w:tcW w:w="2803" w:type="dxa"/>
            <w:noWrap/>
            <w:vAlign w:val="center"/>
          </w:tcPr>
          <w:p w14:paraId="0FF2C8AB">
            <w:pPr>
              <w:spacing w:line="480" w:lineRule="exact"/>
              <w:rPr>
                <w:rFonts w:ascii="宋体" w:hAnsi="宋体" w:cs="宋体"/>
                <w:sz w:val="24"/>
                <w:szCs w:val="24"/>
              </w:rPr>
            </w:pPr>
          </w:p>
        </w:tc>
      </w:tr>
      <w:tr w14:paraId="68C5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0" w:type="dxa"/>
            <w:noWrap/>
            <w:vAlign w:val="center"/>
          </w:tcPr>
          <w:p w14:paraId="03C8C692">
            <w:pPr>
              <w:spacing w:line="480" w:lineRule="exact"/>
              <w:rPr>
                <w:rFonts w:ascii="宋体" w:hAnsi="宋体" w:cs="宋体"/>
                <w:sz w:val="24"/>
                <w:szCs w:val="24"/>
              </w:rPr>
            </w:pPr>
          </w:p>
        </w:tc>
        <w:tc>
          <w:tcPr>
            <w:tcW w:w="1464" w:type="dxa"/>
            <w:noWrap/>
            <w:vAlign w:val="center"/>
          </w:tcPr>
          <w:p w14:paraId="0D153B23">
            <w:pPr>
              <w:spacing w:line="480" w:lineRule="exact"/>
              <w:rPr>
                <w:rFonts w:ascii="宋体" w:hAnsi="宋体" w:cs="宋体"/>
                <w:sz w:val="24"/>
                <w:szCs w:val="24"/>
              </w:rPr>
            </w:pPr>
          </w:p>
        </w:tc>
        <w:tc>
          <w:tcPr>
            <w:tcW w:w="732" w:type="dxa"/>
            <w:noWrap/>
            <w:vAlign w:val="center"/>
          </w:tcPr>
          <w:p w14:paraId="4B111836">
            <w:pPr>
              <w:spacing w:line="480" w:lineRule="exact"/>
              <w:rPr>
                <w:rFonts w:ascii="宋体" w:hAnsi="宋体" w:cs="宋体"/>
                <w:sz w:val="24"/>
                <w:szCs w:val="24"/>
              </w:rPr>
            </w:pPr>
          </w:p>
        </w:tc>
        <w:tc>
          <w:tcPr>
            <w:tcW w:w="829" w:type="dxa"/>
            <w:noWrap/>
            <w:vAlign w:val="center"/>
          </w:tcPr>
          <w:p w14:paraId="1F906A35">
            <w:pPr>
              <w:spacing w:line="480" w:lineRule="exact"/>
              <w:rPr>
                <w:rFonts w:ascii="宋体" w:hAnsi="宋体" w:cs="宋体"/>
                <w:sz w:val="24"/>
                <w:szCs w:val="24"/>
              </w:rPr>
            </w:pPr>
          </w:p>
        </w:tc>
        <w:tc>
          <w:tcPr>
            <w:tcW w:w="896" w:type="dxa"/>
            <w:noWrap/>
            <w:vAlign w:val="center"/>
          </w:tcPr>
          <w:p w14:paraId="34CDCFB6">
            <w:pPr>
              <w:spacing w:line="480" w:lineRule="exact"/>
              <w:rPr>
                <w:rFonts w:ascii="宋体" w:hAnsi="宋体" w:cs="宋体"/>
                <w:sz w:val="24"/>
                <w:szCs w:val="24"/>
              </w:rPr>
            </w:pPr>
          </w:p>
        </w:tc>
        <w:tc>
          <w:tcPr>
            <w:tcW w:w="2803" w:type="dxa"/>
            <w:noWrap/>
            <w:vAlign w:val="center"/>
          </w:tcPr>
          <w:p w14:paraId="66EB5270">
            <w:pPr>
              <w:spacing w:line="480" w:lineRule="exact"/>
              <w:rPr>
                <w:rFonts w:ascii="宋体" w:hAnsi="宋体" w:cs="宋体"/>
                <w:sz w:val="24"/>
                <w:szCs w:val="24"/>
              </w:rPr>
            </w:pPr>
          </w:p>
        </w:tc>
      </w:tr>
      <w:tr w14:paraId="29FF7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0" w:type="dxa"/>
            <w:noWrap/>
            <w:vAlign w:val="center"/>
          </w:tcPr>
          <w:p w14:paraId="46D64E21">
            <w:pPr>
              <w:spacing w:line="480" w:lineRule="exact"/>
              <w:rPr>
                <w:rFonts w:ascii="宋体" w:hAnsi="宋体" w:cs="宋体"/>
                <w:sz w:val="24"/>
                <w:szCs w:val="24"/>
              </w:rPr>
            </w:pPr>
          </w:p>
        </w:tc>
        <w:tc>
          <w:tcPr>
            <w:tcW w:w="1464" w:type="dxa"/>
            <w:noWrap/>
            <w:vAlign w:val="center"/>
          </w:tcPr>
          <w:p w14:paraId="6C5ED236">
            <w:pPr>
              <w:spacing w:line="480" w:lineRule="exact"/>
              <w:rPr>
                <w:rFonts w:ascii="宋体" w:hAnsi="宋体" w:cs="宋体"/>
                <w:sz w:val="24"/>
                <w:szCs w:val="24"/>
              </w:rPr>
            </w:pPr>
          </w:p>
        </w:tc>
        <w:tc>
          <w:tcPr>
            <w:tcW w:w="732" w:type="dxa"/>
            <w:noWrap/>
            <w:vAlign w:val="center"/>
          </w:tcPr>
          <w:p w14:paraId="4B695CFC">
            <w:pPr>
              <w:spacing w:line="480" w:lineRule="exact"/>
              <w:rPr>
                <w:rFonts w:ascii="宋体" w:hAnsi="宋体" w:cs="宋体"/>
                <w:sz w:val="24"/>
                <w:szCs w:val="24"/>
              </w:rPr>
            </w:pPr>
          </w:p>
        </w:tc>
        <w:tc>
          <w:tcPr>
            <w:tcW w:w="829" w:type="dxa"/>
            <w:noWrap/>
            <w:vAlign w:val="center"/>
          </w:tcPr>
          <w:p w14:paraId="44944DBD">
            <w:pPr>
              <w:spacing w:line="480" w:lineRule="exact"/>
              <w:rPr>
                <w:rFonts w:ascii="宋体" w:hAnsi="宋体" w:cs="宋体"/>
                <w:sz w:val="24"/>
                <w:szCs w:val="24"/>
              </w:rPr>
            </w:pPr>
          </w:p>
        </w:tc>
        <w:tc>
          <w:tcPr>
            <w:tcW w:w="896" w:type="dxa"/>
            <w:noWrap/>
            <w:vAlign w:val="center"/>
          </w:tcPr>
          <w:p w14:paraId="6A2CB3AA">
            <w:pPr>
              <w:spacing w:line="480" w:lineRule="exact"/>
              <w:rPr>
                <w:rFonts w:ascii="宋体" w:hAnsi="宋体" w:cs="宋体"/>
                <w:sz w:val="24"/>
                <w:szCs w:val="24"/>
              </w:rPr>
            </w:pPr>
          </w:p>
        </w:tc>
        <w:tc>
          <w:tcPr>
            <w:tcW w:w="2803" w:type="dxa"/>
            <w:noWrap/>
            <w:vAlign w:val="center"/>
          </w:tcPr>
          <w:p w14:paraId="18316F7B">
            <w:pPr>
              <w:spacing w:line="480" w:lineRule="exact"/>
              <w:rPr>
                <w:rFonts w:ascii="宋体" w:hAnsi="宋体" w:cs="宋体"/>
                <w:sz w:val="24"/>
                <w:szCs w:val="24"/>
              </w:rPr>
            </w:pPr>
          </w:p>
        </w:tc>
      </w:tr>
      <w:tr w14:paraId="2E3A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0" w:type="dxa"/>
            <w:noWrap/>
            <w:vAlign w:val="center"/>
          </w:tcPr>
          <w:p w14:paraId="0150C8A6">
            <w:pPr>
              <w:spacing w:line="480" w:lineRule="exact"/>
              <w:rPr>
                <w:rFonts w:ascii="宋体" w:hAnsi="宋体" w:cs="宋体"/>
                <w:sz w:val="24"/>
                <w:szCs w:val="24"/>
              </w:rPr>
            </w:pPr>
          </w:p>
        </w:tc>
        <w:tc>
          <w:tcPr>
            <w:tcW w:w="1464" w:type="dxa"/>
            <w:noWrap/>
            <w:vAlign w:val="center"/>
          </w:tcPr>
          <w:p w14:paraId="35DAC6CB">
            <w:pPr>
              <w:spacing w:line="480" w:lineRule="exact"/>
              <w:rPr>
                <w:rFonts w:ascii="宋体" w:hAnsi="宋体" w:cs="宋体"/>
                <w:sz w:val="24"/>
                <w:szCs w:val="24"/>
              </w:rPr>
            </w:pPr>
          </w:p>
        </w:tc>
        <w:tc>
          <w:tcPr>
            <w:tcW w:w="732" w:type="dxa"/>
            <w:noWrap/>
            <w:vAlign w:val="center"/>
          </w:tcPr>
          <w:p w14:paraId="385BD155">
            <w:pPr>
              <w:spacing w:line="480" w:lineRule="exact"/>
              <w:rPr>
                <w:rFonts w:ascii="宋体" w:hAnsi="宋体" w:cs="宋体"/>
                <w:sz w:val="24"/>
                <w:szCs w:val="24"/>
              </w:rPr>
            </w:pPr>
          </w:p>
        </w:tc>
        <w:tc>
          <w:tcPr>
            <w:tcW w:w="829" w:type="dxa"/>
            <w:noWrap/>
            <w:vAlign w:val="center"/>
          </w:tcPr>
          <w:p w14:paraId="4B04F345">
            <w:pPr>
              <w:spacing w:line="480" w:lineRule="exact"/>
              <w:rPr>
                <w:rFonts w:ascii="宋体" w:hAnsi="宋体" w:cs="宋体"/>
                <w:sz w:val="24"/>
                <w:szCs w:val="24"/>
              </w:rPr>
            </w:pPr>
          </w:p>
        </w:tc>
        <w:tc>
          <w:tcPr>
            <w:tcW w:w="896" w:type="dxa"/>
            <w:noWrap/>
            <w:vAlign w:val="center"/>
          </w:tcPr>
          <w:p w14:paraId="07DF7ABD">
            <w:pPr>
              <w:spacing w:line="480" w:lineRule="exact"/>
              <w:rPr>
                <w:rFonts w:ascii="宋体" w:hAnsi="宋体" w:cs="宋体"/>
                <w:sz w:val="24"/>
                <w:szCs w:val="24"/>
              </w:rPr>
            </w:pPr>
          </w:p>
        </w:tc>
        <w:tc>
          <w:tcPr>
            <w:tcW w:w="2803" w:type="dxa"/>
            <w:noWrap/>
            <w:vAlign w:val="center"/>
          </w:tcPr>
          <w:p w14:paraId="0E13900E">
            <w:pPr>
              <w:spacing w:line="480" w:lineRule="exact"/>
              <w:rPr>
                <w:rFonts w:ascii="宋体" w:hAnsi="宋体" w:cs="宋体"/>
                <w:sz w:val="24"/>
                <w:szCs w:val="24"/>
              </w:rPr>
            </w:pPr>
          </w:p>
        </w:tc>
      </w:tr>
      <w:tr w14:paraId="6748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0" w:type="dxa"/>
            <w:noWrap/>
            <w:vAlign w:val="center"/>
          </w:tcPr>
          <w:p w14:paraId="10D70175">
            <w:pPr>
              <w:spacing w:line="480" w:lineRule="exact"/>
              <w:rPr>
                <w:rFonts w:ascii="宋体" w:hAnsi="宋体" w:cs="宋体"/>
                <w:sz w:val="24"/>
                <w:szCs w:val="24"/>
              </w:rPr>
            </w:pPr>
          </w:p>
        </w:tc>
        <w:tc>
          <w:tcPr>
            <w:tcW w:w="1464" w:type="dxa"/>
            <w:noWrap/>
            <w:vAlign w:val="center"/>
          </w:tcPr>
          <w:p w14:paraId="6BF602AF">
            <w:pPr>
              <w:spacing w:line="480" w:lineRule="exact"/>
              <w:rPr>
                <w:rFonts w:ascii="宋体" w:hAnsi="宋体" w:cs="宋体"/>
                <w:sz w:val="24"/>
                <w:szCs w:val="24"/>
              </w:rPr>
            </w:pPr>
          </w:p>
        </w:tc>
        <w:tc>
          <w:tcPr>
            <w:tcW w:w="732" w:type="dxa"/>
            <w:noWrap/>
            <w:vAlign w:val="center"/>
          </w:tcPr>
          <w:p w14:paraId="51405115">
            <w:pPr>
              <w:spacing w:line="480" w:lineRule="exact"/>
              <w:rPr>
                <w:rFonts w:ascii="宋体" w:hAnsi="宋体" w:cs="宋体"/>
                <w:sz w:val="24"/>
                <w:szCs w:val="24"/>
              </w:rPr>
            </w:pPr>
          </w:p>
        </w:tc>
        <w:tc>
          <w:tcPr>
            <w:tcW w:w="829" w:type="dxa"/>
            <w:noWrap/>
            <w:vAlign w:val="center"/>
          </w:tcPr>
          <w:p w14:paraId="7A9FDEAE">
            <w:pPr>
              <w:spacing w:line="480" w:lineRule="exact"/>
              <w:rPr>
                <w:rFonts w:ascii="宋体" w:hAnsi="宋体" w:cs="宋体"/>
                <w:sz w:val="24"/>
                <w:szCs w:val="24"/>
              </w:rPr>
            </w:pPr>
          </w:p>
        </w:tc>
        <w:tc>
          <w:tcPr>
            <w:tcW w:w="896" w:type="dxa"/>
            <w:noWrap/>
            <w:vAlign w:val="center"/>
          </w:tcPr>
          <w:p w14:paraId="681D76AD">
            <w:pPr>
              <w:spacing w:line="480" w:lineRule="exact"/>
              <w:rPr>
                <w:rFonts w:ascii="宋体" w:hAnsi="宋体" w:cs="宋体"/>
                <w:sz w:val="24"/>
                <w:szCs w:val="24"/>
              </w:rPr>
            </w:pPr>
          </w:p>
        </w:tc>
        <w:tc>
          <w:tcPr>
            <w:tcW w:w="2803" w:type="dxa"/>
            <w:noWrap/>
            <w:vAlign w:val="center"/>
          </w:tcPr>
          <w:p w14:paraId="6454C74D">
            <w:pPr>
              <w:spacing w:line="480" w:lineRule="exact"/>
              <w:rPr>
                <w:rFonts w:ascii="宋体" w:hAnsi="宋体" w:cs="宋体"/>
                <w:sz w:val="24"/>
                <w:szCs w:val="24"/>
              </w:rPr>
            </w:pPr>
          </w:p>
        </w:tc>
      </w:tr>
      <w:tr w14:paraId="7AA0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20" w:type="dxa"/>
            <w:noWrap/>
            <w:vAlign w:val="center"/>
          </w:tcPr>
          <w:p w14:paraId="7F8F76A4">
            <w:pPr>
              <w:spacing w:line="480" w:lineRule="exact"/>
              <w:rPr>
                <w:rFonts w:ascii="宋体" w:hAnsi="宋体" w:cs="宋体"/>
                <w:sz w:val="24"/>
                <w:szCs w:val="24"/>
              </w:rPr>
            </w:pPr>
          </w:p>
        </w:tc>
        <w:tc>
          <w:tcPr>
            <w:tcW w:w="1464" w:type="dxa"/>
            <w:noWrap/>
            <w:vAlign w:val="center"/>
          </w:tcPr>
          <w:p w14:paraId="4F3B1AED">
            <w:pPr>
              <w:spacing w:line="480" w:lineRule="exact"/>
              <w:rPr>
                <w:rFonts w:ascii="宋体" w:hAnsi="宋体" w:cs="宋体"/>
                <w:sz w:val="24"/>
                <w:szCs w:val="24"/>
              </w:rPr>
            </w:pPr>
          </w:p>
        </w:tc>
        <w:tc>
          <w:tcPr>
            <w:tcW w:w="732" w:type="dxa"/>
            <w:noWrap/>
            <w:vAlign w:val="center"/>
          </w:tcPr>
          <w:p w14:paraId="54BDA8E2">
            <w:pPr>
              <w:spacing w:line="480" w:lineRule="exact"/>
              <w:rPr>
                <w:rFonts w:ascii="宋体" w:hAnsi="宋体" w:cs="宋体"/>
                <w:sz w:val="24"/>
                <w:szCs w:val="24"/>
              </w:rPr>
            </w:pPr>
          </w:p>
        </w:tc>
        <w:tc>
          <w:tcPr>
            <w:tcW w:w="829" w:type="dxa"/>
            <w:noWrap/>
            <w:vAlign w:val="center"/>
          </w:tcPr>
          <w:p w14:paraId="6D46E094">
            <w:pPr>
              <w:spacing w:line="480" w:lineRule="exact"/>
              <w:rPr>
                <w:rFonts w:ascii="宋体" w:hAnsi="宋体" w:cs="宋体"/>
                <w:sz w:val="24"/>
                <w:szCs w:val="24"/>
              </w:rPr>
            </w:pPr>
          </w:p>
        </w:tc>
        <w:tc>
          <w:tcPr>
            <w:tcW w:w="896" w:type="dxa"/>
            <w:noWrap/>
            <w:vAlign w:val="center"/>
          </w:tcPr>
          <w:p w14:paraId="15ACA795">
            <w:pPr>
              <w:spacing w:line="480" w:lineRule="exact"/>
              <w:rPr>
                <w:rFonts w:ascii="宋体" w:hAnsi="宋体" w:cs="宋体"/>
                <w:sz w:val="24"/>
                <w:szCs w:val="24"/>
              </w:rPr>
            </w:pPr>
          </w:p>
        </w:tc>
        <w:tc>
          <w:tcPr>
            <w:tcW w:w="2803" w:type="dxa"/>
            <w:noWrap/>
            <w:vAlign w:val="center"/>
          </w:tcPr>
          <w:p w14:paraId="7E25F55A">
            <w:pPr>
              <w:spacing w:line="480" w:lineRule="exact"/>
              <w:rPr>
                <w:rFonts w:ascii="宋体" w:hAnsi="宋体" w:cs="宋体"/>
                <w:sz w:val="24"/>
                <w:szCs w:val="24"/>
              </w:rPr>
            </w:pPr>
          </w:p>
        </w:tc>
      </w:tr>
      <w:tr w14:paraId="75954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0" w:type="dxa"/>
            <w:noWrap/>
            <w:vAlign w:val="center"/>
          </w:tcPr>
          <w:p w14:paraId="4AE9A64D">
            <w:pPr>
              <w:spacing w:line="480" w:lineRule="exact"/>
              <w:rPr>
                <w:rFonts w:ascii="宋体" w:hAnsi="宋体" w:cs="宋体"/>
                <w:sz w:val="24"/>
                <w:szCs w:val="24"/>
              </w:rPr>
            </w:pPr>
          </w:p>
        </w:tc>
        <w:tc>
          <w:tcPr>
            <w:tcW w:w="1464" w:type="dxa"/>
            <w:noWrap/>
            <w:vAlign w:val="center"/>
          </w:tcPr>
          <w:p w14:paraId="685FFBEF">
            <w:pPr>
              <w:spacing w:line="480" w:lineRule="exact"/>
              <w:rPr>
                <w:rFonts w:ascii="宋体" w:hAnsi="宋体" w:cs="宋体"/>
                <w:sz w:val="24"/>
                <w:szCs w:val="24"/>
              </w:rPr>
            </w:pPr>
          </w:p>
        </w:tc>
        <w:tc>
          <w:tcPr>
            <w:tcW w:w="732" w:type="dxa"/>
            <w:noWrap/>
            <w:vAlign w:val="center"/>
          </w:tcPr>
          <w:p w14:paraId="31004214">
            <w:pPr>
              <w:spacing w:line="480" w:lineRule="exact"/>
              <w:rPr>
                <w:rFonts w:ascii="宋体" w:hAnsi="宋体" w:cs="宋体"/>
                <w:sz w:val="24"/>
                <w:szCs w:val="24"/>
              </w:rPr>
            </w:pPr>
          </w:p>
        </w:tc>
        <w:tc>
          <w:tcPr>
            <w:tcW w:w="829" w:type="dxa"/>
            <w:noWrap/>
            <w:vAlign w:val="center"/>
          </w:tcPr>
          <w:p w14:paraId="351C7552">
            <w:pPr>
              <w:spacing w:line="480" w:lineRule="exact"/>
              <w:rPr>
                <w:rFonts w:ascii="宋体" w:hAnsi="宋体" w:cs="宋体"/>
                <w:sz w:val="24"/>
                <w:szCs w:val="24"/>
              </w:rPr>
            </w:pPr>
          </w:p>
        </w:tc>
        <w:tc>
          <w:tcPr>
            <w:tcW w:w="896" w:type="dxa"/>
            <w:noWrap/>
            <w:vAlign w:val="center"/>
          </w:tcPr>
          <w:p w14:paraId="658C8BDC">
            <w:pPr>
              <w:spacing w:line="480" w:lineRule="exact"/>
              <w:rPr>
                <w:rFonts w:ascii="宋体" w:hAnsi="宋体" w:cs="宋体"/>
                <w:sz w:val="24"/>
                <w:szCs w:val="24"/>
              </w:rPr>
            </w:pPr>
          </w:p>
        </w:tc>
        <w:tc>
          <w:tcPr>
            <w:tcW w:w="2803" w:type="dxa"/>
            <w:noWrap/>
            <w:vAlign w:val="center"/>
          </w:tcPr>
          <w:p w14:paraId="43967657">
            <w:pPr>
              <w:spacing w:line="480" w:lineRule="exact"/>
              <w:rPr>
                <w:rFonts w:ascii="宋体" w:hAnsi="宋体" w:cs="宋体"/>
                <w:sz w:val="24"/>
                <w:szCs w:val="24"/>
              </w:rPr>
            </w:pPr>
          </w:p>
        </w:tc>
      </w:tr>
      <w:tr w14:paraId="28EF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0" w:type="dxa"/>
            <w:noWrap/>
            <w:vAlign w:val="center"/>
          </w:tcPr>
          <w:p w14:paraId="7F0FB41E">
            <w:pPr>
              <w:spacing w:line="480" w:lineRule="exact"/>
              <w:rPr>
                <w:rFonts w:ascii="宋体" w:hAnsi="宋体" w:cs="宋体"/>
                <w:sz w:val="24"/>
                <w:szCs w:val="24"/>
              </w:rPr>
            </w:pPr>
          </w:p>
        </w:tc>
        <w:tc>
          <w:tcPr>
            <w:tcW w:w="1464" w:type="dxa"/>
            <w:noWrap/>
            <w:vAlign w:val="center"/>
          </w:tcPr>
          <w:p w14:paraId="6DCC4810">
            <w:pPr>
              <w:spacing w:line="480" w:lineRule="exact"/>
              <w:rPr>
                <w:rFonts w:ascii="宋体" w:hAnsi="宋体" w:cs="宋体"/>
                <w:sz w:val="24"/>
                <w:szCs w:val="24"/>
              </w:rPr>
            </w:pPr>
          </w:p>
        </w:tc>
        <w:tc>
          <w:tcPr>
            <w:tcW w:w="732" w:type="dxa"/>
            <w:noWrap/>
            <w:vAlign w:val="center"/>
          </w:tcPr>
          <w:p w14:paraId="6E496B74">
            <w:pPr>
              <w:spacing w:line="480" w:lineRule="exact"/>
              <w:rPr>
                <w:rFonts w:ascii="宋体" w:hAnsi="宋体" w:cs="宋体"/>
                <w:sz w:val="24"/>
                <w:szCs w:val="24"/>
              </w:rPr>
            </w:pPr>
          </w:p>
        </w:tc>
        <w:tc>
          <w:tcPr>
            <w:tcW w:w="829" w:type="dxa"/>
            <w:noWrap/>
            <w:vAlign w:val="center"/>
          </w:tcPr>
          <w:p w14:paraId="7AC83ED5">
            <w:pPr>
              <w:spacing w:line="480" w:lineRule="exact"/>
              <w:rPr>
                <w:rFonts w:ascii="宋体" w:hAnsi="宋体" w:cs="宋体"/>
                <w:sz w:val="24"/>
                <w:szCs w:val="24"/>
              </w:rPr>
            </w:pPr>
          </w:p>
        </w:tc>
        <w:tc>
          <w:tcPr>
            <w:tcW w:w="896" w:type="dxa"/>
            <w:noWrap/>
            <w:vAlign w:val="center"/>
          </w:tcPr>
          <w:p w14:paraId="020B2B09">
            <w:pPr>
              <w:spacing w:line="480" w:lineRule="exact"/>
              <w:rPr>
                <w:rFonts w:ascii="宋体" w:hAnsi="宋体" w:cs="宋体"/>
                <w:sz w:val="24"/>
                <w:szCs w:val="24"/>
              </w:rPr>
            </w:pPr>
          </w:p>
        </w:tc>
        <w:tc>
          <w:tcPr>
            <w:tcW w:w="2803" w:type="dxa"/>
            <w:noWrap/>
            <w:vAlign w:val="center"/>
          </w:tcPr>
          <w:p w14:paraId="5D3A9263">
            <w:pPr>
              <w:spacing w:line="480" w:lineRule="exact"/>
              <w:rPr>
                <w:rFonts w:ascii="宋体" w:hAnsi="宋体" w:cs="宋体"/>
                <w:sz w:val="24"/>
                <w:szCs w:val="24"/>
              </w:rPr>
            </w:pPr>
          </w:p>
        </w:tc>
      </w:tr>
    </w:tbl>
    <w:p w14:paraId="471196C2">
      <w:pPr>
        <w:pStyle w:val="17"/>
        <w:spacing w:line="480" w:lineRule="exact"/>
        <w:ind w:firstLine="540"/>
        <w:rPr>
          <w:rFonts w:ascii="宋体" w:hAnsi="宋体" w:eastAsia="宋体" w:cs="宋体"/>
          <w:sz w:val="24"/>
          <w:szCs w:val="24"/>
        </w:rPr>
      </w:pPr>
      <w:r>
        <w:rPr>
          <w:rFonts w:hint="eastAsia" w:ascii="宋体" w:hAnsi="宋体" w:eastAsia="宋体" w:cs="宋体"/>
          <w:sz w:val="24"/>
          <w:szCs w:val="24"/>
        </w:rPr>
        <w:t>注：投标人需随此表附上相关证明材料。</w:t>
      </w:r>
    </w:p>
    <w:p w14:paraId="4A57B4D2">
      <w:pPr>
        <w:spacing w:line="480" w:lineRule="exact"/>
        <w:jc w:val="center"/>
        <w:rPr>
          <w:rFonts w:ascii="宋体" w:hAnsi="宋体" w:cs="宋体"/>
          <w:sz w:val="24"/>
          <w:szCs w:val="24"/>
        </w:rPr>
      </w:pPr>
    </w:p>
    <w:p w14:paraId="4FEA3C5E">
      <w:pPr>
        <w:spacing w:line="480" w:lineRule="exact"/>
        <w:rPr>
          <w:rFonts w:ascii="宋体" w:hAnsi="宋体" w:cs="宋体"/>
          <w:b/>
          <w:sz w:val="24"/>
          <w:szCs w:val="24"/>
        </w:rPr>
      </w:pPr>
      <w:bookmarkStart w:id="424" w:name="_Toc60537406"/>
    </w:p>
    <w:p w14:paraId="3F6BBFE6">
      <w:pPr>
        <w:spacing w:line="480" w:lineRule="exact"/>
        <w:jc w:val="center"/>
        <w:rPr>
          <w:rFonts w:ascii="宋体" w:hAnsi="宋体" w:cs="宋体"/>
          <w:b/>
          <w:sz w:val="24"/>
          <w:szCs w:val="24"/>
        </w:rPr>
      </w:pPr>
    </w:p>
    <w:bookmarkEnd w:id="424"/>
    <w:p w14:paraId="3C3963E4">
      <w:pPr>
        <w:rPr>
          <w:rFonts w:ascii="宋体" w:hAnsi="宋体" w:cs="宋体"/>
          <w:sz w:val="24"/>
          <w:szCs w:val="24"/>
        </w:rPr>
      </w:pPr>
    </w:p>
    <w:p w14:paraId="7443CA14">
      <w:pPr>
        <w:jc w:val="left"/>
        <w:outlineLvl w:val="1"/>
        <w:rPr>
          <w:rFonts w:ascii="宋体" w:hAnsi="宋体" w:cs="宋体"/>
          <w:bCs/>
          <w:sz w:val="24"/>
          <w:szCs w:val="24"/>
        </w:rPr>
      </w:pPr>
      <w:bookmarkStart w:id="425" w:name="_Toc17437"/>
      <w:bookmarkStart w:id="426" w:name="_Toc23065"/>
      <w:r>
        <w:rPr>
          <w:rFonts w:hint="eastAsia" w:ascii="宋体" w:hAnsi="宋体" w:cs="宋体"/>
          <w:b/>
          <w:bCs/>
          <w:sz w:val="24"/>
          <w:szCs w:val="24"/>
        </w:rPr>
        <w:t>八、投标人基本情况表</w:t>
      </w:r>
      <w:bookmarkEnd w:id="425"/>
      <w:bookmarkEnd w:id="426"/>
    </w:p>
    <w:p w14:paraId="037C78F4">
      <w:pPr>
        <w:spacing w:line="480" w:lineRule="exact"/>
        <w:jc w:val="center"/>
        <w:rPr>
          <w:rFonts w:ascii="宋体" w:hAnsi="宋体" w:cs="宋体"/>
          <w:b/>
          <w:bCs/>
          <w:sz w:val="24"/>
          <w:szCs w:val="24"/>
        </w:rPr>
      </w:pPr>
    </w:p>
    <w:tbl>
      <w:tblPr>
        <w:tblStyle w:val="29"/>
        <w:tblpPr w:leftFromText="180" w:rightFromText="180" w:vertAnchor="text" w:horzAnchor="margin" w:tblpXSpec="center" w:tblpY="163"/>
        <w:tblOverlap w:val="never"/>
        <w:tblW w:w="9300" w:type="dxa"/>
        <w:tblInd w:w="0" w:type="dxa"/>
        <w:tblLayout w:type="fixed"/>
        <w:tblCellMar>
          <w:top w:w="0" w:type="dxa"/>
          <w:left w:w="108" w:type="dxa"/>
          <w:bottom w:w="0" w:type="dxa"/>
          <w:right w:w="108" w:type="dxa"/>
        </w:tblCellMar>
      </w:tblPr>
      <w:tblGrid>
        <w:gridCol w:w="1982"/>
        <w:gridCol w:w="1083"/>
        <w:gridCol w:w="1059"/>
        <w:gridCol w:w="1098"/>
        <w:gridCol w:w="648"/>
        <w:gridCol w:w="1360"/>
        <w:gridCol w:w="2070"/>
      </w:tblGrid>
      <w:tr w14:paraId="5DE9158C">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bottom w:val="single" w:color="auto" w:sz="4" w:space="0"/>
              <w:right w:val="single" w:color="auto" w:sz="4" w:space="0"/>
            </w:tcBorders>
            <w:noWrap/>
            <w:vAlign w:val="center"/>
          </w:tcPr>
          <w:p w14:paraId="0F172741">
            <w:pPr>
              <w:topLinePunct/>
              <w:spacing w:line="480" w:lineRule="exact"/>
              <w:jc w:val="center"/>
              <w:rPr>
                <w:rFonts w:ascii="宋体" w:hAnsi="宋体" w:cs="宋体"/>
                <w:sz w:val="24"/>
                <w:szCs w:val="24"/>
              </w:rPr>
            </w:pPr>
            <w:r>
              <w:rPr>
                <w:rFonts w:hint="eastAsia" w:ascii="宋体" w:hAnsi="宋体" w:cs="宋体"/>
                <w:sz w:val="24"/>
                <w:szCs w:val="24"/>
              </w:rPr>
              <w:t>投标人名称</w:t>
            </w:r>
          </w:p>
        </w:tc>
        <w:tc>
          <w:tcPr>
            <w:tcW w:w="7318" w:type="dxa"/>
            <w:gridSpan w:val="6"/>
            <w:tcBorders>
              <w:top w:val="single" w:color="auto" w:sz="4" w:space="0"/>
              <w:left w:val="nil"/>
              <w:bottom w:val="single" w:color="auto" w:sz="4" w:space="0"/>
              <w:right w:val="single" w:color="auto" w:sz="4" w:space="0"/>
            </w:tcBorders>
            <w:noWrap/>
            <w:vAlign w:val="center"/>
          </w:tcPr>
          <w:p w14:paraId="31AC8B56">
            <w:pPr>
              <w:topLinePunct/>
              <w:spacing w:line="480" w:lineRule="exact"/>
              <w:jc w:val="center"/>
              <w:rPr>
                <w:rFonts w:ascii="宋体" w:hAnsi="宋体" w:cs="宋体"/>
                <w:sz w:val="24"/>
                <w:szCs w:val="24"/>
              </w:rPr>
            </w:pPr>
          </w:p>
        </w:tc>
      </w:tr>
      <w:tr w14:paraId="6F237C75">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bottom w:val="single" w:color="auto" w:sz="4" w:space="0"/>
              <w:right w:val="single" w:color="auto" w:sz="4" w:space="0"/>
            </w:tcBorders>
            <w:noWrap/>
            <w:vAlign w:val="center"/>
          </w:tcPr>
          <w:p w14:paraId="2096A7BC">
            <w:pPr>
              <w:topLinePunct/>
              <w:spacing w:line="480" w:lineRule="exact"/>
              <w:jc w:val="center"/>
              <w:rPr>
                <w:rFonts w:ascii="宋体" w:hAnsi="宋体" w:cs="宋体"/>
                <w:sz w:val="24"/>
                <w:szCs w:val="24"/>
              </w:rPr>
            </w:pPr>
            <w:r>
              <w:rPr>
                <w:rFonts w:hint="eastAsia" w:ascii="宋体" w:hAnsi="宋体" w:cs="宋体"/>
                <w:sz w:val="24"/>
                <w:szCs w:val="24"/>
              </w:rPr>
              <w:t>注册地址</w:t>
            </w:r>
          </w:p>
        </w:tc>
        <w:tc>
          <w:tcPr>
            <w:tcW w:w="3888" w:type="dxa"/>
            <w:gridSpan w:val="4"/>
            <w:tcBorders>
              <w:top w:val="single" w:color="auto" w:sz="4" w:space="0"/>
              <w:left w:val="nil"/>
              <w:bottom w:val="single" w:color="auto" w:sz="4" w:space="0"/>
              <w:right w:val="single" w:color="auto" w:sz="4" w:space="0"/>
            </w:tcBorders>
            <w:noWrap/>
            <w:vAlign w:val="center"/>
          </w:tcPr>
          <w:p w14:paraId="4BA31261">
            <w:pPr>
              <w:topLinePunct/>
              <w:spacing w:line="480" w:lineRule="exact"/>
              <w:jc w:val="center"/>
              <w:rPr>
                <w:rFonts w:ascii="宋体" w:hAnsi="宋体" w:cs="宋体"/>
                <w:sz w:val="24"/>
                <w:szCs w:val="24"/>
              </w:rPr>
            </w:pPr>
          </w:p>
        </w:tc>
        <w:tc>
          <w:tcPr>
            <w:tcW w:w="1360" w:type="dxa"/>
            <w:tcBorders>
              <w:top w:val="single" w:color="auto" w:sz="4" w:space="0"/>
              <w:left w:val="nil"/>
              <w:bottom w:val="single" w:color="auto" w:sz="4" w:space="0"/>
              <w:right w:val="single" w:color="auto" w:sz="4" w:space="0"/>
            </w:tcBorders>
            <w:noWrap/>
            <w:vAlign w:val="center"/>
          </w:tcPr>
          <w:p w14:paraId="3B42BDB9">
            <w:pPr>
              <w:topLinePunct/>
              <w:spacing w:line="480" w:lineRule="exact"/>
              <w:jc w:val="center"/>
              <w:rPr>
                <w:rFonts w:ascii="宋体" w:hAnsi="宋体" w:cs="宋体"/>
                <w:sz w:val="24"/>
                <w:szCs w:val="24"/>
              </w:rPr>
            </w:pPr>
            <w:r>
              <w:rPr>
                <w:rFonts w:hint="eastAsia" w:ascii="宋体" w:hAnsi="宋体" w:cs="宋体"/>
                <w:sz w:val="24"/>
                <w:szCs w:val="24"/>
              </w:rPr>
              <w:t>邮政编码</w:t>
            </w:r>
          </w:p>
        </w:tc>
        <w:tc>
          <w:tcPr>
            <w:tcW w:w="2070" w:type="dxa"/>
            <w:tcBorders>
              <w:top w:val="single" w:color="auto" w:sz="4" w:space="0"/>
              <w:left w:val="nil"/>
              <w:bottom w:val="single" w:color="auto" w:sz="4" w:space="0"/>
              <w:right w:val="single" w:color="auto" w:sz="4" w:space="0"/>
            </w:tcBorders>
            <w:noWrap/>
            <w:vAlign w:val="center"/>
          </w:tcPr>
          <w:p w14:paraId="0D4EC9B3">
            <w:pPr>
              <w:topLinePunct/>
              <w:spacing w:line="480" w:lineRule="exact"/>
              <w:jc w:val="center"/>
              <w:rPr>
                <w:rFonts w:ascii="宋体" w:hAnsi="宋体" w:cs="宋体"/>
                <w:sz w:val="24"/>
                <w:szCs w:val="24"/>
              </w:rPr>
            </w:pPr>
          </w:p>
        </w:tc>
      </w:tr>
      <w:tr w14:paraId="14749C2B">
        <w:tblPrEx>
          <w:tblCellMar>
            <w:top w:w="0" w:type="dxa"/>
            <w:left w:w="108" w:type="dxa"/>
            <w:bottom w:w="0" w:type="dxa"/>
            <w:right w:w="108" w:type="dxa"/>
          </w:tblCellMar>
        </w:tblPrEx>
        <w:trPr>
          <w:cantSplit/>
          <w:trHeight w:val="676" w:hRule="atLeast"/>
        </w:trPr>
        <w:tc>
          <w:tcPr>
            <w:tcW w:w="1982" w:type="dxa"/>
            <w:vMerge w:val="restart"/>
            <w:tcBorders>
              <w:top w:val="nil"/>
              <w:left w:val="single" w:color="auto" w:sz="4" w:space="0"/>
              <w:bottom w:val="single" w:color="auto" w:sz="4" w:space="0"/>
              <w:right w:val="single" w:color="auto" w:sz="4" w:space="0"/>
            </w:tcBorders>
            <w:noWrap/>
            <w:vAlign w:val="center"/>
          </w:tcPr>
          <w:p w14:paraId="38124D25">
            <w:pPr>
              <w:topLinePunct/>
              <w:spacing w:line="480" w:lineRule="exact"/>
              <w:jc w:val="center"/>
              <w:rPr>
                <w:rFonts w:ascii="宋体" w:hAnsi="宋体" w:cs="宋体"/>
                <w:sz w:val="24"/>
                <w:szCs w:val="24"/>
              </w:rPr>
            </w:pPr>
            <w:r>
              <w:rPr>
                <w:rFonts w:hint="eastAsia" w:ascii="宋体" w:hAnsi="宋体" w:cs="宋体"/>
                <w:sz w:val="24"/>
                <w:szCs w:val="24"/>
              </w:rPr>
              <w:t>联系方式</w:t>
            </w:r>
          </w:p>
        </w:tc>
        <w:tc>
          <w:tcPr>
            <w:tcW w:w="1083" w:type="dxa"/>
            <w:tcBorders>
              <w:top w:val="single" w:color="auto" w:sz="4" w:space="0"/>
              <w:left w:val="nil"/>
              <w:bottom w:val="single" w:color="auto" w:sz="4" w:space="0"/>
              <w:right w:val="single" w:color="auto" w:sz="4" w:space="0"/>
            </w:tcBorders>
            <w:noWrap/>
            <w:vAlign w:val="center"/>
          </w:tcPr>
          <w:p w14:paraId="43EF3803">
            <w:pPr>
              <w:topLinePunct/>
              <w:spacing w:line="480" w:lineRule="exact"/>
              <w:jc w:val="center"/>
              <w:rPr>
                <w:rFonts w:ascii="宋体" w:hAnsi="宋体" w:cs="宋体"/>
                <w:sz w:val="24"/>
                <w:szCs w:val="24"/>
              </w:rPr>
            </w:pPr>
            <w:r>
              <w:rPr>
                <w:rFonts w:hint="eastAsia" w:ascii="宋体" w:hAnsi="宋体" w:cs="宋体"/>
                <w:sz w:val="24"/>
                <w:szCs w:val="24"/>
              </w:rPr>
              <w:t>联系人</w:t>
            </w:r>
          </w:p>
        </w:tc>
        <w:tc>
          <w:tcPr>
            <w:tcW w:w="2805" w:type="dxa"/>
            <w:gridSpan w:val="3"/>
            <w:tcBorders>
              <w:top w:val="single" w:color="auto" w:sz="4" w:space="0"/>
              <w:left w:val="nil"/>
              <w:bottom w:val="single" w:color="auto" w:sz="4" w:space="0"/>
              <w:right w:val="single" w:color="auto" w:sz="4" w:space="0"/>
            </w:tcBorders>
            <w:noWrap/>
            <w:vAlign w:val="center"/>
          </w:tcPr>
          <w:p w14:paraId="1C3B3967">
            <w:pPr>
              <w:topLinePunct/>
              <w:spacing w:line="480" w:lineRule="exact"/>
              <w:jc w:val="center"/>
              <w:rPr>
                <w:rFonts w:ascii="宋体" w:hAnsi="宋体" w:cs="宋体"/>
                <w:sz w:val="24"/>
                <w:szCs w:val="24"/>
              </w:rPr>
            </w:pPr>
          </w:p>
        </w:tc>
        <w:tc>
          <w:tcPr>
            <w:tcW w:w="1360" w:type="dxa"/>
            <w:tcBorders>
              <w:top w:val="single" w:color="auto" w:sz="4" w:space="0"/>
              <w:left w:val="nil"/>
              <w:bottom w:val="single" w:color="auto" w:sz="4" w:space="0"/>
              <w:right w:val="single" w:color="auto" w:sz="4" w:space="0"/>
            </w:tcBorders>
            <w:noWrap/>
            <w:vAlign w:val="center"/>
          </w:tcPr>
          <w:p w14:paraId="499B03C0">
            <w:pPr>
              <w:topLinePunct/>
              <w:spacing w:line="480" w:lineRule="exact"/>
              <w:jc w:val="center"/>
              <w:rPr>
                <w:rFonts w:ascii="宋体" w:hAnsi="宋体" w:cs="宋体"/>
                <w:sz w:val="24"/>
                <w:szCs w:val="24"/>
              </w:rPr>
            </w:pPr>
            <w:r>
              <w:rPr>
                <w:rFonts w:hint="eastAsia" w:ascii="宋体" w:hAnsi="宋体" w:cs="宋体"/>
                <w:sz w:val="24"/>
                <w:szCs w:val="24"/>
              </w:rPr>
              <w:t>电 话</w:t>
            </w:r>
          </w:p>
        </w:tc>
        <w:tc>
          <w:tcPr>
            <w:tcW w:w="2070" w:type="dxa"/>
            <w:tcBorders>
              <w:top w:val="single" w:color="auto" w:sz="4" w:space="0"/>
              <w:left w:val="nil"/>
              <w:bottom w:val="single" w:color="auto" w:sz="4" w:space="0"/>
              <w:right w:val="single" w:color="auto" w:sz="4" w:space="0"/>
            </w:tcBorders>
            <w:noWrap/>
            <w:vAlign w:val="center"/>
          </w:tcPr>
          <w:p w14:paraId="3A17B66E">
            <w:pPr>
              <w:topLinePunct/>
              <w:spacing w:line="480" w:lineRule="exact"/>
              <w:jc w:val="center"/>
              <w:rPr>
                <w:rFonts w:ascii="宋体" w:hAnsi="宋体" w:cs="宋体"/>
                <w:sz w:val="24"/>
                <w:szCs w:val="24"/>
              </w:rPr>
            </w:pPr>
          </w:p>
        </w:tc>
      </w:tr>
      <w:tr w14:paraId="4ED86E61">
        <w:tblPrEx>
          <w:tblCellMar>
            <w:top w:w="0" w:type="dxa"/>
            <w:left w:w="108" w:type="dxa"/>
            <w:bottom w:w="0" w:type="dxa"/>
            <w:right w:w="108" w:type="dxa"/>
          </w:tblCellMar>
        </w:tblPrEx>
        <w:trPr>
          <w:cantSplit/>
          <w:trHeight w:val="676" w:hRule="atLeast"/>
        </w:trPr>
        <w:tc>
          <w:tcPr>
            <w:tcW w:w="1982" w:type="dxa"/>
            <w:vMerge w:val="continue"/>
            <w:tcBorders>
              <w:top w:val="nil"/>
              <w:left w:val="single" w:color="auto" w:sz="4" w:space="0"/>
              <w:bottom w:val="single" w:color="auto" w:sz="4" w:space="0"/>
              <w:right w:val="single" w:color="auto" w:sz="4" w:space="0"/>
            </w:tcBorders>
            <w:noWrap/>
            <w:vAlign w:val="center"/>
          </w:tcPr>
          <w:p w14:paraId="6DD68FC5">
            <w:pPr>
              <w:spacing w:line="480" w:lineRule="exact"/>
              <w:rPr>
                <w:rFonts w:ascii="宋体" w:hAnsi="宋体" w:cs="宋体"/>
                <w:sz w:val="24"/>
                <w:szCs w:val="24"/>
              </w:rPr>
            </w:pPr>
          </w:p>
        </w:tc>
        <w:tc>
          <w:tcPr>
            <w:tcW w:w="1083" w:type="dxa"/>
            <w:tcBorders>
              <w:top w:val="single" w:color="auto" w:sz="4" w:space="0"/>
              <w:left w:val="nil"/>
              <w:bottom w:val="single" w:color="auto" w:sz="4" w:space="0"/>
              <w:right w:val="single" w:color="auto" w:sz="4" w:space="0"/>
            </w:tcBorders>
            <w:noWrap/>
            <w:vAlign w:val="center"/>
          </w:tcPr>
          <w:p w14:paraId="2A1AE8FD">
            <w:pPr>
              <w:topLinePunct/>
              <w:spacing w:line="480" w:lineRule="exact"/>
              <w:jc w:val="center"/>
              <w:rPr>
                <w:rFonts w:ascii="宋体" w:hAnsi="宋体" w:cs="宋体"/>
                <w:sz w:val="24"/>
                <w:szCs w:val="24"/>
              </w:rPr>
            </w:pPr>
            <w:r>
              <w:rPr>
                <w:rFonts w:hint="eastAsia" w:ascii="宋体" w:hAnsi="宋体" w:cs="宋体"/>
                <w:sz w:val="24"/>
                <w:szCs w:val="24"/>
              </w:rPr>
              <w:t>传  真</w:t>
            </w:r>
          </w:p>
        </w:tc>
        <w:tc>
          <w:tcPr>
            <w:tcW w:w="2805" w:type="dxa"/>
            <w:gridSpan w:val="3"/>
            <w:tcBorders>
              <w:top w:val="single" w:color="auto" w:sz="4" w:space="0"/>
              <w:left w:val="nil"/>
              <w:bottom w:val="single" w:color="auto" w:sz="4" w:space="0"/>
              <w:right w:val="single" w:color="auto" w:sz="4" w:space="0"/>
            </w:tcBorders>
            <w:noWrap/>
            <w:vAlign w:val="center"/>
          </w:tcPr>
          <w:p w14:paraId="2EB748B2">
            <w:pPr>
              <w:topLinePunct/>
              <w:spacing w:line="480" w:lineRule="exact"/>
              <w:jc w:val="center"/>
              <w:rPr>
                <w:rFonts w:ascii="宋体" w:hAnsi="宋体" w:cs="宋体"/>
                <w:sz w:val="24"/>
                <w:szCs w:val="24"/>
              </w:rPr>
            </w:pPr>
          </w:p>
        </w:tc>
        <w:tc>
          <w:tcPr>
            <w:tcW w:w="1360" w:type="dxa"/>
            <w:tcBorders>
              <w:top w:val="single" w:color="auto" w:sz="4" w:space="0"/>
              <w:left w:val="nil"/>
              <w:bottom w:val="single" w:color="auto" w:sz="4" w:space="0"/>
              <w:right w:val="single" w:color="auto" w:sz="4" w:space="0"/>
            </w:tcBorders>
            <w:noWrap/>
            <w:vAlign w:val="center"/>
          </w:tcPr>
          <w:p w14:paraId="2F92124E">
            <w:pPr>
              <w:topLinePunct/>
              <w:spacing w:line="480" w:lineRule="exact"/>
              <w:jc w:val="center"/>
              <w:rPr>
                <w:rFonts w:ascii="宋体" w:hAnsi="宋体" w:cs="宋体"/>
                <w:sz w:val="24"/>
                <w:szCs w:val="24"/>
              </w:rPr>
            </w:pPr>
            <w:r>
              <w:rPr>
                <w:rFonts w:hint="eastAsia" w:ascii="宋体" w:hAnsi="宋体" w:cs="宋体"/>
                <w:sz w:val="24"/>
                <w:szCs w:val="24"/>
              </w:rPr>
              <w:t>网 址</w:t>
            </w:r>
          </w:p>
        </w:tc>
        <w:tc>
          <w:tcPr>
            <w:tcW w:w="2070" w:type="dxa"/>
            <w:tcBorders>
              <w:top w:val="single" w:color="auto" w:sz="4" w:space="0"/>
              <w:left w:val="nil"/>
              <w:bottom w:val="single" w:color="auto" w:sz="4" w:space="0"/>
              <w:right w:val="single" w:color="auto" w:sz="4" w:space="0"/>
            </w:tcBorders>
            <w:noWrap/>
            <w:vAlign w:val="center"/>
          </w:tcPr>
          <w:p w14:paraId="305B2411">
            <w:pPr>
              <w:topLinePunct/>
              <w:spacing w:line="480" w:lineRule="exact"/>
              <w:jc w:val="center"/>
              <w:rPr>
                <w:rFonts w:ascii="宋体" w:hAnsi="宋体" w:cs="宋体"/>
                <w:sz w:val="24"/>
                <w:szCs w:val="24"/>
              </w:rPr>
            </w:pPr>
          </w:p>
        </w:tc>
      </w:tr>
      <w:tr w14:paraId="04904F02">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bottom w:val="single" w:color="auto" w:sz="4" w:space="0"/>
              <w:right w:val="single" w:color="auto" w:sz="4" w:space="0"/>
            </w:tcBorders>
            <w:noWrap/>
            <w:vAlign w:val="center"/>
          </w:tcPr>
          <w:p w14:paraId="4F67971A">
            <w:pPr>
              <w:topLinePunct/>
              <w:spacing w:line="480" w:lineRule="exact"/>
              <w:jc w:val="center"/>
              <w:rPr>
                <w:rFonts w:ascii="宋体" w:hAnsi="宋体" w:cs="宋体"/>
                <w:sz w:val="24"/>
                <w:szCs w:val="24"/>
              </w:rPr>
            </w:pPr>
            <w:r>
              <w:rPr>
                <w:rFonts w:hint="eastAsia" w:ascii="宋体" w:hAnsi="宋体" w:cs="宋体"/>
                <w:sz w:val="24"/>
                <w:szCs w:val="24"/>
              </w:rPr>
              <w:t>法定代表人</w:t>
            </w:r>
          </w:p>
        </w:tc>
        <w:tc>
          <w:tcPr>
            <w:tcW w:w="1083" w:type="dxa"/>
            <w:tcBorders>
              <w:top w:val="single" w:color="auto" w:sz="4" w:space="0"/>
              <w:left w:val="nil"/>
              <w:bottom w:val="single" w:color="auto" w:sz="4" w:space="0"/>
              <w:right w:val="single" w:color="auto" w:sz="4" w:space="0"/>
            </w:tcBorders>
            <w:noWrap/>
            <w:vAlign w:val="center"/>
          </w:tcPr>
          <w:p w14:paraId="0F365198">
            <w:pPr>
              <w:topLinePunct/>
              <w:spacing w:line="480" w:lineRule="exact"/>
              <w:jc w:val="center"/>
              <w:rPr>
                <w:rFonts w:ascii="宋体" w:hAnsi="宋体" w:cs="宋体"/>
                <w:sz w:val="24"/>
                <w:szCs w:val="24"/>
              </w:rPr>
            </w:pPr>
            <w:r>
              <w:rPr>
                <w:rFonts w:hint="eastAsia" w:ascii="宋体" w:hAnsi="宋体" w:cs="宋体"/>
                <w:sz w:val="24"/>
                <w:szCs w:val="24"/>
              </w:rPr>
              <w:t>姓名</w:t>
            </w:r>
          </w:p>
        </w:tc>
        <w:tc>
          <w:tcPr>
            <w:tcW w:w="1059" w:type="dxa"/>
            <w:tcBorders>
              <w:top w:val="single" w:color="auto" w:sz="4" w:space="0"/>
              <w:left w:val="nil"/>
              <w:bottom w:val="single" w:color="auto" w:sz="4" w:space="0"/>
              <w:right w:val="single" w:color="auto" w:sz="4" w:space="0"/>
            </w:tcBorders>
            <w:noWrap/>
            <w:vAlign w:val="center"/>
          </w:tcPr>
          <w:p w14:paraId="0994E635">
            <w:pPr>
              <w:topLinePunct/>
              <w:spacing w:line="480" w:lineRule="exact"/>
              <w:jc w:val="center"/>
              <w:rPr>
                <w:rFonts w:ascii="宋体" w:hAnsi="宋体" w:cs="宋体"/>
                <w:sz w:val="24"/>
                <w:szCs w:val="24"/>
              </w:rPr>
            </w:pPr>
          </w:p>
        </w:tc>
        <w:tc>
          <w:tcPr>
            <w:tcW w:w="1098" w:type="dxa"/>
            <w:tcBorders>
              <w:top w:val="single" w:color="auto" w:sz="4" w:space="0"/>
              <w:left w:val="nil"/>
              <w:bottom w:val="single" w:color="auto" w:sz="4" w:space="0"/>
              <w:right w:val="single" w:color="auto" w:sz="4" w:space="0"/>
            </w:tcBorders>
            <w:noWrap/>
            <w:vAlign w:val="center"/>
          </w:tcPr>
          <w:p w14:paraId="79475B7D">
            <w:pPr>
              <w:topLinePunct/>
              <w:spacing w:line="480" w:lineRule="exact"/>
              <w:jc w:val="center"/>
              <w:rPr>
                <w:rFonts w:ascii="宋体" w:hAnsi="宋体" w:cs="宋体"/>
                <w:sz w:val="24"/>
                <w:szCs w:val="24"/>
              </w:rPr>
            </w:pPr>
            <w:r>
              <w:rPr>
                <w:rFonts w:hint="eastAsia" w:ascii="宋体" w:hAnsi="宋体" w:cs="宋体"/>
                <w:sz w:val="24"/>
                <w:szCs w:val="24"/>
              </w:rPr>
              <w:t>电话</w:t>
            </w:r>
          </w:p>
        </w:tc>
        <w:tc>
          <w:tcPr>
            <w:tcW w:w="4078" w:type="dxa"/>
            <w:gridSpan w:val="3"/>
            <w:tcBorders>
              <w:top w:val="single" w:color="auto" w:sz="4" w:space="0"/>
              <w:left w:val="nil"/>
              <w:bottom w:val="single" w:color="auto" w:sz="4" w:space="0"/>
              <w:right w:val="single" w:color="auto" w:sz="4" w:space="0"/>
            </w:tcBorders>
            <w:noWrap/>
            <w:vAlign w:val="center"/>
          </w:tcPr>
          <w:p w14:paraId="30E35084">
            <w:pPr>
              <w:topLinePunct/>
              <w:spacing w:line="480" w:lineRule="exact"/>
              <w:jc w:val="center"/>
              <w:rPr>
                <w:rFonts w:ascii="宋体" w:hAnsi="宋体" w:cs="宋体"/>
                <w:sz w:val="24"/>
                <w:szCs w:val="24"/>
              </w:rPr>
            </w:pPr>
          </w:p>
        </w:tc>
      </w:tr>
      <w:tr w14:paraId="4E566C16">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bottom w:val="single" w:color="auto" w:sz="4" w:space="0"/>
              <w:right w:val="single" w:color="auto" w:sz="4" w:space="0"/>
            </w:tcBorders>
            <w:noWrap/>
            <w:vAlign w:val="center"/>
          </w:tcPr>
          <w:p w14:paraId="6BDD4269">
            <w:pPr>
              <w:topLinePunct/>
              <w:spacing w:line="480" w:lineRule="exact"/>
              <w:jc w:val="center"/>
              <w:rPr>
                <w:rFonts w:ascii="宋体" w:hAnsi="宋体" w:cs="宋体"/>
                <w:sz w:val="24"/>
                <w:szCs w:val="24"/>
              </w:rPr>
            </w:pPr>
            <w:r>
              <w:rPr>
                <w:rFonts w:hint="eastAsia" w:ascii="宋体" w:hAnsi="宋体" w:cs="宋体"/>
                <w:sz w:val="24"/>
                <w:szCs w:val="24"/>
              </w:rPr>
              <w:t>联系人</w:t>
            </w:r>
          </w:p>
        </w:tc>
        <w:tc>
          <w:tcPr>
            <w:tcW w:w="1083" w:type="dxa"/>
            <w:tcBorders>
              <w:top w:val="single" w:color="auto" w:sz="4" w:space="0"/>
              <w:left w:val="nil"/>
              <w:bottom w:val="single" w:color="auto" w:sz="4" w:space="0"/>
              <w:right w:val="single" w:color="auto" w:sz="4" w:space="0"/>
            </w:tcBorders>
            <w:noWrap/>
            <w:vAlign w:val="center"/>
          </w:tcPr>
          <w:p w14:paraId="417A8F97">
            <w:pPr>
              <w:topLinePunct/>
              <w:spacing w:line="480" w:lineRule="exact"/>
              <w:jc w:val="center"/>
              <w:rPr>
                <w:rFonts w:ascii="宋体" w:hAnsi="宋体" w:cs="宋体"/>
                <w:sz w:val="24"/>
                <w:szCs w:val="24"/>
              </w:rPr>
            </w:pPr>
            <w:r>
              <w:rPr>
                <w:rFonts w:hint="eastAsia" w:ascii="宋体" w:hAnsi="宋体" w:cs="宋体"/>
                <w:sz w:val="24"/>
                <w:szCs w:val="24"/>
              </w:rPr>
              <w:t>姓名</w:t>
            </w:r>
          </w:p>
        </w:tc>
        <w:tc>
          <w:tcPr>
            <w:tcW w:w="1059" w:type="dxa"/>
            <w:tcBorders>
              <w:top w:val="single" w:color="auto" w:sz="4" w:space="0"/>
              <w:left w:val="nil"/>
              <w:bottom w:val="single" w:color="auto" w:sz="4" w:space="0"/>
              <w:right w:val="single" w:color="auto" w:sz="4" w:space="0"/>
            </w:tcBorders>
            <w:noWrap/>
            <w:vAlign w:val="center"/>
          </w:tcPr>
          <w:p w14:paraId="3237A5B9">
            <w:pPr>
              <w:topLinePunct/>
              <w:spacing w:line="480" w:lineRule="exact"/>
              <w:jc w:val="center"/>
              <w:rPr>
                <w:rFonts w:ascii="宋体" w:hAnsi="宋体" w:cs="宋体"/>
                <w:sz w:val="24"/>
                <w:szCs w:val="24"/>
              </w:rPr>
            </w:pPr>
          </w:p>
        </w:tc>
        <w:tc>
          <w:tcPr>
            <w:tcW w:w="1098" w:type="dxa"/>
            <w:tcBorders>
              <w:top w:val="single" w:color="auto" w:sz="4" w:space="0"/>
              <w:left w:val="nil"/>
              <w:bottom w:val="single" w:color="auto" w:sz="4" w:space="0"/>
              <w:right w:val="single" w:color="auto" w:sz="4" w:space="0"/>
            </w:tcBorders>
            <w:noWrap/>
            <w:vAlign w:val="center"/>
          </w:tcPr>
          <w:p w14:paraId="0ABCB821">
            <w:pPr>
              <w:topLinePunct/>
              <w:spacing w:line="480" w:lineRule="exact"/>
              <w:jc w:val="center"/>
              <w:rPr>
                <w:rFonts w:ascii="宋体" w:hAnsi="宋体" w:cs="宋体"/>
                <w:sz w:val="24"/>
                <w:szCs w:val="24"/>
              </w:rPr>
            </w:pPr>
            <w:r>
              <w:rPr>
                <w:rFonts w:hint="eastAsia" w:ascii="宋体" w:hAnsi="宋体" w:cs="宋体"/>
                <w:sz w:val="24"/>
                <w:szCs w:val="24"/>
              </w:rPr>
              <w:t>电话</w:t>
            </w:r>
          </w:p>
        </w:tc>
        <w:tc>
          <w:tcPr>
            <w:tcW w:w="4078" w:type="dxa"/>
            <w:gridSpan w:val="3"/>
            <w:tcBorders>
              <w:top w:val="single" w:color="auto" w:sz="4" w:space="0"/>
              <w:left w:val="nil"/>
              <w:bottom w:val="single" w:color="auto" w:sz="4" w:space="0"/>
              <w:right w:val="single" w:color="auto" w:sz="4" w:space="0"/>
            </w:tcBorders>
            <w:noWrap/>
            <w:vAlign w:val="center"/>
          </w:tcPr>
          <w:p w14:paraId="48F2F284">
            <w:pPr>
              <w:topLinePunct/>
              <w:spacing w:line="480" w:lineRule="exact"/>
              <w:jc w:val="center"/>
              <w:rPr>
                <w:rFonts w:ascii="宋体" w:hAnsi="宋体" w:cs="宋体"/>
                <w:sz w:val="24"/>
                <w:szCs w:val="24"/>
              </w:rPr>
            </w:pPr>
          </w:p>
        </w:tc>
      </w:tr>
      <w:tr w14:paraId="31294E80">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bottom w:val="single" w:color="auto" w:sz="4" w:space="0"/>
              <w:right w:val="single" w:color="auto" w:sz="4" w:space="0"/>
            </w:tcBorders>
            <w:noWrap/>
            <w:vAlign w:val="center"/>
          </w:tcPr>
          <w:p w14:paraId="2E49C579">
            <w:pPr>
              <w:topLinePunct/>
              <w:spacing w:line="480" w:lineRule="exact"/>
              <w:jc w:val="center"/>
              <w:rPr>
                <w:rFonts w:ascii="宋体" w:hAnsi="宋体" w:cs="宋体"/>
                <w:sz w:val="24"/>
                <w:szCs w:val="24"/>
              </w:rPr>
            </w:pPr>
            <w:r>
              <w:rPr>
                <w:rFonts w:hint="eastAsia" w:ascii="宋体" w:hAnsi="宋体" w:cs="宋体"/>
                <w:sz w:val="24"/>
                <w:szCs w:val="24"/>
              </w:rPr>
              <w:t>成立时间</w:t>
            </w:r>
          </w:p>
        </w:tc>
        <w:tc>
          <w:tcPr>
            <w:tcW w:w="2142" w:type="dxa"/>
            <w:gridSpan w:val="2"/>
            <w:tcBorders>
              <w:top w:val="single" w:color="auto" w:sz="4" w:space="0"/>
              <w:left w:val="nil"/>
              <w:bottom w:val="single" w:color="auto" w:sz="4" w:space="0"/>
              <w:right w:val="single" w:color="auto" w:sz="4" w:space="0"/>
            </w:tcBorders>
            <w:noWrap/>
            <w:vAlign w:val="center"/>
          </w:tcPr>
          <w:p w14:paraId="292A75AC">
            <w:pPr>
              <w:topLinePunct/>
              <w:spacing w:line="480" w:lineRule="exact"/>
              <w:jc w:val="center"/>
              <w:rPr>
                <w:rFonts w:ascii="宋体" w:hAnsi="宋体" w:cs="宋体"/>
                <w:sz w:val="24"/>
                <w:szCs w:val="24"/>
              </w:rPr>
            </w:pPr>
          </w:p>
        </w:tc>
        <w:tc>
          <w:tcPr>
            <w:tcW w:w="5176" w:type="dxa"/>
            <w:gridSpan w:val="4"/>
            <w:tcBorders>
              <w:top w:val="single" w:color="auto" w:sz="4" w:space="0"/>
              <w:left w:val="nil"/>
              <w:bottom w:val="single" w:color="auto" w:sz="4" w:space="0"/>
              <w:right w:val="single" w:color="auto" w:sz="4" w:space="0"/>
            </w:tcBorders>
            <w:noWrap/>
            <w:vAlign w:val="center"/>
          </w:tcPr>
          <w:p w14:paraId="78AF3983">
            <w:pPr>
              <w:topLinePunct/>
              <w:spacing w:line="480" w:lineRule="exact"/>
              <w:ind w:firstLine="120" w:firstLineChars="50"/>
              <w:jc w:val="center"/>
              <w:rPr>
                <w:rFonts w:ascii="宋体" w:hAnsi="宋体" w:cs="宋体"/>
                <w:sz w:val="24"/>
                <w:szCs w:val="24"/>
              </w:rPr>
            </w:pPr>
            <w:r>
              <w:rPr>
                <w:rFonts w:hint="eastAsia" w:ascii="宋体" w:hAnsi="宋体" w:cs="宋体"/>
                <w:sz w:val="24"/>
                <w:szCs w:val="24"/>
              </w:rPr>
              <w:t>员工总人数：</w:t>
            </w:r>
          </w:p>
        </w:tc>
      </w:tr>
      <w:tr w14:paraId="5F51BD31">
        <w:tblPrEx>
          <w:tblCellMar>
            <w:top w:w="0" w:type="dxa"/>
            <w:left w:w="108" w:type="dxa"/>
            <w:bottom w:w="0" w:type="dxa"/>
            <w:right w:w="108" w:type="dxa"/>
          </w:tblCellMar>
        </w:tblPrEx>
        <w:trPr>
          <w:cantSplit/>
          <w:trHeight w:val="676" w:hRule="atLeast"/>
        </w:trPr>
        <w:tc>
          <w:tcPr>
            <w:tcW w:w="1982" w:type="dxa"/>
            <w:tcBorders>
              <w:top w:val="single" w:color="auto" w:sz="4" w:space="0"/>
              <w:left w:val="single" w:color="auto" w:sz="4" w:space="0"/>
              <w:bottom w:val="single" w:color="auto" w:sz="4" w:space="0"/>
              <w:right w:val="single" w:color="auto" w:sz="4" w:space="0"/>
            </w:tcBorders>
            <w:noWrap/>
            <w:vAlign w:val="center"/>
          </w:tcPr>
          <w:p w14:paraId="781EF281">
            <w:pPr>
              <w:topLinePunct/>
              <w:spacing w:line="480" w:lineRule="exact"/>
              <w:jc w:val="center"/>
              <w:rPr>
                <w:rFonts w:ascii="宋体" w:hAnsi="宋体" w:cs="宋体"/>
                <w:sz w:val="24"/>
                <w:szCs w:val="24"/>
              </w:rPr>
            </w:pPr>
            <w:r>
              <w:rPr>
                <w:rFonts w:hint="eastAsia" w:ascii="宋体" w:hAnsi="宋体" w:cs="宋体"/>
                <w:sz w:val="24"/>
                <w:szCs w:val="24"/>
              </w:rPr>
              <w:t>营业执照号</w:t>
            </w:r>
          </w:p>
        </w:tc>
        <w:tc>
          <w:tcPr>
            <w:tcW w:w="7318" w:type="dxa"/>
            <w:gridSpan w:val="6"/>
            <w:tcBorders>
              <w:top w:val="single" w:color="auto" w:sz="4" w:space="0"/>
              <w:left w:val="nil"/>
              <w:bottom w:val="single" w:color="auto" w:sz="4" w:space="0"/>
              <w:right w:val="single" w:color="auto" w:sz="4" w:space="0"/>
            </w:tcBorders>
            <w:noWrap/>
            <w:vAlign w:val="center"/>
          </w:tcPr>
          <w:p w14:paraId="73E0A3F1">
            <w:pPr>
              <w:topLinePunct/>
              <w:spacing w:line="480" w:lineRule="exact"/>
              <w:jc w:val="center"/>
              <w:rPr>
                <w:rFonts w:ascii="宋体" w:hAnsi="宋体" w:cs="宋体"/>
                <w:sz w:val="24"/>
                <w:szCs w:val="24"/>
              </w:rPr>
            </w:pPr>
          </w:p>
        </w:tc>
      </w:tr>
      <w:tr w14:paraId="7470F2DF">
        <w:tblPrEx>
          <w:tblCellMar>
            <w:top w:w="0" w:type="dxa"/>
            <w:left w:w="108" w:type="dxa"/>
            <w:bottom w:w="0" w:type="dxa"/>
            <w:right w:w="108" w:type="dxa"/>
          </w:tblCellMar>
        </w:tblPrEx>
        <w:trPr>
          <w:cantSplit/>
          <w:trHeight w:val="676" w:hRule="atLeast"/>
        </w:trPr>
        <w:tc>
          <w:tcPr>
            <w:tcW w:w="1982" w:type="dxa"/>
            <w:tcBorders>
              <w:top w:val="single" w:color="auto" w:sz="4" w:space="0"/>
              <w:left w:val="single" w:color="auto" w:sz="4" w:space="0"/>
              <w:bottom w:val="single" w:color="auto" w:sz="4" w:space="0"/>
              <w:right w:val="single" w:color="auto" w:sz="4" w:space="0"/>
            </w:tcBorders>
            <w:noWrap/>
            <w:vAlign w:val="center"/>
          </w:tcPr>
          <w:p w14:paraId="51606415">
            <w:pPr>
              <w:topLinePunct/>
              <w:spacing w:line="480" w:lineRule="exact"/>
              <w:jc w:val="center"/>
              <w:rPr>
                <w:rFonts w:ascii="宋体" w:hAnsi="宋体" w:cs="宋体"/>
                <w:sz w:val="24"/>
                <w:szCs w:val="24"/>
              </w:rPr>
            </w:pPr>
            <w:r>
              <w:rPr>
                <w:rFonts w:hint="eastAsia" w:ascii="宋体" w:hAnsi="宋体" w:cs="宋体"/>
                <w:sz w:val="24"/>
                <w:szCs w:val="24"/>
              </w:rPr>
              <w:t>注册资金</w:t>
            </w:r>
          </w:p>
        </w:tc>
        <w:tc>
          <w:tcPr>
            <w:tcW w:w="7318" w:type="dxa"/>
            <w:gridSpan w:val="6"/>
            <w:tcBorders>
              <w:top w:val="single" w:color="auto" w:sz="4" w:space="0"/>
              <w:left w:val="nil"/>
              <w:bottom w:val="single" w:color="auto" w:sz="4" w:space="0"/>
              <w:right w:val="single" w:color="auto" w:sz="4" w:space="0"/>
            </w:tcBorders>
            <w:noWrap/>
            <w:vAlign w:val="center"/>
          </w:tcPr>
          <w:p w14:paraId="1F7102A9">
            <w:pPr>
              <w:topLinePunct/>
              <w:spacing w:line="480" w:lineRule="exact"/>
              <w:jc w:val="center"/>
              <w:rPr>
                <w:rFonts w:ascii="宋体" w:hAnsi="宋体" w:cs="宋体"/>
                <w:sz w:val="24"/>
                <w:szCs w:val="24"/>
              </w:rPr>
            </w:pPr>
          </w:p>
        </w:tc>
      </w:tr>
      <w:tr w14:paraId="1832D651">
        <w:tblPrEx>
          <w:tblCellMar>
            <w:top w:w="0" w:type="dxa"/>
            <w:left w:w="108" w:type="dxa"/>
            <w:bottom w:w="0" w:type="dxa"/>
            <w:right w:w="108" w:type="dxa"/>
          </w:tblCellMar>
        </w:tblPrEx>
        <w:trPr>
          <w:cantSplit/>
          <w:trHeight w:val="676" w:hRule="atLeast"/>
        </w:trPr>
        <w:tc>
          <w:tcPr>
            <w:tcW w:w="1982" w:type="dxa"/>
            <w:tcBorders>
              <w:top w:val="single" w:color="auto" w:sz="4" w:space="0"/>
              <w:left w:val="single" w:color="auto" w:sz="4" w:space="0"/>
              <w:bottom w:val="single" w:color="auto" w:sz="4" w:space="0"/>
              <w:right w:val="single" w:color="auto" w:sz="4" w:space="0"/>
            </w:tcBorders>
            <w:noWrap/>
            <w:vAlign w:val="center"/>
          </w:tcPr>
          <w:p w14:paraId="201FAA65">
            <w:pPr>
              <w:topLinePunct/>
              <w:spacing w:line="480" w:lineRule="exact"/>
              <w:jc w:val="center"/>
              <w:rPr>
                <w:rFonts w:ascii="宋体" w:hAnsi="宋体" w:cs="宋体"/>
                <w:sz w:val="24"/>
                <w:szCs w:val="24"/>
              </w:rPr>
            </w:pPr>
            <w:r>
              <w:rPr>
                <w:rFonts w:hint="eastAsia" w:ascii="宋体" w:hAnsi="宋体" w:cs="宋体"/>
                <w:sz w:val="24"/>
                <w:szCs w:val="24"/>
              </w:rPr>
              <w:t>地址</w:t>
            </w:r>
          </w:p>
        </w:tc>
        <w:tc>
          <w:tcPr>
            <w:tcW w:w="7318" w:type="dxa"/>
            <w:gridSpan w:val="6"/>
            <w:tcBorders>
              <w:top w:val="single" w:color="auto" w:sz="4" w:space="0"/>
              <w:left w:val="nil"/>
              <w:bottom w:val="single" w:color="auto" w:sz="4" w:space="0"/>
              <w:right w:val="single" w:color="auto" w:sz="4" w:space="0"/>
            </w:tcBorders>
            <w:noWrap/>
            <w:vAlign w:val="center"/>
          </w:tcPr>
          <w:p w14:paraId="016C6D02">
            <w:pPr>
              <w:topLinePunct/>
              <w:spacing w:line="480" w:lineRule="exact"/>
              <w:jc w:val="center"/>
              <w:rPr>
                <w:rFonts w:ascii="宋体" w:hAnsi="宋体" w:cs="宋体"/>
                <w:sz w:val="24"/>
                <w:szCs w:val="24"/>
              </w:rPr>
            </w:pPr>
          </w:p>
        </w:tc>
      </w:tr>
      <w:tr w14:paraId="5EC4A680">
        <w:tblPrEx>
          <w:tblCellMar>
            <w:top w:w="0" w:type="dxa"/>
            <w:left w:w="108" w:type="dxa"/>
            <w:bottom w:w="0" w:type="dxa"/>
            <w:right w:w="108" w:type="dxa"/>
          </w:tblCellMar>
        </w:tblPrEx>
        <w:trPr>
          <w:trHeight w:val="676" w:hRule="atLeast"/>
        </w:trPr>
        <w:tc>
          <w:tcPr>
            <w:tcW w:w="1982" w:type="dxa"/>
            <w:tcBorders>
              <w:top w:val="single" w:color="auto" w:sz="4" w:space="0"/>
              <w:left w:val="single" w:color="auto" w:sz="4" w:space="0"/>
              <w:right w:val="single" w:color="auto" w:sz="4" w:space="0"/>
            </w:tcBorders>
            <w:noWrap/>
            <w:vAlign w:val="center"/>
          </w:tcPr>
          <w:p w14:paraId="307B0B09">
            <w:pPr>
              <w:topLinePunct/>
              <w:spacing w:line="480" w:lineRule="exact"/>
              <w:ind w:firstLine="240" w:firstLineChars="100"/>
              <w:jc w:val="center"/>
              <w:rPr>
                <w:rFonts w:ascii="宋体" w:hAnsi="宋体" w:cs="宋体"/>
                <w:sz w:val="24"/>
                <w:szCs w:val="24"/>
              </w:rPr>
            </w:pPr>
            <w:r>
              <w:rPr>
                <w:rFonts w:hint="eastAsia" w:ascii="宋体" w:hAnsi="宋体" w:cs="宋体"/>
                <w:sz w:val="24"/>
                <w:szCs w:val="24"/>
              </w:rPr>
              <w:t>经营范围</w:t>
            </w:r>
          </w:p>
        </w:tc>
        <w:tc>
          <w:tcPr>
            <w:tcW w:w="7318" w:type="dxa"/>
            <w:gridSpan w:val="6"/>
            <w:tcBorders>
              <w:top w:val="single" w:color="auto" w:sz="4" w:space="0"/>
              <w:left w:val="nil"/>
              <w:right w:val="single" w:color="auto" w:sz="4" w:space="0"/>
            </w:tcBorders>
            <w:noWrap/>
            <w:vAlign w:val="center"/>
          </w:tcPr>
          <w:p w14:paraId="3C8DC990">
            <w:pPr>
              <w:topLinePunct/>
              <w:spacing w:line="480" w:lineRule="exact"/>
              <w:rPr>
                <w:rFonts w:ascii="宋体" w:hAnsi="宋体" w:cs="宋体"/>
                <w:sz w:val="24"/>
                <w:szCs w:val="24"/>
              </w:rPr>
            </w:pPr>
          </w:p>
        </w:tc>
      </w:tr>
      <w:tr w14:paraId="177285AC">
        <w:tblPrEx>
          <w:tblCellMar>
            <w:top w:w="0" w:type="dxa"/>
            <w:left w:w="108" w:type="dxa"/>
            <w:bottom w:w="0" w:type="dxa"/>
            <w:right w:w="108" w:type="dxa"/>
          </w:tblCellMar>
        </w:tblPrEx>
        <w:trPr>
          <w:trHeight w:val="689" w:hRule="atLeast"/>
        </w:trPr>
        <w:tc>
          <w:tcPr>
            <w:tcW w:w="1982" w:type="dxa"/>
            <w:tcBorders>
              <w:top w:val="single" w:color="auto" w:sz="4" w:space="0"/>
              <w:left w:val="single" w:color="auto" w:sz="4" w:space="0"/>
              <w:bottom w:val="single" w:color="auto" w:sz="4" w:space="0"/>
              <w:right w:val="single" w:color="auto" w:sz="4" w:space="0"/>
            </w:tcBorders>
            <w:noWrap/>
            <w:vAlign w:val="center"/>
          </w:tcPr>
          <w:p w14:paraId="5177A116">
            <w:pPr>
              <w:topLinePunct/>
              <w:spacing w:line="480" w:lineRule="exact"/>
              <w:jc w:val="center"/>
              <w:rPr>
                <w:rFonts w:ascii="宋体" w:hAnsi="宋体" w:cs="宋体"/>
                <w:sz w:val="24"/>
                <w:szCs w:val="24"/>
              </w:rPr>
            </w:pPr>
            <w:r>
              <w:rPr>
                <w:rFonts w:hint="eastAsia" w:ascii="宋体" w:hAnsi="宋体" w:cs="宋体"/>
                <w:sz w:val="24"/>
                <w:szCs w:val="24"/>
              </w:rPr>
              <w:t>备注</w:t>
            </w:r>
          </w:p>
        </w:tc>
        <w:tc>
          <w:tcPr>
            <w:tcW w:w="7318" w:type="dxa"/>
            <w:gridSpan w:val="6"/>
            <w:tcBorders>
              <w:top w:val="single" w:color="auto" w:sz="4" w:space="0"/>
              <w:left w:val="nil"/>
              <w:bottom w:val="single" w:color="auto" w:sz="4" w:space="0"/>
              <w:right w:val="single" w:color="auto" w:sz="4" w:space="0"/>
            </w:tcBorders>
            <w:noWrap/>
            <w:vAlign w:val="center"/>
          </w:tcPr>
          <w:p w14:paraId="11424C80">
            <w:pPr>
              <w:topLinePunct/>
              <w:spacing w:line="480" w:lineRule="exact"/>
              <w:jc w:val="center"/>
              <w:rPr>
                <w:rFonts w:ascii="宋体" w:hAnsi="宋体" w:cs="宋体"/>
                <w:sz w:val="24"/>
                <w:szCs w:val="24"/>
              </w:rPr>
            </w:pPr>
          </w:p>
        </w:tc>
      </w:tr>
    </w:tbl>
    <w:p w14:paraId="0511CBA4">
      <w:pPr>
        <w:pStyle w:val="17"/>
        <w:spacing w:line="480" w:lineRule="exact"/>
        <w:ind w:firstLine="540"/>
        <w:rPr>
          <w:rFonts w:ascii="宋体" w:hAnsi="宋体" w:eastAsia="宋体" w:cs="宋体"/>
          <w:sz w:val="24"/>
          <w:szCs w:val="24"/>
        </w:rPr>
      </w:pPr>
      <w:r>
        <w:rPr>
          <w:rFonts w:hint="eastAsia" w:ascii="宋体" w:hAnsi="宋体" w:eastAsia="宋体" w:cs="宋体"/>
          <w:sz w:val="24"/>
          <w:szCs w:val="24"/>
        </w:rPr>
        <w:t>注：投标人需随此表附上相关证明材料。</w:t>
      </w:r>
    </w:p>
    <w:p w14:paraId="01BDD1D4">
      <w:pPr>
        <w:pStyle w:val="17"/>
        <w:ind w:firstLine="0" w:firstLineChars="0"/>
        <w:rPr>
          <w:rFonts w:ascii="宋体" w:hAnsi="宋体" w:cs="宋体"/>
          <w:b/>
          <w:bCs/>
          <w:color w:val="000000"/>
          <w:sz w:val="28"/>
          <w:szCs w:val="28"/>
        </w:rPr>
      </w:pPr>
      <w:bookmarkStart w:id="427" w:name="_Toc2009"/>
      <w:bookmarkEnd w:id="427"/>
      <w:bookmarkStart w:id="428" w:name="_Toc22204"/>
      <w:bookmarkEnd w:id="428"/>
      <w:bookmarkStart w:id="429" w:name="_Toc5063"/>
      <w:bookmarkEnd w:id="429"/>
      <w:bookmarkStart w:id="430" w:name="_Toc11899"/>
      <w:bookmarkEnd w:id="430"/>
      <w:bookmarkStart w:id="431" w:name="_Toc11924"/>
      <w:bookmarkEnd w:id="431"/>
      <w:bookmarkStart w:id="432" w:name="_Toc2297"/>
      <w:bookmarkEnd w:id="432"/>
      <w:bookmarkStart w:id="433" w:name="_Toc17618"/>
      <w:bookmarkEnd w:id="433"/>
      <w:bookmarkStart w:id="434" w:name="_Toc19208"/>
      <w:bookmarkEnd w:id="434"/>
      <w:bookmarkStart w:id="435" w:name="_Toc14303"/>
      <w:bookmarkEnd w:id="435"/>
      <w:bookmarkStart w:id="436" w:name="_Toc12331"/>
      <w:bookmarkEnd w:id="436"/>
      <w:bookmarkStart w:id="437" w:name="_Toc1322"/>
      <w:bookmarkEnd w:id="437"/>
      <w:bookmarkStart w:id="438" w:name="_Toc21778"/>
      <w:bookmarkEnd w:id="438"/>
      <w:bookmarkStart w:id="439" w:name="_Toc25256"/>
      <w:bookmarkEnd w:id="439"/>
      <w:bookmarkStart w:id="440" w:name="_Toc14734"/>
      <w:bookmarkEnd w:id="440"/>
      <w:bookmarkStart w:id="441" w:name="_Toc5585"/>
      <w:bookmarkEnd w:id="441"/>
      <w:bookmarkStart w:id="442" w:name="_Toc277672354"/>
      <w:bookmarkEnd w:id="442"/>
      <w:bookmarkStart w:id="443" w:name="_Toc11093"/>
      <w:bookmarkEnd w:id="443"/>
      <w:bookmarkStart w:id="444" w:name="_Toc10990"/>
      <w:bookmarkEnd w:id="444"/>
      <w:bookmarkStart w:id="445" w:name="_Toc10243"/>
      <w:bookmarkEnd w:id="445"/>
      <w:bookmarkStart w:id="446" w:name="_Toc31179"/>
      <w:bookmarkEnd w:id="446"/>
      <w:bookmarkStart w:id="447" w:name="_Toc9985"/>
      <w:bookmarkEnd w:id="447"/>
      <w:bookmarkStart w:id="448" w:name="_Toc19565"/>
      <w:bookmarkEnd w:id="448"/>
      <w:bookmarkStart w:id="449" w:name="_Toc28558"/>
      <w:bookmarkStart w:id="450" w:name="_Toc2115"/>
      <w:bookmarkStart w:id="451" w:name="_Toc488052474"/>
    </w:p>
    <w:p w14:paraId="5831022E">
      <w:pPr>
        <w:pStyle w:val="17"/>
        <w:ind w:firstLine="0" w:firstLineChars="0"/>
        <w:rPr>
          <w:rFonts w:ascii="宋体" w:hAnsi="宋体" w:cs="宋体"/>
          <w:b/>
          <w:bCs/>
          <w:color w:val="000000"/>
          <w:sz w:val="28"/>
          <w:szCs w:val="28"/>
        </w:rPr>
      </w:pPr>
    </w:p>
    <w:p w14:paraId="70B0BA62">
      <w:pPr>
        <w:pStyle w:val="17"/>
        <w:ind w:firstLine="0" w:firstLineChars="0"/>
        <w:rPr>
          <w:rFonts w:ascii="宋体" w:hAnsi="宋体" w:cs="宋体"/>
          <w:b/>
          <w:bCs/>
          <w:color w:val="000000"/>
          <w:sz w:val="28"/>
          <w:szCs w:val="28"/>
        </w:rPr>
      </w:pPr>
    </w:p>
    <w:p w14:paraId="6582B8D5">
      <w:pPr>
        <w:pStyle w:val="17"/>
        <w:ind w:firstLine="0" w:firstLineChars="0"/>
        <w:rPr>
          <w:rFonts w:ascii="宋体" w:hAnsi="宋体" w:cs="宋体"/>
          <w:b/>
          <w:bCs/>
          <w:color w:val="000000"/>
          <w:sz w:val="28"/>
          <w:szCs w:val="28"/>
        </w:rPr>
      </w:pPr>
    </w:p>
    <w:p w14:paraId="4FE13779">
      <w:pPr>
        <w:pStyle w:val="17"/>
        <w:ind w:firstLine="0" w:firstLineChars="0"/>
        <w:rPr>
          <w:rFonts w:ascii="宋体" w:hAnsi="宋体" w:cs="宋体"/>
          <w:b/>
          <w:bCs/>
          <w:color w:val="000000"/>
          <w:sz w:val="28"/>
          <w:szCs w:val="28"/>
        </w:rPr>
      </w:pPr>
    </w:p>
    <w:p w14:paraId="0A88B699">
      <w:pPr>
        <w:pStyle w:val="4"/>
        <w:rPr>
          <w:rFonts w:ascii="宋体" w:hAnsi="宋体" w:eastAsia="宋体" w:cs="宋体"/>
          <w:bCs/>
          <w:sz w:val="24"/>
          <w:szCs w:val="24"/>
        </w:rPr>
      </w:pPr>
      <w:bookmarkStart w:id="452" w:name="_Toc27653"/>
      <w:bookmarkStart w:id="453" w:name="_Toc6042"/>
      <w:r>
        <w:rPr>
          <w:rFonts w:hint="eastAsia" w:ascii="宋体" w:hAnsi="宋体" w:eastAsia="宋体" w:cs="宋体"/>
          <w:bCs/>
          <w:sz w:val="24"/>
          <w:szCs w:val="24"/>
        </w:rPr>
        <w:t>九、其他政府采购政策性规定证明材料</w:t>
      </w:r>
      <w:bookmarkEnd w:id="452"/>
      <w:bookmarkEnd w:id="453"/>
    </w:p>
    <w:bookmarkEnd w:id="449"/>
    <w:bookmarkEnd w:id="450"/>
    <w:bookmarkEnd w:id="451"/>
    <w:p w14:paraId="235407F7">
      <w:pPr>
        <w:spacing w:line="480" w:lineRule="auto"/>
        <w:jc w:val="both"/>
        <w:rPr>
          <w:rFonts w:hint="eastAsia" w:ascii="宋体" w:hAnsi="宋体" w:eastAsia="宋体" w:cs="宋体"/>
          <w:spacing w:val="6"/>
          <w:sz w:val="24"/>
          <w:szCs w:val="24"/>
          <w:lang w:eastAsia="zh-CN"/>
        </w:rPr>
      </w:pPr>
      <w:r>
        <w:rPr>
          <w:rFonts w:hint="eastAsia" w:ascii="宋体" w:hAnsi="宋体" w:eastAsia="宋体" w:cs="宋体"/>
          <w:spacing w:val="6"/>
          <w:sz w:val="24"/>
          <w:szCs w:val="24"/>
        </w:rPr>
        <w:t>附件</w:t>
      </w:r>
      <w:r>
        <w:rPr>
          <w:rFonts w:hint="eastAsia" w:ascii="宋体" w:hAnsi="宋体" w:eastAsia="宋体" w:cs="宋体"/>
          <w:spacing w:val="6"/>
          <w:sz w:val="24"/>
          <w:szCs w:val="24"/>
          <w:lang w:eastAsia="zh-CN"/>
        </w:rPr>
        <w:t>：</w:t>
      </w:r>
    </w:p>
    <w:p w14:paraId="2B441BC1">
      <w:pPr>
        <w:spacing w:line="480" w:lineRule="auto"/>
        <w:jc w:val="center"/>
        <w:rPr>
          <w:rFonts w:hint="eastAsia" w:ascii="宋体" w:hAnsi="宋体" w:eastAsia="宋体" w:cs="宋体"/>
          <w:b/>
          <w:bCs/>
          <w:color w:val="000000"/>
          <w:kern w:val="0"/>
          <w:sz w:val="24"/>
          <w:szCs w:val="24"/>
        </w:rPr>
      </w:pPr>
      <w:r>
        <w:rPr>
          <w:rFonts w:hint="eastAsia" w:ascii="宋体" w:hAnsi="宋体" w:eastAsia="宋体" w:cs="宋体"/>
          <w:b/>
          <w:bCs w:val="0"/>
          <w:kern w:val="0"/>
          <w:sz w:val="24"/>
          <w:szCs w:val="24"/>
        </w:rPr>
        <w:t>中小企业声明函（</w:t>
      </w:r>
      <w:r>
        <w:rPr>
          <w:rFonts w:hint="eastAsia" w:ascii="宋体" w:hAnsi="宋体" w:eastAsia="宋体" w:cs="宋体"/>
          <w:b/>
          <w:bCs w:val="0"/>
          <w:kern w:val="0"/>
          <w:sz w:val="24"/>
          <w:szCs w:val="24"/>
          <w:lang w:val="en-US" w:eastAsia="zh-CN"/>
        </w:rPr>
        <w:t>服务</w:t>
      </w:r>
      <w:r>
        <w:rPr>
          <w:rFonts w:hint="eastAsia" w:ascii="宋体" w:hAnsi="宋体" w:eastAsia="宋体" w:cs="宋体"/>
          <w:b/>
          <w:bCs w:val="0"/>
          <w:kern w:val="0"/>
          <w:sz w:val="24"/>
          <w:szCs w:val="24"/>
        </w:rPr>
        <w:t>）</w:t>
      </w:r>
    </w:p>
    <w:p w14:paraId="33B27DB9">
      <w:pPr>
        <w:spacing w:before="312" w:beforeLines="100" w:line="360" w:lineRule="auto"/>
        <w:ind w:firstLine="638" w:firstLineChars="266"/>
        <w:jc w:val="left"/>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采购活动，工程的施工单位全部为符合政策要求的中小企业（或者：服务全部由符合政策要求的中小企业承接）。相关企业的具体情况如下：</w:t>
      </w:r>
    </w:p>
    <w:p w14:paraId="098BA2EF">
      <w:pPr>
        <w:spacing w:line="360" w:lineRule="auto"/>
        <w:ind w:firstLine="638" w:firstLineChars="266"/>
        <w:jc w:val="left"/>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u w:val="single"/>
        </w:rPr>
        <w:t xml:space="preserve">（标的名称） </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万元，属于（中型企业/小型企业/微型企业）；</w:t>
      </w:r>
    </w:p>
    <w:p w14:paraId="1BF09D87">
      <w:pPr>
        <w:spacing w:line="360" w:lineRule="auto"/>
        <w:ind w:firstLine="638" w:firstLineChars="266"/>
        <w:jc w:val="left"/>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u w:val="single"/>
        </w:rPr>
        <w:t xml:space="preserve">（标的名称） </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610B1AF7">
      <w:pPr>
        <w:spacing w:line="360" w:lineRule="auto"/>
        <w:ind w:firstLine="638" w:firstLineChars="266"/>
        <w:jc w:val="left"/>
        <w:rPr>
          <w:rFonts w:hint="eastAsia" w:ascii="宋体" w:hAnsi="宋体" w:eastAsia="宋体" w:cs="宋体"/>
          <w:sz w:val="24"/>
          <w:szCs w:val="24"/>
        </w:rPr>
      </w:pPr>
      <w:r>
        <w:rPr>
          <w:rFonts w:hint="eastAsia" w:ascii="宋体" w:hAnsi="宋体" w:eastAsia="宋体" w:cs="宋体"/>
          <w:sz w:val="24"/>
          <w:szCs w:val="24"/>
        </w:rPr>
        <w:t>……</w:t>
      </w:r>
    </w:p>
    <w:p w14:paraId="0C9E81D9">
      <w:pPr>
        <w:spacing w:line="360" w:lineRule="auto"/>
        <w:ind w:firstLine="638" w:firstLineChars="266"/>
        <w:jc w:val="left"/>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358ACCE7">
      <w:pPr>
        <w:spacing w:line="360" w:lineRule="auto"/>
        <w:ind w:firstLine="638" w:firstLineChars="266"/>
        <w:jc w:val="left"/>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50722F8E">
      <w:pPr>
        <w:spacing w:line="360" w:lineRule="auto"/>
        <w:ind w:firstLine="638" w:firstLineChars="266"/>
        <w:jc w:val="left"/>
        <w:rPr>
          <w:rFonts w:hint="eastAsia" w:ascii="宋体" w:hAnsi="宋体" w:eastAsia="宋体" w:cs="宋体"/>
          <w:sz w:val="24"/>
          <w:szCs w:val="24"/>
        </w:rPr>
      </w:pPr>
      <w:r>
        <w:rPr>
          <w:rFonts w:hint="eastAsia" w:ascii="宋体" w:hAnsi="宋体" w:eastAsia="宋体" w:cs="宋体"/>
          <w:sz w:val="24"/>
          <w:szCs w:val="24"/>
        </w:rPr>
        <w:t>企业名称（盖公章）：</w:t>
      </w:r>
    </w:p>
    <w:p w14:paraId="376F812B">
      <w:pPr>
        <w:spacing w:line="360" w:lineRule="auto"/>
        <w:ind w:firstLine="638" w:firstLineChars="266"/>
        <w:jc w:val="left"/>
        <w:rPr>
          <w:rFonts w:hint="eastAsia" w:ascii="宋体" w:hAnsi="宋体" w:eastAsia="宋体" w:cs="宋体"/>
          <w:b/>
          <w:bCs/>
          <w:sz w:val="24"/>
          <w:szCs w:val="24"/>
        </w:rPr>
      </w:pPr>
      <w:r>
        <w:rPr>
          <w:rFonts w:hint="eastAsia" w:ascii="宋体" w:hAnsi="宋体" w:eastAsia="宋体" w:cs="宋体"/>
          <w:sz w:val="24"/>
          <w:szCs w:val="24"/>
        </w:rPr>
        <w:t>日期：</w:t>
      </w:r>
    </w:p>
    <w:p w14:paraId="00CC7BB6">
      <w:pPr>
        <w:keepNext w:val="0"/>
        <w:keepLines w:val="0"/>
        <w:pageBreakBefore w:val="0"/>
        <w:widowControl/>
        <w:kinsoku/>
        <w:wordWrap/>
        <w:overflowPunct/>
        <w:topLinePunct w:val="0"/>
        <w:autoSpaceDE/>
        <w:autoSpaceDN/>
        <w:bidi w:val="0"/>
        <w:adjustRightInd w:val="0"/>
        <w:snapToGrid w:val="0"/>
        <w:spacing w:line="420" w:lineRule="exact"/>
        <w:ind w:firstLine="641" w:firstLineChars="266"/>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注：1、从业人员、营业收入、资产总额填报上一年度数据，无上一年度数据的新成立企业可不填报。</w:t>
      </w:r>
    </w:p>
    <w:p w14:paraId="214B7E93">
      <w:pPr>
        <w:keepNext w:val="0"/>
        <w:keepLines w:val="0"/>
        <w:pageBreakBefore w:val="0"/>
        <w:widowControl/>
        <w:kinsoku/>
        <w:wordWrap/>
        <w:overflowPunct/>
        <w:topLinePunct w:val="0"/>
        <w:autoSpaceDE/>
        <w:autoSpaceDN/>
        <w:bidi w:val="0"/>
        <w:adjustRightInd w:val="0"/>
        <w:snapToGrid w:val="0"/>
        <w:spacing w:line="420" w:lineRule="exact"/>
        <w:ind w:firstLine="641" w:firstLineChars="266"/>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中小企业划分标准见工业和信息化部国家统计局国家发展和改革委员财政部《关于印发中小企业划型标准规定的通知》（工信部联企业【2011】300号）。本次采购标的对应的中小企业划分标准所属行业均为“其他未列明行业”。</w:t>
      </w:r>
    </w:p>
    <w:p w14:paraId="452984C9">
      <w:bookmarkStart w:id="454" w:name="_Toc447665153"/>
      <w:bookmarkEnd w:id="454"/>
      <w:bookmarkStart w:id="455" w:name="_Toc23595"/>
      <w:bookmarkEnd w:id="455"/>
      <w:bookmarkStart w:id="456" w:name="_Toc16483"/>
      <w:bookmarkEnd w:id="456"/>
      <w:bookmarkStart w:id="457" w:name="_Toc26275"/>
      <w:bookmarkEnd w:id="457"/>
      <w:bookmarkStart w:id="458" w:name="_Toc24780"/>
      <w:bookmarkEnd w:id="458"/>
      <w:bookmarkStart w:id="459" w:name="_Toc12768"/>
      <w:bookmarkEnd w:id="459"/>
      <w:bookmarkStart w:id="460" w:name="_Toc7615"/>
      <w:bookmarkEnd w:id="460"/>
    </w:p>
    <w:p w14:paraId="63A0600B"/>
    <w:sectPr>
      <w:footerReference r:id="rId8" w:type="first"/>
      <w:footerReference r:id="rId7"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_5b8b_4f53">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85761">
    <w:pPr>
      <w:pStyle w:val="19"/>
      <w:rPr>
        <w:rFonts w:ascii="楷体" w:hAnsi="楷体" w:eastAsia="楷体" w:cs="楷体"/>
      </w:rPr>
    </w:pPr>
    <w:r>
      <w:rPr>
        <w:rFonts w:ascii="宋体" w:hAnsi="宋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a:effectLst/>
                    </wps:spPr>
                    <wps:txbx>
                      <w:txbxContent>
                        <w:p w14:paraId="1B45532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30</w:t>
                          </w:r>
                          <w:r>
                            <w:rPr>
                              <w:rFonts w:hint="eastAsia"/>
                              <w:sz w:val="18"/>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HtdM9AAAAADAQAADwAAAAAAAAABACAAAAAiAAAA&#10;ZHJzL2Rvd25yZXYueG1sUEsBAhQAFAAAAAgAh07iQGigtqnWAQAAqAMAAA4AAAAAAAAAAQAgAAAA&#10;HwEAAGRycy9lMm9Eb2MueG1sUEsFBgAAAAAGAAYAWQEAAGcFAAAAAA==&#10;">
              <v:fill on="f" focussize="0,0"/>
              <v:stroke on="f"/>
              <v:imagedata o:title=""/>
              <o:lock v:ext="edit" aspectratio="f"/>
              <v:textbox inset="0mm,0mm,0mm,0mm" style="mso-fit-shape-to-text:t;">
                <w:txbxContent>
                  <w:p w14:paraId="1B45532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30</w:t>
                    </w:r>
                    <w:r>
                      <w:rPr>
                        <w:rFonts w:hint="eastAsia"/>
                        <w:sz w:val="18"/>
                      </w:rPr>
                      <w:fldChar w:fldCharType="end"/>
                    </w:r>
                  </w:p>
                </w:txbxContent>
              </v:textbox>
            </v:shape>
          </w:pict>
        </mc:Fallback>
      </mc:AlternateContent>
    </w:r>
    <w:r>
      <w:rPr>
        <w:rFonts w:hint="eastAsia" w:ascii="宋体" w:hAnsi="宋体" w:cs="楷体"/>
      </w:rPr>
      <w:t xml:space="preserve">　　　     　　　　　　             </w:t>
    </w:r>
  </w:p>
  <w:p w14:paraId="4FC7FF10">
    <w:pPr>
      <w:pStyle w:val="19"/>
      <w:rPr>
        <w:rFonts w:ascii="楷体" w:hAnsi="楷体" w:eastAsia="楷体" w:cs="楷体"/>
      </w:rPr>
    </w:pPr>
  </w:p>
  <w:p w14:paraId="5A4D6489">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0EC8C">
    <w:pPr>
      <w:spacing w:line="196" w:lineRule="auto"/>
      <w:ind w:left="4442"/>
      <w:rPr>
        <w:rFonts w:hint="default" w:eastAsia="宋体"/>
        <w:sz w:val="17"/>
        <w:szCs w:val="17"/>
        <w:lang w:val="en-US" w:eastAsia="zh-CN"/>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35D587">
                          <w:pPr>
                            <w:pStyle w:val="1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A35D587">
                    <w:pPr>
                      <w:pStyle w:val="1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FEFAB">
    <w:pPr>
      <w:pStyle w:val="19"/>
      <w:rPr>
        <w:rFonts w:ascii="宋体" w:hAnsi="宋体" w:cs="宋体"/>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3985" cy="153035"/>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a:effectLst/>
                    </wps:spPr>
                    <wps:txbx>
                      <w:txbxContent>
                        <w:p w14:paraId="5AA1D6B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39</w:t>
                          </w:r>
                          <w:r>
                            <w:rPr>
                              <w:rFonts w:hint="eastAsia"/>
                              <w:sz w:val="18"/>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2.05pt;width:10.55pt;mso-position-horizontal:center;mso-position-horizontal-relative:margin;mso-wrap-style:none;z-index:251660288;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Qe10z0AAAAAMBAAAPAAAAAAAAAAEAIAAAACIAAABk&#10;cnMvZG93bnJldi54bWxQSwECFAAUAAAACACHTuJAo0n5vNUBAACoAwAADgAAAAAAAAABACAAAAAf&#10;AQAAZHJzL2Uyb0RvYy54bWxQSwUGAAAAAAYABgBZAQAAZgUAAAAA&#10;">
              <v:fill on="f" focussize="0,0"/>
              <v:stroke on="f"/>
              <v:imagedata o:title=""/>
              <o:lock v:ext="edit" aspectratio="f"/>
              <v:textbox inset="0mm,0mm,0mm,0mm" style="mso-fit-shape-to-text:t;">
                <w:txbxContent>
                  <w:p w14:paraId="5AA1D6B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39</w:t>
                    </w:r>
                    <w:r>
                      <w:rPr>
                        <w:rFonts w:hint="eastAsia"/>
                        <w:sz w:val="18"/>
                      </w:rPr>
                      <w:fldChar w:fldCharType="end"/>
                    </w:r>
                  </w:p>
                </w:txbxContent>
              </v:textbox>
            </v:shape>
          </w:pict>
        </mc:Fallback>
      </mc:AlternateContent>
    </w:r>
    <w:r>
      <w:rPr>
        <w:rFonts w:hint="eastAsia" w:ascii="宋体" w:hAnsi="宋体" w:cs="宋体"/>
      </w:rPr>
      <w:t xml:space="preserve">　　　　     　　　　　　            </w:t>
    </w:r>
  </w:p>
  <w:p w14:paraId="304F5525">
    <w:pPr>
      <w:pStyle w:val="19"/>
      <w:tabs>
        <w:tab w:val="left" w:pos="7017"/>
        <w:tab w:val="clear" w:pos="4153"/>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830DC">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F8B2D">
    <w:pPr>
      <w:pStyle w:val="20"/>
      <w:pBdr>
        <w:bottom w:val="none" w:color="auto" w:sz="0" w:space="1"/>
      </w:pBdr>
    </w:pPr>
  </w:p>
  <w:p w14:paraId="25CAED4B">
    <w:pPr>
      <w:pStyle w:val="20"/>
      <w:pBdr>
        <w:bottom w:val="none" w:color="auto" w:sz="0" w:space="1"/>
      </w:pBdr>
      <w:jc w:val="left"/>
      <w:rPr>
        <w:rFonts w:ascii="楷体" w:hAnsi="楷体" w:eastAsia="楷体"/>
        <w:sz w:val="21"/>
      </w:rPr>
    </w:pPr>
  </w:p>
  <w:p w14:paraId="469C3855">
    <w:pPr>
      <w:pStyle w:val="20"/>
      <w:pBdr>
        <w:bottom w:val="none" w:color="auto" w:sz="0" w:space="1"/>
      </w:pBdr>
      <w:jc w:val="left"/>
      <w:rPr>
        <w:rFonts w:ascii="楷体" w:hAnsi="楷体" w:eastAsia="楷体"/>
        <w:color w:val="FF0000"/>
        <w:szCs w:val="18"/>
        <w:highlight w:val="green"/>
      </w:rPr>
    </w:pPr>
  </w:p>
  <w:p w14:paraId="0312CD77">
    <w:pPr>
      <w:pStyle w:val="20"/>
      <w:pBdr>
        <w:bottom w:val="none" w:color="auto" w:sz="0" w:space="1"/>
      </w:pBdr>
      <w:tabs>
        <w:tab w:val="left" w:pos="509"/>
        <w:tab w:val="clear" w:pos="4153"/>
      </w:tabs>
      <w:ind w:firstLine="630" w:firstLineChars="300"/>
      <w:jc w:val="left"/>
      <w:rPr>
        <w:rFonts w:ascii="宋体" w:hAnsi="宋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FE632">
    <w:pPr>
      <w:pStyle w:val="20"/>
      <w:pBdr>
        <w:bottom w:val="none" w:color="auto" w:sz="0" w:space="1"/>
      </w:pBdr>
    </w:pPr>
  </w:p>
  <w:p w14:paraId="1D1F1D6A">
    <w:pPr>
      <w:pStyle w:val="20"/>
      <w:pBdr>
        <w:bottom w:val="none" w:color="auto" w:sz="0" w:space="1"/>
      </w:pBdr>
      <w:jc w:val="left"/>
      <w:rPr>
        <w:rFonts w:ascii="楷体" w:hAnsi="楷体" w:eastAsia="楷体"/>
        <w:sz w:val="21"/>
      </w:rPr>
    </w:pPr>
  </w:p>
  <w:p w14:paraId="48D3DC43">
    <w:pPr>
      <w:pStyle w:val="20"/>
      <w:pBdr>
        <w:bottom w:val="none" w:color="auto" w:sz="0" w:space="1"/>
      </w:pBdr>
      <w:jc w:val="left"/>
      <w:rPr>
        <w:rFonts w:ascii="楷体" w:hAnsi="楷体" w:eastAsia="楷体"/>
        <w:color w:val="FF0000"/>
        <w:szCs w:val="18"/>
        <w:highlight w:val="green"/>
      </w:rPr>
    </w:pPr>
  </w:p>
  <w:p w14:paraId="5DF3D4BB">
    <w:pPr>
      <w:pStyle w:val="20"/>
      <w:pBdr>
        <w:bottom w:val="none" w:color="auto" w:sz="0" w:space="1"/>
      </w:pBdr>
      <w:tabs>
        <w:tab w:val="left" w:pos="509"/>
        <w:tab w:val="clear" w:pos="4153"/>
      </w:tabs>
      <w:ind w:firstLine="630" w:firstLineChars="300"/>
      <w:jc w:val="left"/>
      <w:rPr>
        <w:rFonts w:ascii="宋体" w:hAnsi="宋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NotTrackMoves/>
  <w:trackRevisions w:val="1"/>
  <w:documentProtection w:edit="trackedChanges" w:enforcement="1" w:cryptProviderType="rsaFull" w:cryptAlgorithmClass="hash" w:cryptAlgorithmType="typeAny" w:cryptAlgorithmSid="4" w:cryptSpinCount="0" w:hash="e4VNqOIrhfx112+dMEO0C5xEdic=" w:salt="f5Wmjc/ayIcXZip+GCkTfA=="/>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lNTgyYTViZDE1YmMwZDM1Njc5MjE1YTJjMDZlMWQifQ=="/>
    <w:docVar w:name="KSO_WPS_MARK_KEY" w:val="888b9976-d213-4258-8727-0df6d237aa4b"/>
  </w:docVars>
  <w:rsids>
    <w:rsidRoot w:val="00172A27"/>
    <w:rsid w:val="00003C5A"/>
    <w:rsid w:val="0000772B"/>
    <w:rsid w:val="0002561E"/>
    <w:rsid w:val="00044313"/>
    <w:rsid w:val="000506F8"/>
    <w:rsid w:val="00055A3D"/>
    <w:rsid w:val="00056AD4"/>
    <w:rsid w:val="000623F3"/>
    <w:rsid w:val="00071BAC"/>
    <w:rsid w:val="000902D1"/>
    <w:rsid w:val="00090E93"/>
    <w:rsid w:val="000A0212"/>
    <w:rsid w:val="000A7FE6"/>
    <w:rsid w:val="000B3530"/>
    <w:rsid w:val="000B7E5E"/>
    <w:rsid w:val="000C4D3A"/>
    <w:rsid w:val="000C59A7"/>
    <w:rsid w:val="000D1FCC"/>
    <w:rsid w:val="00143899"/>
    <w:rsid w:val="00151065"/>
    <w:rsid w:val="00151246"/>
    <w:rsid w:val="0016176C"/>
    <w:rsid w:val="00172A27"/>
    <w:rsid w:val="0017428C"/>
    <w:rsid w:val="00174A1B"/>
    <w:rsid w:val="00180C97"/>
    <w:rsid w:val="0018240C"/>
    <w:rsid w:val="00186540"/>
    <w:rsid w:val="00196A71"/>
    <w:rsid w:val="001A35D6"/>
    <w:rsid w:val="001B74DD"/>
    <w:rsid w:val="001C0EB2"/>
    <w:rsid w:val="001C56B1"/>
    <w:rsid w:val="001E4EB0"/>
    <w:rsid w:val="001F1400"/>
    <w:rsid w:val="00203220"/>
    <w:rsid w:val="00210847"/>
    <w:rsid w:val="002109C6"/>
    <w:rsid w:val="00227A1F"/>
    <w:rsid w:val="0024468B"/>
    <w:rsid w:val="00255435"/>
    <w:rsid w:val="00257310"/>
    <w:rsid w:val="00273CEF"/>
    <w:rsid w:val="00287742"/>
    <w:rsid w:val="002B4814"/>
    <w:rsid w:val="002D7790"/>
    <w:rsid w:val="002E0E40"/>
    <w:rsid w:val="002E4C02"/>
    <w:rsid w:val="002F0800"/>
    <w:rsid w:val="002F3668"/>
    <w:rsid w:val="002F6C66"/>
    <w:rsid w:val="00303F39"/>
    <w:rsid w:val="00305377"/>
    <w:rsid w:val="0031275D"/>
    <w:rsid w:val="003169F6"/>
    <w:rsid w:val="00320A5A"/>
    <w:rsid w:val="003211DF"/>
    <w:rsid w:val="00331E2E"/>
    <w:rsid w:val="00336D40"/>
    <w:rsid w:val="003419DA"/>
    <w:rsid w:val="0036333D"/>
    <w:rsid w:val="0036357E"/>
    <w:rsid w:val="00370362"/>
    <w:rsid w:val="003742EC"/>
    <w:rsid w:val="00382C8C"/>
    <w:rsid w:val="00394FFF"/>
    <w:rsid w:val="003A5D4D"/>
    <w:rsid w:val="003A69A7"/>
    <w:rsid w:val="003B0B55"/>
    <w:rsid w:val="003B0CFB"/>
    <w:rsid w:val="003B17EA"/>
    <w:rsid w:val="003C7C41"/>
    <w:rsid w:val="003D1F7C"/>
    <w:rsid w:val="003D6D1A"/>
    <w:rsid w:val="003F59B6"/>
    <w:rsid w:val="003F79B3"/>
    <w:rsid w:val="00401A8E"/>
    <w:rsid w:val="00414383"/>
    <w:rsid w:val="00417F8C"/>
    <w:rsid w:val="0043183B"/>
    <w:rsid w:val="004430E2"/>
    <w:rsid w:val="004466D0"/>
    <w:rsid w:val="00450A77"/>
    <w:rsid w:val="00483B77"/>
    <w:rsid w:val="00486A0C"/>
    <w:rsid w:val="00491068"/>
    <w:rsid w:val="0049504F"/>
    <w:rsid w:val="004A267B"/>
    <w:rsid w:val="004A5DAC"/>
    <w:rsid w:val="004A7382"/>
    <w:rsid w:val="004C71FE"/>
    <w:rsid w:val="004D5174"/>
    <w:rsid w:val="004D6B88"/>
    <w:rsid w:val="004D71B5"/>
    <w:rsid w:val="004F7A2E"/>
    <w:rsid w:val="00501544"/>
    <w:rsid w:val="0051286D"/>
    <w:rsid w:val="0051389E"/>
    <w:rsid w:val="0051510A"/>
    <w:rsid w:val="00570D6B"/>
    <w:rsid w:val="00580911"/>
    <w:rsid w:val="00582534"/>
    <w:rsid w:val="0058653F"/>
    <w:rsid w:val="00592120"/>
    <w:rsid w:val="005972BC"/>
    <w:rsid w:val="005B50C0"/>
    <w:rsid w:val="005C53D4"/>
    <w:rsid w:val="005D386B"/>
    <w:rsid w:val="005D49E2"/>
    <w:rsid w:val="005F1D74"/>
    <w:rsid w:val="006062CF"/>
    <w:rsid w:val="0061137D"/>
    <w:rsid w:val="00614DDD"/>
    <w:rsid w:val="00627C48"/>
    <w:rsid w:val="00635BE2"/>
    <w:rsid w:val="006552EE"/>
    <w:rsid w:val="00661AF3"/>
    <w:rsid w:val="00670BC9"/>
    <w:rsid w:val="006721C1"/>
    <w:rsid w:val="0067649A"/>
    <w:rsid w:val="0069150B"/>
    <w:rsid w:val="006921C1"/>
    <w:rsid w:val="006D7F95"/>
    <w:rsid w:val="006E36CC"/>
    <w:rsid w:val="006F153A"/>
    <w:rsid w:val="00723601"/>
    <w:rsid w:val="00727EF7"/>
    <w:rsid w:val="00754786"/>
    <w:rsid w:val="00754DB5"/>
    <w:rsid w:val="00770414"/>
    <w:rsid w:val="00770B66"/>
    <w:rsid w:val="00777B7E"/>
    <w:rsid w:val="00781ECA"/>
    <w:rsid w:val="00782CA7"/>
    <w:rsid w:val="007B4679"/>
    <w:rsid w:val="007C14DF"/>
    <w:rsid w:val="007C24E0"/>
    <w:rsid w:val="007D7CC1"/>
    <w:rsid w:val="007E3C34"/>
    <w:rsid w:val="007E4EAB"/>
    <w:rsid w:val="007E54B2"/>
    <w:rsid w:val="007F01B3"/>
    <w:rsid w:val="00817B82"/>
    <w:rsid w:val="00823CB6"/>
    <w:rsid w:val="008240FC"/>
    <w:rsid w:val="008316A8"/>
    <w:rsid w:val="00834380"/>
    <w:rsid w:val="0085285B"/>
    <w:rsid w:val="00856CDF"/>
    <w:rsid w:val="00866001"/>
    <w:rsid w:val="008673DF"/>
    <w:rsid w:val="00874D26"/>
    <w:rsid w:val="0087760A"/>
    <w:rsid w:val="00885BE1"/>
    <w:rsid w:val="008A11FA"/>
    <w:rsid w:val="008A3970"/>
    <w:rsid w:val="008A4ABA"/>
    <w:rsid w:val="008A5252"/>
    <w:rsid w:val="008B505C"/>
    <w:rsid w:val="008B6F8E"/>
    <w:rsid w:val="008C45C6"/>
    <w:rsid w:val="008C6A90"/>
    <w:rsid w:val="008E518B"/>
    <w:rsid w:val="008F3C85"/>
    <w:rsid w:val="0094115E"/>
    <w:rsid w:val="0095017D"/>
    <w:rsid w:val="00950B90"/>
    <w:rsid w:val="009541D2"/>
    <w:rsid w:val="00955D26"/>
    <w:rsid w:val="009718E5"/>
    <w:rsid w:val="009745F4"/>
    <w:rsid w:val="009818D6"/>
    <w:rsid w:val="00984B9E"/>
    <w:rsid w:val="00990831"/>
    <w:rsid w:val="009A7F1A"/>
    <w:rsid w:val="009B5077"/>
    <w:rsid w:val="009B67CE"/>
    <w:rsid w:val="009F0016"/>
    <w:rsid w:val="00A05571"/>
    <w:rsid w:val="00A063E0"/>
    <w:rsid w:val="00A12FAD"/>
    <w:rsid w:val="00A13CBE"/>
    <w:rsid w:val="00A24524"/>
    <w:rsid w:val="00A41E46"/>
    <w:rsid w:val="00A44623"/>
    <w:rsid w:val="00A46319"/>
    <w:rsid w:val="00A501C6"/>
    <w:rsid w:val="00A66CC5"/>
    <w:rsid w:val="00A727D5"/>
    <w:rsid w:val="00A87276"/>
    <w:rsid w:val="00AA30A0"/>
    <w:rsid w:val="00AA6160"/>
    <w:rsid w:val="00AC0628"/>
    <w:rsid w:val="00AC10FB"/>
    <w:rsid w:val="00AC6526"/>
    <w:rsid w:val="00B22494"/>
    <w:rsid w:val="00B25DDA"/>
    <w:rsid w:val="00B32169"/>
    <w:rsid w:val="00B3450A"/>
    <w:rsid w:val="00B445F9"/>
    <w:rsid w:val="00B44C0C"/>
    <w:rsid w:val="00B631BC"/>
    <w:rsid w:val="00B6729D"/>
    <w:rsid w:val="00B70CBD"/>
    <w:rsid w:val="00B861B9"/>
    <w:rsid w:val="00B977D1"/>
    <w:rsid w:val="00BA5FCD"/>
    <w:rsid w:val="00BA645C"/>
    <w:rsid w:val="00BC0952"/>
    <w:rsid w:val="00BD18DD"/>
    <w:rsid w:val="00BD6EB5"/>
    <w:rsid w:val="00C15414"/>
    <w:rsid w:val="00C15EC9"/>
    <w:rsid w:val="00C164EF"/>
    <w:rsid w:val="00C30F04"/>
    <w:rsid w:val="00C54630"/>
    <w:rsid w:val="00C5600F"/>
    <w:rsid w:val="00C638EE"/>
    <w:rsid w:val="00C817CD"/>
    <w:rsid w:val="00C9193B"/>
    <w:rsid w:val="00CE6621"/>
    <w:rsid w:val="00CE6982"/>
    <w:rsid w:val="00CF365A"/>
    <w:rsid w:val="00CF44D4"/>
    <w:rsid w:val="00D02BA4"/>
    <w:rsid w:val="00D04889"/>
    <w:rsid w:val="00D2574C"/>
    <w:rsid w:val="00D43AD2"/>
    <w:rsid w:val="00D52974"/>
    <w:rsid w:val="00D550AF"/>
    <w:rsid w:val="00D60007"/>
    <w:rsid w:val="00D86BAC"/>
    <w:rsid w:val="00D9413C"/>
    <w:rsid w:val="00DA3057"/>
    <w:rsid w:val="00DB4095"/>
    <w:rsid w:val="00DB5787"/>
    <w:rsid w:val="00DB6A46"/>
    <w:rsid w:val="00DC37F8"/>
    <w:rsid w:val="00DE06B4"/>
    <w:rsid w:val="00DE24E4"/>
    <w:rsid w:val="00E04EB0"/>
    <w:rsid w:val="00E16F80"/>
    <w:rsid w:val="00E17755"/>
    <w:rsid w:val="00E47A3D"/>
    <w:rsid w:val="00E6713F"/>
    <w:rsid w:val="00EA44B9"/>
    <w:rsid w:val="00EA629C"/>
    <w:rsid w:val="00EA6BE7"/>
    <w:rsid w:val="00EB1FAD"/>
    <w:rsid w:val="00EC339B"/>
    <w:rsid w:val="00EE563E"/>
    <w:rsid w:val="00EE6CF0"/>
    <w:rsid w:val="00EE7C25"/>
    <w:rsid w:val="00EF52B8"/>
    <w:rsid w:val="00F02B15"/>
    <w:rsid w:val="00F02BC6"/>
    <w:rsid w:val="00F07AF9"/>
    <w:rsid w:val="00F224E1"/>
    <w:rsid w:val="00F3504D"/>
    <w:rsid w:val="00F36388"/>
    <w:rsid w:val="00F42813"/>
    <w:rsid w:val="00F4380C"/>
    <w:rsid w:val="00F459F5"/>
    <w:rsid w:val="00F515B3"/>
    <w:rsid w:val="00F56540"/>
    <w:rsid w:val="00F71950"/>
    <w:rsid w:val="00F80B4C"/>
    <w:rsid w:val="00FA4BD2"/>
    <w:rsid w:val="00FA7BF4"/>
    <w:rsid w:val="00FE5C6E"/>
    <w:rsid w:val="010062CD"/>
    <w:rsid w:val="01060B20"/>
    <w:rsid w:val="01086C64"/>
    <w:rsid w:val="01261206"/>
    <w:rsid w:val="012670EA"/>
    <w:rsid w:val="012A7DEB"/>
    <w:rsid w:val="01331081"/>
    <w:rsid w:val="013B14F8"/>
    <w:rsid w:val="01440859"/>
    <w:rsid w:val="01735840"/>
    <w:rsid w:val="018443A4"/>
    <w:rsid w:val="01987E89"/>
    <w:rsid w:val="019B0EF7"/>
    <w:rsid w:val="01C86BC2"/>
    <w:rsid w:val="01E516DF"/>
    <w:rsid w:val="01EE0CD2"/>
    <w:rsid w:val="01FD6D8E"/>
    <w:rsid w:val="02057C68"/>
    <w:rsid w:val="02176798"/>
    <w:rsid w:val="021E3237"/>
    <w:rsid w:val="02232B20"/>
    <w:rsid w:val="022A3A0A"/>
    <w:rsid w:val="023D0B8F"/>
    <w:rsid w:val="026E6F9B"/>
    <w:rsid w:val="0281614C"/>
    <w:rsid w:val="028B0B5C"/>
    <w:rsid w:val="029E7995"/>
    <w:rsid w:val="02D421F4"/>
    <w:rsid w:val="02ED1C6E"/>
    <w:rsid w:val="02EF193A"/>
    <w:rsid w:val="03490EDC"/>
    <w:rsid w:val="038F10F6"/>
    <w:rsid w:val="03AF786B"/>
    <w:rsid w:val="03B83993"/>
    <w:rsid w:val="03DD240B"/>
    <w:rsid w:val="03DF6975"/>
    <w:rsid w:val="03E35C69"/>
    <w:rsid w:val="042053E0"/>
    <w:rsid w:val="04414850"/>
    <w:rsid w:val="048438C2"/>
    <w:rsid w:val="04970010"/>
    <w:rsid w:val="049F168E"/>
    <w:rsid w:val="04A40A4B"/>
    <w:rsid w:val="04A44289"/>
    <w:rsid w:val="04A459EA"/>
    <w:rsid w:val="04AC3BDE"/>
    <w:rsid w:val="04BD1D30"/>
    <w:rsid w:val="04C27B0E"/>
    <w:rsid w:val="04E055ED"/>
    <w:rsid w:val="05082D18"/>
    <w:rsid w:val="051137B3"/>
    <w:rsid w:val="05150C72"/>
    <w:rsid w:val="051F07EE"/>
    <w:rsid w:val="053348AA"/>
    <w:rsid w:val="05484CE0"/>
    <w:rsid w:val="055B714D"/>
    <w:rsid w:val="05656B3C"/>
    <w:rsid w:val="05721E22"/>
    <w:rsid w:val="05730042"/>
    <w:rsid w:val="057515CA"/>
    <w:rsid w:val="059A6B48"/>
    <w:rsid w:val="05AA1990"/>
    <w:rsid w:val="05B13426"/>
    <w:rsid w:val="05CA098C"/>
    <w:rsid w:val="05D45B30"/>
    <w:rsid w:val="05E87B8D"/>
    <w:rsid w:val="061D23FB"/>
    <w:rsid w:val="067149AC"/>
    <w:rsid w:val="068C3E93"/>
    <w:rsid w:val="06AC2AA3"/>
    <w:rsid w:val="06CF34A6"/>
    <w:rsid w:val="06F95995"/>
    <w:rsid w:val="070457D8"/>
    <w:rsid w:val="07233624"/>
    <w:rsid w:val="072E3478"/>
    <w:rsid w:val="072E5CB3"/>
    <w:rsid w:val="07361A6D"/>
    <w:rsid w:val="076F3FC1"/>
    <w:rsid w:val="076F447D"/>
    <w:rsid w:val="0786394E"/>
    <w:rsid w:val="07894C3F"/>
    <w:rsid w:val="078B20AB"/>
    <w:rsid w:val="07D70F63"/>
    <w:rsid w:val="07E51AAD"/>
    <w:rsid w:val="07E71FE4"/>
    <w:rsid w:val="0803725F"/>
    <w:rsid w:val="08055065"/>
    <w:rsid w:val="08116888"/>
    <w:rsid w:val="085E613F"/>
    <w:rsid w:val="08665884"/>
    <w:rsid w:val="08733C2E"/>
    <w:rsid w:val="087649A8"/>
    <w:rsid w:val="087A7310"/>
    <w:rsid w:val="087F274F"/>
    <w:rsid w:val="0895702F"/>
    <w:rsid w:val="08A454C4"/>
    <w:rsid w:val="08BD7575"/>
    <w:rsid w:val="08DA0EE6"/>
    <w:rsid w:val="08F76E2B"/>
    <w:rsid w:val="08FA42D6"/>
    <w:rsid w:val="08FE1B2A"/>
    <w:rsid w:val="090A39EC"/>
    <w:rsid w:val="091B505B"/>
    <w:rsid w:val="092B6377"/>
    <w:rsid w:val="092D2F42"/>
    <w:rsid w:val="09510A7C"/>
    <w:rsid w:val="09772BD9"/>
    <w:rsid w:val="09794E8B"/>
    <w:rsid w:val="099C263F"/>
    <w:rsid w:val="09B105B6"/>
    <w:rsid w:val="09E27C8E"/>
    <w:rsid w:val="0A2B4C15"/>
    <w:rsid w:val="0A3F7503"/>
    <w:rsid w:val="0A4E4CDE"/>
    <w:rsid w:val="0A51714B"/>
    <w:rsid w:val="0A655B7E"/>
    <w:rsid w:val="0A9164D5"/>
    <w:rsid w:val="0AC715C8"/>
    <w:rsid w:val="0AE373FA"/>
    <w:rsid w:val="0AEA7AAA"/>
    <w:rsid w:val="0AEB6067"/>
    <w:rsid w:val="0B06666C"/>
    <w:rsid w:val="0B0E212A"/>
    <w:rsid w:val="0B1F33CB"/>
    <w:rsid w:val="0B2E376B"/>
    <w:rsid w:val="0B565203"/>
    <w:rsid w:val="0B676D78"/>
    <w:rsid w:val="0B680BBD"/>
    <w:rsid w:val="0B7D6643"/>
    <w:rsid w:val="0BC40D08"/>
    <w:rsid w:val="0BD7795F"/>
    <w:rsid w:val="0BDA4807"/>
    <w:rsid w:val="0C1B12D5"/>
    <w:rsid w:val="0C1D1008"/>
    <w:rsid w:val="0C2806A2"/>
    <w:rsid w:val="0C3F2C08"/>
    <w:rsid w:val="0C6E74CE"/>
    <w:rsid w:val="0CD81BE1"/>
    <w:rsid w:val="0CF03353"/>
    <w:rsid w:val="0CFA4765"/>
    <w:rsid w:val="0D174B9D"/>
    <w:rsid w:val="0D26294C"/>
    <w:rsid w:val="0D280FAD"/>
    <w:rsid w:val="0D5E5115"/>
    <w:rsid w:val="0D5F4380"/>
    <w:rsid w:val="0D6C40D7"/>
    <w:rsid w:val="0DB42A2A"/>
    <w:rsid w:val="0DBE0EAB"/>
    <w:rsid w:val="0DCA1F9C"/>
    <w:rsid w:val="0DE63828"/>
    <w:rsid w:val="0E160C52"/>
    <w:rsid w:val="0E581DC2"/>
    <w:rsid w:val="0E867C61"/>
    <w:rsid w:val="0E8F3FF0"/>
    <w:rsid w:val="0E915C5A"/>
    <w:rsid w:val="0E9F336C"/>
    <w:rsid w:val="0EA745D6"/>
    <w:rsid w:val="0ED05EB1"/>
    <w:rsid w:val="0ED24075"/>
    <w:rsid w:val="0EF41624"/>
    <w:rsid w:val="0F021A14"/>
    <w:rsid w:val="0F0C3DC3"/>
    <w:rsid w:val="0F2446C6"/>
    <w:rsid w:val="0F334EAC"/>
    <w:rsid w:val="0F3D5D2B"/>
    <w:rsid w:val="0F3F5F47"/>
    <w:rsid w:val="0F561099"/>
    <w:rsid w:val="102313C5"/>
    <w:rsid w:val="10650F88"/>
    <w:rsid w:val="108D0901"/>
    <w:rsid w:val="10B82162"/>
    <w:rsid w:val="10DE6B45"/>
    <w:rsid w:val="10F52C2F"/>
    <w:rsid w:val="11043568"/>
    <w:rsid w:val="11046D6C"/>
    <w:rsid w:val="1108719E"/>
    <w:rsid w:val="111C07C5"/>
    <w:rsid w:val="112125DC"/>
    <w:rsid w:val="11246DE1"/>
    <w:rsid w:val="11380DED"/>
    <w:rsid w:val="114535BD"/>
    <w:rsid w:val="11832C1D"/>
    <w:rsid w:val="11873200"/>
    <w:rsid w:val="119E1062"/>
    <w:rsid w:val="11A83794"/>
    <w:rsid w:val="11B515A8"/>
    <w:rsid w:val="11B97F74"/>
    <w:rsid w:val="11C3258C"/>
    <w:rsid w:val="11D14DE6"/>
    <w:rsid w:val="11D624AF"/>
    <w:rsid w:val="11DA5211"/>
    <w:rsid w:val="11EB1355"/>
    <w:rsid w:val="12065B5A"/>
    <w:rsid w:val="122503F9"/>
    <w:rsid w:val="122B6C19"/>
    <w:rsid w:val="12333415"/>
    <w:rsid w:val="1238271C"/>
    <w:rsid w:val="12900868"/>
    <w:rsid w:val="12E3210E"/>
    <w:rsid w:val="12E33EA3"/>
    <w:rsid w:val="130B2C8A"/>
    <w:rsid w:val="131572E0"/>
    <w:rsid w:val="13346146"/>
    <w:rsid w:val="13462460"/>
    <w:rsid w:val="136255E4"/>
    <w:rsid w:val="1371773F"/>
    <w:rsid w:val="13852A27"/>
    <w:rsid w:val="13DA1481"/>
    <w:rsid w:val="13DF3AD3"/>
    <w:rsid w:val="140432BB"/>
    <w:rsid w:val="142571CC"/>
    <w:rsid w:val="144B4EA3"/>
    <w:rsid w:val="14952A3D"/>
    <w:rsid w:val="14AF3A87"/>
    <w:rsid w:val="14D76A19"/>
    <w:rsid w:val="14E23347"/>
    <w:rsid w:val="14EA12E0"/>
    <w:rsid w:val="150712B5"/>
    <w:rsid w:val="15261440"/>
    <w:rsid w:val="15271703"/>
    <w:rsid w:val="152C073A"/>
    <w:rsid w:val="1532786F"/>
    <w:rsid w:val="155B2DC4"/>
    <w:rsid w:val="157571AE"/>
    <w:rsid w:val="15B374FB"/>
    <w:rsid w:val="15C20288"/>
    <w:rsid w:val="15C469FD"/>
    <w:rsid w:val="15C62E8D"/>
    <w:rsid w:val="15D37C42"/>
    <w:rsid w:val="15D407B6"/>
    <w:rsid w:val="15DC15D3"/>
    <w:rsid w:val="16036DAD"/>
    <w:rsid w:val="161376B3"/>
    <w:rsid w:val="16144E2A"/>
    <w:rsid w:val="161F7665"/>
    <w:rsid w:val="163A58B3"/>
    <w:rsid w:val="16452C2B"/>
    <w:rsid w:val="16583CE0"/>
    <w:rsid w:val="1671799C"/>
    <w:rsid w:val="167506EC"/>
    <w:rsid w:val="167633F7"/>
    <w:rsid w:val="168F0125"/>
    <w:rsid w:val="169923E1"/>
    <w:rsid w:val="16AF7E04"/>
    <w:rsid w:val="16B00D6C"/>
    <w:rsid w:val="16F83AE9"/>
    <w:rsid w:val="172B149B"/>
    <w:rsid w:val="174154D9"/>
    <w:rsid w:val="17505154"/>
    <w:rsid w:val="17577C71"/>
    <w:rsid w:val="1767408A"/>
    <w:rsid w:val="17680806"/>
    <w:rsid w:val="176832B6"/>
    <w:rsid w:val="176F275D"/>
    <w:rsid w:val="177579D8"/>
    <w:rsid w:val="17847F41"/>
    <w:rsid w:val="17A15A42"/>
    <w:rsid w:val="17BE586A"/>
    <w:rsid w:val="17E252DB"/>
    <w:rsid w:val="17E84D67"/>
    <w:rsid w:val="17F30291"/>
    <w:rsid w:val="18140DAD"/>
    <w:rsid w:val="182C1503"/>
    <w:rsid w:val="18370273"/>
    <w:rsid w:val="186B38FB"/>
    <w:rsid w:val="18DF60A5"/>
    <w:rsid w:val="18E01F14"/>
    <w:rsid w:val="18E92222"/>
    <w:rsid w:val="18EA231A"/>
    <w:rsid w:val="19073D84"/>
    <w:rsid w:val="19110755"/>
    <w:rsid w:val="191E405C"/>
    <w:rsid w:val="196E1346"/>
    <w:rsid w:val="19797D1B"/>
    <w:rsid w:val="199A0ABB"/>
    <w:rsid w:val="19AA46D9"/>
    <w:rsid w:val="19C145FB"/>
    <w:rsid w:val="19D77E98"/>
    <w:rsid w:val="19DC5238"/>
    <w:rsid w:val="19E36BDB"/>
    <w:rsid w:val="1A1C151A"/>
    <w:rsid w:val="1A230E14"/>
    <w:rsid w:val="1A343A48"/>
    <w:rsid w:val="1A4F414D"/>
    <w:rsid w:val="1A52690A"/>
    <w:rsid w:val="1A794676"/>
    <w:rsid w:val="1A7B0315"/>
    <w:rsid w:val="1A7E565D"/>
    <w:rsid w:val="1A8417F8"/>
    <w:rsid w:val="1A895258"/>
    <w:rsid w:val="1A981FF1"/>
    <w:rsid w:val="1A9F636C"/>
    <w:rsid w:val="1AA95255"/>
    <w:rsid w:val="1ABA1500"/>
    <w:rsid w:val="1AC42B74"/>
    <w:rsid w:val="1AF358E9"/>
    <w:rsid w:val="1B152009"/>
    <w:rsid w:val="1B1D635F"/>
    <w:rsid w:val="1B65048B"/>
    <w:rsid w:val="1B666609"/>
    <w:rsid w:val="1B690437"/>
    <w:rsid w:val="1B6F4D9F"/>
    <w:rsid w:val="1B803B6F"/>
    <w:rsid w:val="1BC1627B"/>
    <w:rsid w:val="1BD71425"/>
    <w:rsid w:val="1BE6145C"/>
    <w:rsid w:val="1C006592"/>
    <w:rsid w:val="1C5F5673"/>
    <w:rsid w:val="1C764A96"/>
    <w:rsid w:val="1C8058D7"/>
    <w:rsid w:val="1CB33ACB"/>
    <w:rsid w:val="1CC02523"/>
    <w:rsid w:val="1CCA2831"/>
    <w:rsid w:val="1CCB40A4"/>
    <w:rsid w:val="1D0772A3"/>
    <w:rsid w:val="1D2D3883"/>
    <w:rsid w:val="1D6853D0"/>
    <w:rsid w:val="1D8E5BC7"/>
    <w:rsid w:val="1D994ACF"/>
    <w:rsid w:val="1D9F5E21"/>
    <w:rsid w:val="1DB775F0"/>
    <w:rsid w:val="1DD952C3"/>
    <w:rsid w:val="1DE93391"/>
    <w:rsid w:val="1DEC68DE"/>
    <w:rsid w:val="1DED46E4"/>
    <w:rsid w:val="1DFB572F"/>
    <w:rsid w:val="1E1058B9"/>
    <w:rsid w:val="1E171CE7"/>
    <w:rsid w:val="1E1D38F7"/>
    <w:rsid w:val="1E347E07"/>
    <w:rsid w:val="1E427186"/>
    <w:rsid w:val="1E573C88"/>
    <w:rsid w:val="1E79137D"/>
    <w:rsid w:val="1EDD6594"/>
    <w:rsid w:val="1EE3329D"/>
    <w:rsid w:val="1EE65619"/>
    <w:rsid w:val="1F03786E"/>
    <w:rsid w:val="1F4A4273"/>
    <w:rsid w:val="1F5D1C14"/>
    <w:rsid w:val="1F622ED7"/>
    <w:rsid w:val="1F840BB4"/>
    <w:rsid w:val="1F896EAB"/>
    <w:rsid w:val="1FA2219B"/>
    <w:rsid w:val="1FA707EF"/>
    <w:rsid w:val="1FC61818"/>
    <w:rsid w:val="1FD3752F"/>
    <w:rsid w:val="200077D7"/>
    <w:rsid w:val="20026F55"/>
    <w:rsid w:val="2005305F"/>
    <w:rsid w:val="203C3E97"/>
    <w:rsid w:val="204F1006"/>
    <w:rsid w:val="20592BE1"/>
    <w:rsid w:val="20647C4B"/>
    <w:rsid w:val="206C787F"/>
    <w:rsid w:val="208A7A67"/>
    <w:rsid w:val="20B607ED"/>
    <w:rsid w:val="20B7638D"/>
    <w:rsid w:val="20C00605"/>
    <w:rsid w:val="20C46B30"/>
    <w:rsid w:val="20CB64C5"/>
    <w:rsid w:val="20D56115"/>
    <w:rsid w:val="20EF7F76"/>
    <w:rsid w:val="211E175E"/>
    <w:rsid w:val="2124108C"/>
    <w:rsid w:val="212F407F"/>
    <w:rsid w:val="2132071E"/>
    <w:rsid w:val="2150213A"/>
    <w:rsid w:val="216330BD"/>
    <w:rsid w:val="21811938"/>
    <w:rsid w:val="21A406A6"/>
    <w:rsid w:val="21B448A1"/>
    <w:rsid w:val="21B868CB"/>
    <w:rsid w:val="21C07D6B"/>
    <w:rsid w:val="21CA1798"/>
    <w:rsid w:val="21D642A3"/>
    <w:rsid w:val="21F901D7"/>
    <w:rsid w:val="22001676"/>
    <w:rsid w:val="220B49B9"/>
    <w:rsid w:val="22280ABD"/>
    <w:rsid w:val="222C12E8"/>
    <w:rsid w:val="224E4B07"/>
    <w:rsid w:val="2261462C"/>
    <w:rsid w:val="22680CC1"/>
    <w:rsid w:val="228770CB"/>
    <w:rsid w:val="22995516"/>
    <w:rsid w:val="22AF391C"/>
    <w:rsid w:val="22B8506E"/>
    <w:rsid w:val="22E07399"/>
    <w:rsid w:val="232C66D6"/>
    <w:rsid w:val="23396E5C"/>
    <w:rsid w:val="234C3473"/>
    <w:rsid w:val="23886695"/>
    <w:rsid w:val="23892016"/>
    <w:rsid w:val="23AB27B5"/>
    <w:rsid w:val="23B00069"/>
    <w:rsid w:val="23C82946"/>
    <w:rsid w:val="23D0580E"/>
    <w:rsid w:val="23D168B9"/>
    <w:rsid w:val="23D41475"/>
    <w:rsid w:val="23EC522B"/>
    <w:rsid w:val="24102472"/>
    <w:rsid w:val="242D43A9"/>
    <w:rsid w:val="243057F6"/>
    <w:rsid w:val="243F3636"/>
    <w:rsid w:val="244B7021"/>
    <w:rsid w:val="245A32C0"/>
    <w:rsid w:val="24726ADA"/>
    <w:rsid w:val="248E3F3E"/>
    <w:rsid w:val="249D7540"/>
    <w:rsid w:val="24E50AA7"/>
    <w:rsid w:val="24EA1292"/>
    <w:rsid w:val="24F74F7C"/>
    <w:rsid w:val="250537CE"/>
    <w:rsid w:val="253D7525"/>
    <w:rsid w:val="254C3B1B"/>
    <w:rsid w:val="25613997"/>
    <w:rsid w:val="25747462"/>
    <w:rsid w:val="259077EF"/>
    <w:rsid w:val="25CB1E8B"/>
    <w:rsid w:val="25D20180"/>
    <w:rsid w:val="25E84E1E"/>
    <w:rsid w:val="25FF57BB"/>
    <w:rsid w:val="26403086"/>
    <w:rsid w:val="264A4933"/>
    <w:rsid w:val="265F4443"/>
    <w:rsid w:val="26987D97"/>
    <w:rsid w:val="2699362D"/>
    <w:rsid w:val="26B8351A"/>
    <w:rsid w:val="26D32376"/>
    <w:rsid w:val="26E054C2"/>
    <w:rsid w:val="270F2476"/>
    <w:rsid w:val="27116BB5"/>
    <w:rsid w:val="271607FE"/>
    <w:rsid w:val="27221F7E"/>
    <w:rsid w:val="27436E3A"/>
    <w:rsid w:val="275C372F"/>
    <w:rsid w:val="27702CEA"/>
    <w:rsid w:val="27732BF2"/>
    <w:rsid w:val="2783521B"/>
    <w:rsid w:val="278A38E7"/>
    <w:rsid w:val="27902E31"/>
    <w:rsid w:val="27A01F77"/>
    <w:rsid w:val="27BD0F50"/>
    <w:rsid w:val="27D15030"/>
    <w:rsid w:val="27DA1556"/>
    <w:rsid w:val="280C0A80"/>
    <w:rsid w:val="285030E2"/>
    <w:rsid w:val="285A0796"/>
    <w:rsid w:val="285C1C49"/>
    <w:rsid w:val="28853440"/>
    <w:rsid w:val="288A4B67"/>
    <w:rsid w:val="289A5365"/>
    <w:rsid w:val="28C31FC0"/>
    <w:rsid w:val="28C40BB1"/>
    <w:rsid w:val="28CF517E"/>
    <w:rsid w:val="28D278D3"/>
    <w:rsid w:val="28D472A8"/>
    <w:rsid w:val="28DD43B7"/>
    <w:rsid w:val="28EA7B9D"/>
    <w:rsid w:val="291760AB"/>
    <w:rsid w:val="29207F44"/>
    <w:rsid w:val="295C2026"/>
    <w:rsid w:val="2973288B"/>
    <w:rsid w:val="297B5976"/>
    <w:rsid w:val="29DC6A9B"/>
    <w:rsid w:val="29E40528"/>
    <w:rsid w:val="2A161FA5"/>
    <w:rsid w:val="2A2439A2"/>
    <w:rsid w:val="2A370240"/>
    <w:rsid w:val="2A453E9C"/>
    <w:rsid w:val="2A566D1F"/>
    <w:rsid w:val="2A644EF8"/>
    <w:rsid w:val="2A760395"/>
    <w:rsid w:val="2A7C7BF7"/>
    <w:rsid w:val="2A854B8A"/>
    <w:rsid w:val="2A8C7F72"/>
    <w:rsid w:val="2AA208BE"/>
    <w:rsid w:val="2AB23B25"/>
    <w:rsid w:val="2AB43041"/>
    <w:rsid w:val="2AB774C6"/>
    <w:rsid w:val="2AB944A5"/>
    <w:rsid w:val="2AFA28CA"/>
    <w:rsid w:val="2B023583"/>
    <w:rsid w:val="2B0A4794"/>
    <w:rsid w:val="2B0B4AD7"/>
    <w:rsid w:val="2B165E4F"/>
    <w:rsid w:val="2B1C4E3B"/>
    <w:rsid w:val="2B1D1914"/>
    <w:rsid w:val="2B2B7F90"/>
    <w:rsid w:val="2B4D3342"/>
    <w:rsid w:val="2B4E173D"/>
    <w:rsid w:val="2B6019AF"/>
    <w:rsid w:val="2B643A77"/>
    <w:rsid w:val="2B886EAE"/>
    <w:rsid w:val="2B8B1613"/>
    <w:rsid w:val="2B9B56C2"/>
    <w:rsid w:val="2BA2076D"/>
    <w:rsid w:val="2BAD4CEB"/>
    <w:rsid w:val="2BCD19D1"/>
    <w:rsid w:val="2BEB227C"/>
    <w:rsid w:val="2BFB7DB4"/>
    <w:rsid w:val="2C121C45"/>
    <w:rsid w:val="2C1874AC"/>
    <w:rsid w:val="2C28575B"/>
    <w:rsid w:val="2C5621F0"/>
    <w:rsid w:val="2C622546"/>
    <w:rsid w:val="2C66290D"/>
    <w:rsid w:val="2C760388"/>
    <w:rsid w:val="2C9034E6"/>
    <w:rsid w:val="2C9805ED"/>
    <w:rsid w:val="2CA6158A"/>
    <w:rsid w:val="2CA81406"/>
    <w:rsid w:val="2CA843A1"/>
    <w:rsid w:val="2CC450F6"/>
    <w:rsid w:val="2CF35F9F"/>
    <w:rsid w:val="2CFA3AA2"/>
    <w:rsid w:val="2CFA3E0C"/>
    <w:rsid w:val="2D043BEB"/>
    <w:rsid w:val="2D214D41"/>
    <w:rsid w:val="2D366D99"/>
    <w:rsid w:val="2D390B0D"/>
    <w:rsid w:val="2D635529"/>
    <w:rsid w:val="2D77124F"/>
    <w:rsid w:val="2D856475"/>
    <w:rsid w:val="2D896DAF"/>
    <w:rsid w:val="2DA804FC"/>
    <w:rsid w:val="2DA84FC2"/>
    <w:rsid w:val="2DCD47ED"/>
    <w:rsid w:val="2DD83397"/>
    <w:rsid w:val="2DE955B3"/>
    <w:rsid w:val="2DEA5B1E"/>
    <w:rsid w:val="2E2465DC"/>
    <w:rsid w:val="2E2C5491"/>
    <w:rsid w:val="2E3D5C29"/>
    <w:rsid w:val="2E565B32"/>
    <w:rsid w:val="2E800795"/>
    <w:rsid w:val="2EA91D84"/>
    <w:rsid w:val="2EB37A23"/>
    <w:rsid w:val="2EB8081E"/>
    <w:rsid w:val="2EC114A1"/>
    <w:rsid w:val="2EFD2F22"/>
    <w:rsid w:val="2F0401BB"/>
    <w:rsid w:val="2F113A9A"/>
    <w:rsid w:val="2F2011C2"/>
    <w:rsid w:val="2F2E7713"/>
    <w:rsid w:val="2F3743CC"/>
    <w:rsid w:val="2F412159"/>
    <w:rsid w:val="2F4C3308"/>
    <w:rsid w:val="2FA53959"/>
    <w:rsid w:val="2FBD53F1"/>
    <w:rsid w:val="2FC24F14"/>
    <w:rsid w:val="2FE94E45"/>
    <w:rsid w:val="2FF46D01"/>
    <w:rsid w:val="2FFC643F"/>
    <w:rsid w:val="300D554D"/>
    <w:rsid w:val="301E4341"/>
    <w:rsid w:val="30212458"/>
    <w:rsid w:val="302F7315"/>
    <w:rsid w:val="303415A0"/>
    <w:rsid w:val="305768A7"/>
    <w:rsid w:val="308E3CB3"/>
    <w:rsid w:val="30BB1C12"/>
    <w:rsid w:val="30BD0DB2"/>
    <w:rsid w:val="30D71D5F"/>
    <w:rsid w:val="30D942D4"/>
    <w:rsid w:val="310518D2"/>
    <w:rsid w:val="31095C31"/>
    <w:rsid w:val="312932CB"/>
    <w:rsid w:val="31446305"/>
    <w:rsid w:val="315A2C51"/>
    <w:rsid w:val="31653EF5"/>
    <w:rsid w:val="31817D6A"/>
    <w:rsid w:val="31A17C21"/>
    <w:rsid w:val="31B4690F"/>
    <w:rsid w:val="31BF30A2"/>
    <w:rsid w:val="31F7086D"/>
    <w:rsid w:val="320903DD"/>
    <w:rsid w:val="321F7100"/>
    <w:rsid w:val="3235416C"/>
    <w:rsid w:val="324F4B05"/>
    <w:rsid w:val="3253123E"/>
    <w:rsid w:val="32783C1F"/>
    <w:rsid w:val="32C000D3"/>
    <w:rsid w:val="32CB171C"/>
    <w:rsid w:val="32CD7B28"/>
    <w:rsid w:val="32E31A77"/>
    <w:rsid w:val="32EB1476"/>
    <w:rsid w:val="331B513C"/>
    <w:rsid w:val="333A6364"/>
    <w:rsid w:val="33901741"/>
    <w:rsid w:val="339130F0"/>
    <w:rsid w:val="33AB4DE1"/>
    <w:rsid w:val="33B06B1B"/>
    <w:rsid w:val="33B66F9A"/>
    <w:rsid w:val="33B82240"/>
    <w:rsid w:val="33BA3E67"/>
    <w:rsid w:val="33BA709B"/>
    <w:rsid w:val="33F16B1C"/>
    <w:rsid w:val="340A5BF1"/>
    <w:rsid w:val="34267404"/>
    <w:rsid w:val="342D0A41"/>
    <w:rsid w:val="345663D5"/>
    <w:rsid w:val="34655258"/>
    <w:rsid w:val="346F5E8D"/>
    <w:rsid w:val="348E1673"/>
    <w:rsid w:val="34903BC7"/>
    <w:rsid w:val="34F77323"/>
    <w:rsid w:val="34FF1768"/>
    <w:rsid w:val="35085421"/>
    <w:rsid w:val="352B46F4"/>
    <w:rsid w:val="353E7D1C"/>
    <w:rsid w:val="35431282"/>
    <w:rsid w:val="3555111B"/>
    <w:rsid w:val="359C2CF9"/>
    <w:rsid w:val="359E2957"/>
    <w:rsid w:val="35A53F55"/>
    <w:rsid w:val="35E45DC8"/>
    <w:rsid w:val="35E532BF"/>
    <w:rsid w:val="36081F75"/>
    <w:rsid w:val="36082ADE"/>
    <w:rsid w:val="360F0A59"/>
    <w:rsid w:val="361E6F97"/>
    <w:rsid w:val="3622497D"/>
    <w:rsid w:val="36280085"/>
    <w:rsid w:val="36477D1D"/>
    <w:rsid w:val="365C268B"/>
    <w:rsid w:val="3668249D"/>
    <w:rsid w:val="36974B3C"/>
    <w:rsid w:val="36A171E1"/>
    <w:rsid w:val="36D33DE6"/>
    <w:rsid w:val="36DB2F00"/>
    <w:rsid w:val="36DF7D95"/>
    <w:rsid w:val="36F567E8"/>
    <w:rsid w:val="37424A99"/>
    <w:rsid w:val="37471A58"/>
    <w:rsid w:val="374E4B96"/>
    <w:rsid w:val="376712AD"/>
    <w:rsid w:val="379A790F"/>
    <w:rsid w:val="379D6F94"/>
    <w:rsid w:val="37A705EE"/>
    <w:rsid w:val="37AE4E61"/>
    <w:rsid w:val="37CA01F4"/>
    <w:rsid w:val="37E92F9C"/>
    <w:rsid w:val="38065E15"/>
    <w:rsid w:val="381E7BC6"/>
    <w:rsid w:val="38236BC4"/>
    <w:rsid w:val="382F1CEC"/>
    <w:rsid w:val="38311C95"/>
    <w:rsid w:val="3849381E"/>
    <w:rsid w:val="38514FA5"/>
    <w:rsid w:val="38553C45"/>
    <w:rsid w:val="38557AF5"/>
    <w:rsid w:val="38CC4630"/>
    <w:rsid w:val="38EC4BE9"/>
    <w:rsid w:val="38FF7D6B"/>
    <w:rsid w:val="391C3D7A"/>
    <w:rsid w:val="392F7D36"/>
    <w:rsid w:val="393F12C1"/>
    <w:rsid w:val="39466515"/>
    <w:rsid w:val="39880F03"/>
    <w:rsid w:val="39A56C6C"/>
    <w:rsid w:val="39A81F60"/>
    <w:rsid w:val="39BC567F"/>
    <w:rsid w:val="39BE5B37"/>
    <w:rsid w:val="39DF5545"/>
    <w:rsid w:val="39E13750"/>
    <w:rsid w:val="39E60BCC"/>
    <w:rsid w:val="39ED6531"/>
    <w:rsid w:val="39F409F2"/>
    <w:rsid w:val="3A055CCF"/>
    <w:rsid w:val="3A134B27"/>
    <w:rsid w:val="3A3A65D2"/>
    <w:rsid w:val="3A3F42DF"/>
    <w:rsid w:val="3A500F02"/>
    <w:rsid w:val="3A681073"/>
    <w:rsid w:val="3A9248CD"/>
    <w:rsid w:val="3A9974A9"/>
    <w:rsid w:val="3AA72A64"/>
    <w:rsid w:val="3AB208C6"/>
    <w:rsid w:val="3AC57100"/>
    <w:rsid w:val="3ACB109D"/>
    <w:rsid w:val="3AE35129"/>
    <w:rsid w:val="3AE84B40"/>
    <w:rsid w:val="3B0C57D3"/>
    <w:rsid w:val="3B205EA6"/>
    <w:rsid w:val="3B5640A1"/>
    <w:rsid w:val="3B7A14BE"/>
    <w:rsid w:val="3BAA426C"/>
    <w:rsid w:val="3BD853DD"/>
    <w:rsid w:val="3BE9404B"/>
    <w:rsid w:val="3BF64177"/>
    <w:rsid w:val="3C081C0C"/>
    <w:rsid w:val="3C1B2754"/>
    <w:rsid w:val="3C1D74C2"/>
    <w:rsid w:val="3C291261"/>
    <w:rsid w:val="3C826847"/>
    <w:rsid w:val="3C944C84"/>
    <w:rsid w:val="3C984186"/>
    <w:rsid w:val="3CAC41F3"/>
    <w:rsid w:val="3CCB695D"/>
    <w:rsid w:val="3CE25424"/>
    <w:rsid w:val="3CE96C5E"/>
    <w:rsid w:val="3CF01CE2"/>
    <w:rsid w:val="3D435E76"/>
    <w:rsid w:val="3D532A3A"/>
    <w:rsid w:val="3D556A37"/>
    <w:rsid w:val="3D60327A"/>
    <w:rsid w:val="3D7321FC"/>
    <w:rsid w:val="3D8731CF"/>
    <w:rsid w:val="3D916FC8"/>
    <w:rsid w:val="3D9B0551"/>
    <w:rsid w:val="3DC25A0F"/>
    <w:rsid w:val="3DC77A50"/>
    <w:rsid w:val="3DC926BA"/>
    <w:rsid w:val="3DD8142F"/>
    <w:rsid w:val="3DEE345B"/>
    <w:rsid w:val="3DF85319"/>
    <w:rsid w:val="3E233691"/>
    <w:rsid w:val="3E6A2D6B"/>
    <w:rsid w:val="3E6A6D94"/>
    <w:rsid w:val="3E762D04"/>
    <w:rsid w:val="3E771E09"/>
    <w:rsid w:val="3EF37D8E"/>
    <w:rsid w:val="3F1878F0"/>
    <w:rsid w:val="3F1D7357"/>
    <w:rsid w:val="3F285DCD"/>
    <w:rsid w:val="3F2E6275"/>
    <w:rsid w:val="3F595F9D"/>
    <w:rsid w:val="3F626810"/>
    <w:rsid w:val="3F7153F9"/>
    <w:rsid w:val="3F84165E"/>
    <w:rsid w:val="3F8F439E"/>
    <w:rsid w:val="3F96174F"/>
    <w:rsid w:val="3FAA7885"/>
    <w:rsid w:val="3FAE6D2E"/>
    <w:rsid w:val="3FCD1472"/>
    <w:rsid w:val="3FD47C6F"/>
    <w:rsid w:val="3FF676AC"/>
    <w:rsid w:val="3FFE53A1"/>
    <w:rsid w:val="4009278C"/>
    <w:rsid w:val="400D6B24"/>
    <w:rsid w:val="402E34F4"/>
    <w:rsid w:val="403F2689"/>
    <w:rsid w:val="404D1990"/>
    <w:rsid w:val="408F18B6"/>
    <w:rsid w:val="40B530C4"/>
    <w:rsid w:val="40FE4A6B"/>
    <w:rsid w:val="410B1E5B"/>
    <w:rsid w:val="41390424"/>
    <w:rsid w:val="418946F5"/>
    <w:rsid w:val="41A6541C"/>
    <w:rsid w:val="41AB3385"/>
    <w:rsid w:val="41AF705F"/>
    <w:rsid w:val="41B25B14"/>
    <w:rsid w:val="41BE0301"/>
    <w:rsid w:val="41D90737"/>
    <w:rsid w:val="41DC77D6"/>
    <w:rsid w:val="41DE1A29"/>
    <w:rsid w:val="41F60529"/>
    <w:rsid w:val="4202058A"/>
    <w:rsid w:val="42291CC1"/>
    <w:rsid w:val="424D1447"/>
    <w:rsid w:val="424E03A8"/>
    <w:rsid w:val="4291337A"/>
    <w:rsid w:val="42AF746D"/>
    <w:rsid w:val="42B14179"/>
    <w:rsid w:val="42D54B5B"/>
    <w:rsid w:val="42EF47BF"/>
    <w:rsid w:val="42F558FD"/>
    <w:rsid w:val="436B5901"/>
    <w:rsid w:val="43A9164C"/>
    <w:rsid w:val="43E67AAC"/>
    <w:rsid w:val="43EB284D"/>
    <w:rsid w:val="441B0DE2"/>
    <w:rsid w:val="4421504A"/>
    <w:rsid w:val="44245E78"/>
    <w:rsid w:val="445046DD"/>
    <w:rsid w:val="447E66D5"/>
    <w:rsid w:val="44967580"/>
    <w:rsid w:val="44A52F10"/>
    <w:rsid w:val="44BD74C4"/>
    <w:rsid w:val="44CD1324"/>
    <w:rsid w:val="44F81DFB"/>
    <w:rsid w:val="450B63F4"/>
    <w:rsid w:val="453F2589"/>
    <w:rsid w:val="454734AA"/>
    <w:rsid w:val="455C53AE"/>
    <w:rsid w:val="45624DC8"/>
    <w:rsid w:val="4565528C"/>
    <w:rsid w:val="458866D0"/>
    <w:rsid w:val="459E2752"/>
    <w:rsid w:val="45AA0E1B"/>
    <w:rsid w:val="45AC74D1"/>
    <w:rsid w:val="45C36769"/>
    <w:rsid w:val="45C87C21"/>
    <w:rsid w:val="45CD6153"/>
    <w:rsid w:val="45DA298F"/>
    <w:rsid w:val="45E33624"/>
    <w:rsid w:val="45E73E6D"/>
    <w:rsid w:val="462D3ED2"/>
    <w:rsid w:val="463C0496"/>
    <w:rsid w:val="463E3563"/>
    <w:rsid w:val="46566A3D"/>
    <w:rsid w:val="46583AFD"/>
    <w:rsid w:val="46647B82"/>
    <w:rsid w:val="46772A01"/>
    <w:rsid w:val="469E298D"/>
    <w:rsid w:val="46C06D23"/>
    <w:rsid w:val="46DF6950"/>
    <w:rsid w:val="46ED4826"/>
    <w:rsid w:val="46F012F9"/>
    <w:rsid w:val="46F82464"/>
    <w:rsid w:val="46F8622C"/>
    <w:rsid w:val="46FC5FED"/>
    <w:rsid w:val="46FD647B"/>
    <w:rsid w:val="47080924"/>
    <w:rsid w:val="471B43CC"/>
    <w:rsid w:val="471E5BB9"/>
    <w:rsid w:val="47382850"/>
    <w:rsid w:val="47387071"/>
    <w:rsid w:val="47394A4E"/>
    <w:rsid w:val="474D3691"/>
    <w:rsid w:val="474E3688"/>
    <w:rsid w:val="47874E00"/>
    <w:rsid w:val="479A049E"/>
    <w:rsid w:val="47CC58C3"/>
    <w:rsid w:val="47DE4A09"/>
    <w:rsid w:val="47FD7DFA"/>
    <w:rsid w:val="480667BE"/>
    <w:rsid w:val="4820369B"/>
    <w:rsid w:val="482658A1"/>
    <w:rsid w:val="482964DF"/>
    <w:rsid w:val="48366D56"/>
    <w:rsid w:val="48405244"/>
    <w:rsid w:val="48601F9A"/>
    <w:rsid w:val="486B5256"/>
    <w:rsid w:val="488E7741"/>
    <w:rsid w:val="48961963"/>
    <w:rsid w:val="48AA6A4C"/>
    <w:rsid w:val="48AE2754"/>
    <w:rsid w:val="48CE6BBF"/>
    <w:rsid w:val="48D51ABD"/>
    <w:rsid w:val="49016045"/>
    <w:rsid w:val="49107F9A"/>
    <w:rsid w:val="49133B2C"/>
    <w:rsid w:val="491F5821"/>
    <w:rsid w:val="49261E6F"/>
    <w:rsid w:val="493A177A"/>
    <w:rsid w:val="49784EF7"/>
    <w:rsid w:val="49870BD8"/>
    <w:rsid w:val="49891168"/>
    <w:rsid w:val="49930BA4"/>
    <w:rsid w:val="49A546BD"/>
    <w:rsid w:val="49AB1B87"/>
    <w:rsid w:val="49AB7BF4"/>
    <w:rsid w:val="49D37BDC"/>
    <w:rsid w:val="49E95F91"/>
    <w:rsid w:val="49EF7646"/>
    <w:rsid w:val="4A40672E"/>
    <w:rsid w:val="4A4A12C7"/>
    <w:rsid w:val="4A4B3301"/>
    <w:rsid w:val="4A4D372A"/>
    <w:rsid w:val="4A53677A"/>
    <w:rsid w:val="4A8F0D1B"/>
    <w:rsid w:val="4A973703"/>
    <w:rsid w:val="4A9F1532"/>
    <w:rsid w:val="4ABE7452"/>
    <w:rsid w:val="4AC705C3"/>
    <w:rsid w:val="4AC83F46"/>
    <w:rsid w:val="4AF45D9A"/>
    <w:rsid w:val="4B010D9D"/>
    <w:rsid w:val="4B167E6B"/>
    <w:rsid w:val="4B1862C5"/>
    <w:rsid w:val="4B5A6F10"/>
    <w:rsid w:val="4B692590"/>
    <w:rsid w:val="4B6A7992"/>
    <w:rsid w:val="4B8B7843"/>
    <w:rsid w:val="4C007951"/>
    <w:rsid w:val="4C07558F"/>
    <w:rsid w:val="4C1169F5"/>
    <w:rsid w:val="4C16601D"/>
    <w:rsid w:val="4C513BFE"/>
    <w:rsid w:val="4C6046BD"/>
    <w:rsid w:val="4C6E1D17"/>
    <w:rsid w:val="4C7604FC"/>
    <w:rsid w:val="4C814817"/>
    <w:rsid w:val="4C853C6F"/>
    <w:rsid w:val="4C8B11E0"/>
    <w:rsid w:val="4CC5689F"/>
    <w:rsid w:val="4CEA51AF"/>
    <w:rsid w:val="4CF05263"/>
    <w:rsid w:val="4D095DB4"/>
    <w:rsid w:val="4D115B26"/>
    <w:rsid w:val="4D1D0774"/>
    <w:rsid w:val="4D232ECD"/>
    <w:rsid w:val="4D5904BC"/>
    <w:rsid w:val="4D612591"/>
    <w:rsid w:val="4D6E4160"/>
    <w:rsid w:val="4D8C1650"/>
    <w:rsid w:val="4DC3624A"/>
    <w:rsid w:val="4DC76AAB"/>
    <w:rsid w:val="4DD01A0D"/>
    <w:rsid w:val="4DD63BF9"/>
    <w:rsid w:val="4DF47921"/>
    <w:rsid w:val="4DF55447"/>
    <w:rsid w:val="4DFE6538"/>
    <w:rsid w:val="4E3B72FE"/>
    <w:rsid w:val="4E49026A"/>
    <w:rsid w:val="4E4B161E"/>
    <w:rsid w:val="4E6C4D75"/>
    <w:rsid w:val="4E9876E6"/>
    <w:rsid w:val="4EA24026"/>
    <w:rsid w:val="4EE64705"/>
    <w:rsid w:val="4F0A5E14"/>
    <w:rsid w:val="4F24507C"/>
    <w:rsid w:val="4F262ED0"/>
    <w:rsid w:val="4F2F5677"/>
    <w:rsid w:val="4F572EE3"/>
    <w:rsid w:val="4F5B3A8B"/>
    <w:rsid w:val="4F670605"/>
    <w:rsid w:val="4F9566D2"/>
    <w:rsid w:val="4F973AD3"/>
    <w:rsid w:val="4FB43DA6"/>
    <w:rsid w:val="4FF52B70"/>
    <w:rsid w:val="4FFD18DE"/>
    <w:rsid w:val="50124820"/>
    <w:rsid w:val="50377F99"/>
    <w:rsid w:val="503C118D"/>
    <w:rsid w:val="504F0E2F"/>
    <w:rsid w:val="50832544"/>
    <w:rsid w:val="50915F18"/>
    <w:rsid w:val="50C05DC6"/>
    <w:rsid w:val="50C730CB"/>
    <w:rsid w:val="50CF66DA"/>
    <w:rsid w:val="50F046DC"/>
    <w:rsid w:val="510F58F6"/>
    <w:rsid w:val="51297100"/>
    <w:rsid w:val="51373855"/>
    <w:rsid w:val="51386C30"/>
    <w:rsid w:val="514F29F6"/>
    <w:rsid w:val="516501DF"/>
    <w:rsid w:val="51785023"/>
    <w:rsid w:val="51820B09"/>
    <w:rsid w:val="519600D3"/>
    <w:rsid w:val="519C4AA7"/>
    <w:rsid w:val="51A31016"/>
    <w:rsid w:val="51A40B3F"/>
    <w:rsid w:val="51B17A72"/>
    <w:rsid w:val="51CF3C34"/>
    <w:rsid w:val="51E63E34"/>
    <w:rsid w:val="51EE0B2B"/>
    <w:rsid w:val="522A2099"/>
    <w:rsid w:val="523746D6"/>
    <w:rsid w:val="52557354"/>
    <w:rsid w:val="525E31B1"/>
    <w:rsid w:val="5260443C"/>
    <w:rsid w:val="526D37FE"/>
    <w:rsid w:val="5285323E"/>
    <w:rsid w:val="52860D64"/>
    <w:rsid w:val="52C33757"/>
    <w:rsid w:val="52C77E95"/>
    <w:rsid w:val="52CE49A5"/>
    <w:rsid w:val="52D7592E"/>
    <w:rsid w:val="53332C9A"/>
    <w:rsid w:val="53827274"/>
    <w:rsid w:val="538C7EE0"/>
    <w:rsid w:val="53A570E1"/>
    <w:rsid w:val="53BB47DC"/>
    <w:rsid w:val="53D95BE5"/>
    <w:rsid w:val="53DC0C79"/>
    <w:rsid w:val="540D467D"/>
    <w:rsid w:val="54306EB7"/>
    <w:rsid w:val="543B7BBB"/>
    <w:rsid w:val="543C17C6"/>
    <w:rsid w:val="5465036E"/>
    <w:rsid w:val="548117E3"/>
    <w:rsid w:val="54B41FE0"/>
    <w:rsid w:val="54BF2C78"/>
    <w:rsid w:val="55011FFD"/>
    <w:rsid w:val="550441F6"/>
    <w:rsid w:val="55257EDD"/>
    <w:rsid w:val="553D386E"/>
    <w:rsid w:val="553E05BF"/>
    <w:rsid w:val="55410FC9"/>
    <w:rsid w:val="557B0928"/>
    <w:rsid w:val="557C0104"/>
    <w:rsid w:val="558772CD"/>
    <w:rsid w:val="559B2D78"/>
    <w:rsid w:val="55B50BBE"/>
    <w:rsid w:val="55BA41AA"/>
    <w:rsid w:val="55E72C86"/>
    <w:rsid w:val="55FA2EC2"/>
    <w:rsid w:val="56130892"/>
    <w:rsid w:val="56390656"/>
    <w:rsid w:val="56461091"/>
    <w:rsid w:val="56462E91"/>
    <w:rsid w:val="56521A7D"/>
    <w:rsid w:val="565F3234"/>
    <w:rsid w:val="568472B7"/>
    <w:rsid w:val="569C686E"/>
    <w:rsid w:val="56AD12F0"/>
    <w:rsid w:val="56AD18C7"/>
    <w:rsid w:val="56BA722E"/>
    <w:rsid w:val="56C269BC"/>
    <w:rsid w:val="56DB5BA8"/>
    <w:rsid w:val="56DE0DE2"/>
    <w:rsid w:val="56E83625"/>
    <w:rsid w:val="571E5DE5"/>
    <w:rsid w:val="57415259"/>
    <w:rsid w:val="575E147E"/>
    <w:rsid w:val="57651DFD"/>
    <w:rsid w:val="57740EE7"/>
    <w:rsid w:val="57872A19"/>
    <w:rsid w:val="578F1903"/>
    <w:rsid w:val="57AA72AE"/>
    <w:rsid w:val="57BA0CD5"/>
    <w:rsid w:val="57F573F0"/>
    <w:rsid w:val="581909FD"/>
    <w:rsid w:val="582545E2"/>
    <w:rsid w:val="582A7869"/>
    <w:rsid w:val="58391378"/>
    <w:rsid w:val="586F5155"/>
    <w:rsid w:val="588824F2"/>
    <w:rsid w:val="58AE2EE6"/>
    <w:rsid w:val="58BA082E"/>
    <w:rsid w:val="58C53034"/>
    <w:rsid w:val="58DC25D6"/>
    <w:rsid w:val="58F65147"/>
    <w:rsid w:val="590867C9"/>
    <w:rsid w:val="592325A5"/>
    <w:rsid w:val="592D1F39"/>
    <w:rsid w:val="592D2295"/>
    <w:rsid w:val="593A6404"/>
    <w:rsid w:val="5949656F"/>
    <w:rsid w:val="594C398A"/>
    <w:rsid w:val="5979643F"/>
    <w:rsid w:val="598D211C"/>
    <w:rsid w:val="599A1C38"/>
    <w:rsid w:val="59B85CA7"/>
    <w:rsid w:val="59B9656B"/>
    <w:rsid w:val="59BF0419"/>
    <w:rsid w:val="59C02DAD"/>
    <w:rsid w:val="5A01477E"/>
    <w:rsid w:val="5A0B6D6B"/>
    <w:rsid w:val="5A173654"/>
    <w:rsid w:val="5A223DF4"/>
    <w:rsid w:val="5A330FFA"/>
    <w:rsid w:val="5A4B1D66"/>
    <w:rsid w:val="5A8245AD"/>
    <w:rsid w:val="5A881920"/>
    <w:rsid w:val="5A8B66DD"/>
    <w:rsid w:val="5A9B0D42"/>
    <w:rsid w:val="5ADC486C"/>
    <w:rsid w:val="5AE20B01"/>
    <w:rsid w:val="5B022E3E"/>
    <w:rsid w:val="5B0E5ADF"/>
    <w:rsid w:val="5B133746"/>
    <w:rsid w:val="5B425ADC"/>
    <w:rsid w:val="5B435A44"/>
    <w:rsid w:val="5B6360E6"/>
    <w:rsid w:val="5B7B4D23"/>
    <w:rsid w:val="5B933F30"/>
    <w:rsid w:val="5BAE4251"/>
    <w:rsid w:val="5BB051FB"/>
    <w:rsid w:val="5BB906B9"/>
    <w:rsid w:val="5BBC278F"/>
    <w:rsid w:val="5BD603BA"/>
    <w:rsid w:val="5BE06A9A"/>
    <w:rsid w:val="5BF964D4"/>
    <w:rsid w:val="5BFF63D0"/>
    <w:rsid w:val="5C314317"/>
    <w:rsid w:val="5C516E39"/>
    <w:rsid w:val="5C5E2D69"/>
    <w:rsid w:val="5C5E2E5F"/>
    <w:rsid w:val="5C753F23"/>
    <w:rsid w:val="5CDA1EB7"/>
    <w:rsid w:val="5CDC2C2A"/>
    <w:rsid w:val="5CEC3F43"/>
    <w:rsid w:val="5CED3EB9"/>
    <w:rsid w:val="5D1A0E0B"/>
    <w:rsid w:val="5D320AFB"/>
    <w:rsid w:val="5D333152"/>
    <w:rsid w:val="5D456333"/>
    <w:rsid w:val="5D7275C2"/>
    <w:rsid w:val="5D77760B"/>
    <w:rsid w:val="5D841316"/>
    <w:rsid w:val="5DAE3482"/>
    <w:rsid w:val="5DB500B6"/>
    <w:rsid w:val="5DB76D85"/>
    <w:rsid w:val="5DBE38CA"/>
    <w:rsid w:val="5DBE462E"/>
    <w:rsid w:val="5DEE3138"/>
    <w:rsid w:val="5DF5313F"/>
    <w:rsid w:val="5E087773"/>
    <w:rsid w:val="5E09362D"/>
    <w:rsid w:val="5E1D07F6"/>
    <w:rsid w:val="5E2036FF"/>
    <w:rsid w:val="5E260E7B"/>
    <w:rsid w:val="5E274FD2"/>
    <w:rsid w:val="5E276D5F"/>
    <w:rsid w:val="5E2E6FF9"/>
    <w:rsid w:val="5E7423B8"/>
    <w:rsid w:val="5E877EAB"/>
    <w:rsid w:val="5E8A398A"/>
    <w:rsid w:val="5E8B5FB4"/>
    <w:rsid w:val="5E984A79"/>
    <w:rsid w:val="5EE10536"/>
    <w:rsid w:val="5EFD0600"/>
    <w:rsid w:val="5F095CCC"/>
    <w:rsid w:val="5F234FE2"/>
    <w:rsid w:val="5F32339B"/>
    <w:rsid w:val="5F484224"/>
    <w:rsid w:val="5F553239"/>
    <w:rsid w:val="5F5D69A1"/>
    <w:rsid w:val="5F653B33"/>
    <w:rsid w:val="5F894D63"/>
    <w:rsid w:val="5F8D0C67"/>
    <w:rsid w:val="5F8E7D42"/>
    <w:rsid w:val="5FA56CCD"/>
    <w:rsid w:val="5FAC218B"/>
    <w:rsid w:val="5FC273A2"/>
    <w:rsid w:val="5FCA427F"/>
    <w:rsid w:val="5FE539F3"/>
    <w:rsid w:val="60235BA1"/>
    <w:rsid w:val="604347C5"/>
    <w:rsid w:val="604741BB"/>
    <w:rsid w:val="604C595B"/>
    <w:rsid w:val="60871561"/>
    <w:rsid w:val="60971A6F"/>
    <w:rsid w:val="60985CFE"/>
    <w:rsid w:val="609D546C"/>
    <w:rsid w:val="60AC2569"/>
    <w:rsid w:val="60AE1BB1"/>
    <w:rsid w:val="60E30E8D"/>
    <w:rsid w:val="60F15F42"/>
    <w:rsid w:val="611344C8"/>
    <w:rsid w:val="6125603B"/>
    <w:rsid w:val="61342B7E"/>
    <w:rsid w:val="61457420"/>
    <w:rsid w:val="61501BD5"/>
    <w:rsid w:val="617861AD"/>
    <w:rsid w:val="619C7D6C"/>
    <w:rsid w:val="61A26D1C"/>
    <w:rsid w:val="61AB4F33"/>
    <w:rsid w:val="61B172DB"/>
    <w:rsid w:val="61BB07D2"/>
    <w:rsid w:val="61CC4DAD"/>
    <w:rsid w:val="61CD2DCE"/>
    <w:rsid w:val="61E37A47"/>
    <w:rsid w:val="61EF7E3C"/>
    <w:rsid w:val="61F33160"/>
    <w:rsid w:val="62326E2E"/>
    <w:rsid w:val="625633F9"/>
    <w:rsid w:val="62A721FB"/>
    <w:rsid w:val="62B067F8"/>
    <w:rsid w:val="62B96C1F"/>
    <w:rsid w:val="62DF56A2"/>
    <w:rsid w:val="62E70089"/>
    <w:rsid w:val="630D00A0"/>
    <w:rsid w:val="632F5984"/>
    <w:rsid w:val="634E2DC2"/>
    <w:rsid w:val="6354658B"/>
    <w:rsid w:val="6375015C"/>
    <w:rsid w:val="637C5F97"/>
    <w:rsid w:val="63884964"/>
    <w:rsid w:val="63904B05"/>
    <w:rsid w:val="63996D1C"/>
    <w:rsid w:val="639D56F8"/>
    <w:rsid w:val="63A91F2E"/>
    <w:rsid w:val="63AD7D56"/>
    <w:rsid w:val="63B47680"/>
    <w:rsid w:val="63D20A26"/>
    <w:rsid w:val="63F81A2E"/>
    <w:rsid w:val="64063000"/>
    <w:rsid w:val="640F6E0B"/>
    <w:rsid w:val="642108EC"/>
    <w:rsid w:val="64484432"/>
    <w:rsid w:val="646B0A3D"/>
    <w:rsid w:val="64907383"/>
    <w:rsid w:val="64921429"/>
    <w:rsid w:val="6492370D"/>
    <w:rsid w:val="64935B71"/>
    <w:rsid w:val="64A675FC"/>
    <w:rsid w:val="64BD0AB9"/>
    <w:rsid w:val="650F38E1"/>
    <w:rsid w:val="652F7A51"/>
    <w:rsid w:val="65382BB7"/>
    <w:rsid w:val="653B13FA"/>
    <w:rsid w:val="653D4C28"/>
    <w:rsid w:val="655E2D90"/>
    <w:rsid w:val="65653D20"/>
    <w:rsid w:val="65A23806"/>
    <w:rsid w:val="65AE3EFC"/>
    <w:rsid w:val="65C53E70"/>
    <w:rsid w:val="65D418BF"/>
    <w:rsid w:val="65D51740"/>
    <w:rsid w:val="65F1399D"/>
    <w:rsid w:val="662755E4"/>
    <w:rsid w:val="664F5827"/>
    <w:rsid w:val="66654811"/>
    <w:rsid w:val="66697DE5"/>
    <w:rsid w:val="66713B02"/>
    <w:rsid w:val="667A75CD"/>
    <w:rsid w:val="669B6BBC"/>
    <w:rsid w:val="669C3172"/>
    <w:rsid w:val="66BC6FAD"/>
    <w:rsid w:val="66CE0689"/>
    <w:rsid w:val="670066BB"/>
    <w:rsid w:val="67080662"/>
    <w:rsid w:val="670E759D"/>
    <w:rsid w:val="671A65E1"/>
    <w:rsid w:val="67484B3A"/>
    <w:rsid w:val="675E6555"/>
    <w:rsid w:val="67896ED4"/>
    <w:rsid w:val="67941ABB"/>
    <w:rsid w:val="67945075"/>
    <w:rsid w:val="679A5722"/>
    <w:rsid w:val="67D70B47"/>
    <w:rsid w:val="68124DC8"/>
    <w:rsid w:val="682B6087"/>
    <w:rsid w:val="68533FF7"/>
    <w:rsid w:val="68541AAB"/>
    <w:rsid w:val="685622DD"/>
    <w:rsid w:val="685C458F"/>
    <w:rsid w:val="68851243"/>
    <w:rsid w:val="688558EE"/>
    <w:rsid w:val="68891AB8"/>
    <w:rsid w:val="6889361B"/>
    <w:rsid w:val="68C30CB6"/>
    <w:rsid w:val="68DB6BDF"/>
    <w:rsid w:val="692000B2"/>
    <w:rsid w:val="694469D5"/>
    <w:rsid w:val="69514B93"/>
    <w:rsid w:val="695678D2"/>
    <w:rsid w:val="696B4E05"/>
    <w:rsid w:val="697F233D"/>
    <w:rsid w:val="69812B15"/>
    <w:rsid w:val="699B55D4"/>
    <w:rsid w:val="69AE3358"/>
    <w:rsid w:val="69B71F34"/>
    <w:rsid w:val="69BD7906"/>
    <w:rsid w:val="69D70E76"/>
    <w:rsid w:val="69DE0CC6"/>
    <w:rsid w:val="69EE3816"/>
    <w:rsid w:val="6A0A2DFE"/>
    <w:rsid w:val="6A374846"/>
    <w:rsid w:val="6A415844"/>
    <w:rsid w:val="6A5B233A"/>
    <w:rsid w:val="6A7E6760"/>
    <w:rsid w:val="6A8306AE"/>
    <w:rsid w:val="6A8E2FEA"/>
    <w:rsid w:val="6A9040D6"/>
    <w:rsid w:val="6ABF550B"/>
    <w:rsid w:val="6ADA35A3"/>
    <w:rsid w:val="6AE508C6"/>
    <w:rsid w:val="6B024F0D"/>
    <w:rsid w:val="6B287BC9"/>
    <w:rsid w:val="6B297156"/>
    <w:rsid w:val="6B3E672A"/>
    <w:rsid w:val="6B537C95"/>
    <w:rsid w:val="6B576A7E"/>
    <w:rsid w:val="6B597F25"/>
    <w:rsid w:val="6B66002C"/>
    <w:rsid w:val="6BA61D79"/>
    <w:rsid w:val="6BA73DCD"/>
    <w:rsid w:val="6BB446A1"/>
    <w:rsid w:val="6BD11BF5"/>
    <w:rsid w:val="6BDA51B9"/>
    <w:rsid w:val="6BDC6CF6"/>
    <w:rsid w:val="6BF65FB4"/>
    <w:rsid w:val="6BF802A2"/>
    <w:rsid w:val="6C3954D9"/>
    <w:rsid w:val="6C5C1B1C"/>
    <w:rsid w:val="6C632BFC"/>
    <w:rsid w:val="6C647053"/>
    <w:rsid w:val="6C6C3627"/>
    <w:rsid w:val="6C77346E"/>
    <w:rsid w:val="6C937EAD"/>
    <w:rsid w:val="6C9500C9"/>
    <w:rsid w:val="6CA706F7"/>
    <w:rsid w:val="6CAB3FA3"/>
    <w:rsid w:val="6CB5251A"/>
    <w:rsid w:val="6CD77A61"/>
    <w:rsid w:val="6CEB509E"/>
    <w:rsid w:val="6D00560E"/>
    <w:rsid w:val="6D807ED4"/>
    <w:rsid w:val="6D956994"/>
    <w:rsid w:val="6D9A4E8D"/>
    <w:rsid w:val="6D9E46CF"/>
    <w:rsid w:val="6DB64749"/>
    <w:rsid w:val="6DC267E8"/>
    <w:rsid w:val="6E1C2010"/>
    <w:rsid w:val="6E582956"/>
    <w:rsid w:val="6E680A8F"/>
    <w:rsid w:val="6EAC790D"/>
    <w:rsid w:val="6EC556D9"/>
    <w:rsid w:val="6EFD2E02"/>
    <w:rsid w:val="6F091F24"/>
    <w:rsid w:val="6F3627F8"/>
    <w:rsid w:val="6F4A5AED"/>
    <w:rsid w:val="6F4D00EB"/>
    <w:rsid w:val="6F575D6F"/>
    <w:rsid w:val="6FB05051"/>
    <w:rsid w:val="70027173"/>
    <w:rsid w:val="70041049"/>
    <w:rsid w:val="70535BBE"/>
    <w:rsid w:val="70634F4B"/>
    <w:rsid w:val="707859BB"/>
    <w:rsid w:val="70975F1F"/>
    <w:rsid w:val="70DC70ED"/>
    <w:rsid w:val="71020599"/>
    <w:rsid w:val="71070860"/>
    <w:rsid w:val="710758DB"/>
    <w:rsid w:val="711C4A95"/>
    <w:rsid w:val="712800E9"/>
    <w:rsid w:val="713A0309"/>
    <w:rsid w:val="714B70D8"/>
    <w:rsid w:val="7182514B"/>
    <w:rsid w:val="71832856"/>
    <w:rsid w:val="71A62431"/>
    <w:rsid w:val="71FC0C03"/>
    <w:rsid w:val="72042FD2"/>
    <w:rsid w:val="72054972"/>
    <w:rsid w:val="721C4BF7"/>
    <w:rsid w:val="72461B51"/>
    <w:rsid w:val="724B5B0C"/>
    <w:rsid w:val="724C3063"/>
    <w:rsid w:val="726F7465"/>
    <w:rsid w:val="72895C3B"/>
    <w:rsid w:val="72BD26F6"/>
    <w:rsid w:val="72E15E16"/>
    <w:rsid w:val="730460DE"/>
    <w:rsid w:val="73150D2A"/>
    <w:rsid w:val="73237E43"/>
    <w:rsid w:val="73254C64"/>
    <w:rsid w:val="732B44C4"/>
    <w:rsid w:val="73355399"/>
    <w:rsid w:val="735C61A7"/>
    <w:rsid w:val="736B5183"/>
    <w:rsid w:val="73C36F86"/>
    <w:rsid w:val="73E739B1"/>
    <w:rsid w:val="73FE23A5"/>
    <w:rsid w:val="7415515C"/>
    <w:rsid w:val="742F7636"/>
    <w:rsid w:val="74534AF2"/>
    <w:rsid w:val="745A7B7C"/>
    <w:rsid w:val="749D2B46"/>
    <w:rsid w:val="749D3FBF"/>
    <w:rsid w:val="74A67994"/>
    <w:rsid w:val="74AC0978"/>
    <w:rsid w:val="74B61671"/>
    <w:rsid w:val="74E808F8"/>
    <w:rsid w:val="74FD211F"/>
    <w:rsid w:val="7502038D"/>
    <w:rsid w:val="750741CD"/>
    <w:rsid w:val="75455095"/>
    <w:rsid w:val="75514C17"/>
    <w:rsid w:val="75673C87"/>
    <w:rsid w:val="75920C3C"/>
    <w:rsid w:val="75964A7F"/>
    <w:rsid w:val="759E4220"/>
    <w:rsid w:val="75FE283B"/>
    <w:rsid w:val="763B271C"/>
    <w:rsid w:val="766D1DB7"/>
    <w:rsid w:val="767953E1"/>
    <w:rsid w:val="76866785"/>
    <w:rsid w:val="769172C6"/>
    <w:rsid w:val="76D57A40"/>
    <w:rsid w:val="7702743F"/>
    <w:rsid w:val="77257492"/>
    <w:rsid w:val="772D0A3C"/>
    <w:rsid w:val="77364B77"/>
    <w:rsid w:val="773A1A83"/>
    <w:rsid w:val="77426224"/>
    <w:rsid w:val="77681669"/>
    <w:rsid w:val="777E70A9"/>
    <w:rsid w:val="77AE1BB4"/>
    <w:rsid w:val="77B238DE"/>
    <w:rsid w:val="77B5631F"/>
    <w:rsid w:val="77CB0C78"/>
    <w:rsid w:val="77CD0F12"/>
    <w:rsid w:val="77D67991"/>
    <w:rsid w:val="77F245DF"/>
    <w:rsid w:val="780B7492"/>
    <w:rsid w:val="781C5928"/>
    <w:rsid w:val="781E596E"/>
    <w:rsid w:val="78291400"/>
    <w:rsid w:val="78385EEF"/>
    <w:rsid w:val="7852139B"/>
    <w:rsid w:val="78620B84"/>
    <w:rsid w:val="786F4A88"/>
    <w:rsid w:val="7885235C"/>
    <w:rsid w:val="789010ED"/>
    <w:rsid w:val="78965DF5"/>
    <w:rsid w:val="78A34FA7"/>
    <w:rsid w:val="78A91184"/>
    <w:rsid w:val="78B30192"/>
    <w:rsid w:val="78B63551"/>
    <w:rsid w:val="78C051FF"/>
    <w:rsid w:val="78D16060"/>
    <w:rsid w:val="78DD0AC4"/>
    <w:rsid w:val="793E487F"/>
    <w:rsid w:val="79C773E8"/>
    <w:rsid w:val="79D56C29"/>
    <w:rsid w:val="79E36621"/>
    <w:rsid w:val="7A1438A1"/>
    <w:rsid w:val="7A5157D8"/>
    <w:rsid w:val="7AAD120B"/>
    <w:rsid w:val="7AD034E3"/>
    <w:rsid w:val="7AEE6110"/>
    <w:rsid w:val="7B050CD0"/>
    <w:rsid w:val="7B0E7053"/>
    <w:rsid w:val="7B116BFF"/>
    <w:rsid w:val="7B481781"/>
    <w:rsid w:val="7B4B739F"/>
    <w:rsid w:val="7B76053F"/>
    <w:rsid w:val="7B972BEF"/>
    <w:rsid w:val="7BAC630A"/>
    <w:rsid w:val="7BB06386"/>
    <w:rsid w:val="7BBB07D8"/>
    <w:rsid w:val="7BD06BC4"/>
    <w:rsid w:val="7BD2491D"/>
    <w:rsid w:val="7BE34E7D"/>
    <w:rsid w:val="7C02601D"/>
    <w:rsid w:val="7C5533D1"/>
    <w:rsid w:val="7C5C40A5"/>
    <w:rsid w:val="7C6D4A19"/>
    <w:rsid w:val="7C84240C"/>
    <w:rsid w:val="7CAB1108"/>
    <w:rsid w:val="7CBD0D7E"/>
    <w:rsid w:val="7CD405D2"/>
    <w:rsid w:val="7CE06477"/>
    <w:rsid w:val="7D1375EB"/>
    <w:rsid w:val="7D334D67"/>
    <w:rsid w:val="7D3F12F9"/>
    <w:rsid w:val="7D46365D"/>
    <w:rsid w:val="7D4E776B"/>
    <w:rsid w:val="7D565D3F"/>
    <w:rsid w:val="7D8629CA"/>
    <w:rsid w:val="7D9F3914"/>
    <w:rsid w:val="7DC81D4A"/>
    <w:rsid w:val="7E382D3B"/>
    <w:rsid w:val="7E4E648E"/>
    <w:rsid w:val="7E505BCC"/>
    <w:rsid w:val="7E54717D"/>
    <w:rsid w:val="7E7044F2"/>
    <w:rsid w:val="7E752C7B"/>
    <w:rsid w:val="7E8A6F8A"/>
    <w:rsid w:val="7E8C73FE"/>
    <w:rsid w:val="7EA00581"/>
    <w:rsid w:val="7EB05F55"/>
    <w:rsid w:val="7EB90C02"/>
    <w:rsid w:val="7EBA2605"/>
    <w:rsid w:val="7EBA574F"/>
    <w:rsid w:val="7EBB478F"/>
    <w:rsid w:val="7EF17163"/>
    <w:rsid w:val="7EF77933"/>
    <w:rsid w:val="7F1F7BB4"/>
    <w:rsid w:val="7F220A28"/>
    <w:rsid w:val="7F264628"/>
    <w:rsid w:val="7F40694A"/>
    <w:rsid w:val="7F4F5EB6"/>
    <w:rsid w:val="7F803318"/>
    <w:rsid w:val="7FB9516D"/>
    <w:rsid w:val="7FD13BF6"/>
    <w:rsid w:val="FDB73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iPriority="0" w:name="Note Heading"/>
    <w:lsdException w:qFormat="1" w:uiPriority="99" w:semiHidden="0" w:name="Body Text 2"/>
    <w:lsdException w:uiPriority="0" w:name="Body Text 3"/>
    <w:lsdException w:qFormat="1" w:unhideWhenUsed="0" w:uiPriority="0" w:semiHidden="0" w:name="Body Text Indent 2"/>
    <w:lsdException w:uiPriority="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autoRedefine/>
    <w:qFormat/>
    <w:uiPriority w:val="0"/>
    <w:pPr>
      <w:keepNext/>
      <w:keepLines/>
      <w:spacing w:before="120" w:after="120"/>
      <w:jc w:val="center"/>
      <w:outlineLvl w:val="0"/>
    </w:pPr>
    <w:rPr>
      <w:b/>
      <w:spacing w:val="20"/>
      <w:kern w:val="44"/>
      <w:sz w:val="32"/>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b/>
      <w:sz w:val="32"/>
    </w:rPr>
  </w:style>
  <w:style w:type="paragraph" w:styleId="5">
    <w:name w:val="heading 3"/>
    <w:basedOn w:val="1"/>
    <w:next w:val="1"/>
    <w:autoRedefine/>
    <w:qFormat/>
    <w:uiPriority w:val="0"/>
    <w:pPr>
      <w:keepNext/>
      <w:keepLines/>
      <w:spacing w:before="260" w:after="260" w:line="415" w:lineRule="auto"/>
      <w:outlineLvl w:val="2"/>
    </w:pPr>
    <w:rPr>
      <w:rFonts w:eastAsia="黑体"/>
      <w:b/>
      <w:sz w:val="32"/>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spacing w:line="480" w:lineRule="exact"/>
      <w:ind w:left="100" w:right="111" w:firstLine="556" w:firstLineChars="0"/>
    </w:pPr>
    <w:rPr>
      <w:sz w:val="28"/>
      <w:szCs w:val="20"/>
    </w:rPr>
  </w:style>
  <w:style w:type="paragraph" w:styleId="6">
    <w:name w:val="Normal Indent"/>
    <w:basedOn w:val="1"/>
    <w:autoRedefine/>
    <w:qFormat/>
    <w:uiPriority w:val="0"/>
    <w:pPr>
      <w:ind w:firstLine="420" w:firstLineChars="200"/>
    </w:pPr>
    <w:rPr>
      <w:kern w:val="0"/>
      <w:sz w:val="20"/>
    </w:rPr>
  </w:style>
  <w:style w:type="paragraph" w:styleId="7">
    <w:name w:val="annotation text"/>
    <w:basedOn w:val="1"/>
    <w:link w:val="74"/>
    <w:autoRedefine/>
    <w:qFormat/>
    <w:uiPriority w:val="0"/>
    <w:pPr>
      <w:jc w:val="left"/>
    </w:pPr>
  </w:style>
  <w:style w:type="paragraph" w:styleId="8">
    <w:name w:val="Body Text"/>
    <w:basedOn w:val="1"/>
    <w:next w:val="9"/>
    <w:link w:val="47"/>
    <w:autoRedefine/>
    <w:qFormat/>
    <w:uiPriority w:val="0"/>
    <w:pPr>
      <w:spacing w:after="120"/>
    </w:pPr>
    <w:rPr>
      <w:szCs w:val="24"/>
    </w:rPr>
  </w:style>
  <w:style w:type="paragraph" w:customStyle="1" w:styleId="9">
    <w:name w:val="Default"/>
    <w:next w:val="10"/>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
    <w:name w:val="大标题"/>
    <w:basedOn w:val="1"/>
    <w:next w:val="11"/>
    <w:autoRedefine/>
    <w:qFormat/>
    <w:uiPriority w:val="0"/>
    <w:pPr>
      <w:pageBreakBefore/>
      <w:spacing w:after="200" w:line="720" w:lineRule="auto"/>
      <w:jc w:val="center"/>
      <w:outlineLvl w:val="0"/>
    </w:pPr>
    <w:rPr>
      <w:rFonts w:ascii="黑体" w:hAnsi="Calibri" w:eastAsia="黑体"/>
      <w:sz w:val="32"/>
      <w:szCs w:val="30"/>
      <w:lang w:eastAsia="en-US" w:bidi="en-US"/>
    </w:rPr>
  </w:style>
  <w:style w:type="paragraph" w:styleId="11">
    <w:name w:val="Body Text First Indent 2"/>
    <w:basedOn w:val="12"/>
    <w:next w:val="1"/>
    <w:autoRedefine/>
    <w:qFormat/>
    <w:uiPriority w:val="0"/>
    <w:pPr>
      <w:spacing w:after="120"/>
      <w:ind w:left="420" w:leftChars="200" w:firstLine="420" w:firstLineChars="200"/>
    </w:pPr>
    <w:rPr>
      <w:rFonts w:ascii="Calibri" w:eastAsia="宋体"/>
      <w:sz w:val="21"/>
      <w:szCs w:val="24"/>
    </w:rPr>
  </w:style>
  <w:style w:type="paragraph" w:styleId="12">
    <w:name w:val="Body Text Indent"/>
    <w:basedOn w:val="1"/>
    <w:next w:val="13"/>
    <w:autoRedefine/>
    <w:qFormat/>
    <w:uiPriority w:val="0"/>
    <w:pPr>
      <w:ind w:firstLine="720" w:firstLineChars="225"/>
    </w:pPr>
    <w:rPr>
      <w:rFonts w:ascii="仿宋_GB2312" w:eastAsia="仿宋_GB2312"/>
      <w:sz w:val="32"/>
    </w:rPr>
  </w:style>
  <w:style w:type="paragraph" w:styleId="13">
    <w:name w:val="envelope return"/>
    <w:basedOn w:val="1"/>
    <w:autoRedefine/>
    <w:unhideWhenUsed/>
    <w:qFormat/>
    <w:uiPriority w:val="99"/>
    <w:pPr>
      <w:snapToGrid w:val="0"/>
    </w:pPr>
    <w:rPr>
      <w:rFonts w:ascii="Arial" w:hAnsi="Arial"/>
    </w:rPr>
  </w:style>
  <w:style w:type="paragraph" w:styleId="14">
    <w:name w:val="List 2"/>
    <w:basedOn w:val="1"/>
    <w:autoRedefine/>
    <w:qFormat/>
    <w:uiPriority w:val="0"/>
    <w:pPr>
      <w:ind w:left="100" w:leftChars="200" w:hanging="200" w:hangingChars="200"/>
    </w:pPr>
  </w:style>
  <w:style w:type="paragraph" w:styleId="15">
    <w:name w:val="toc 3"/>
    <w:basedOn w:val="1"/>
    <w:next w:val="1"/>
    <w:autoRedefine/>
    <w:qFormat/>
    <w:uiPriority w:val="0"/>
    <w:pPr>
      <w:ind w:left="840" w:leftChars="400"/>
    </w:pPr>
  </w:style>
  <w:style w:type="paragraph" w:styleId="16">
    <w:name w:val="Plain Text"/>
    <w:basedOn w:val="1"/>
    <w:autoRedefine/>
    <w:qFormat/>
    <w:uiPriority w:val="0"/>
    <w:rPr>
      <w:rFonts w:ascii="宋体" w:hAnsi="Courier New"/>
    </w:rPr>
  </w:style>
  <w:style w:type="paragraph" w:styleId="17">
    <w:name w:val="Body Text Indent 2"/>
    <w:basedOn w:val="1"/>
    <w:autoRedefine/>
    <w:qFormat/>
    <w:uiPriority w:val="0"/>
    <w:pPr>
      <w:spacing w:line="540" w:lineRule="exact"/>
      <w:ind w:firstLine="720" w:firstLineChars="225"/>
      <w:jc w:val="left"/>
    </w:pPr>
    <w:rPr>
      <w:rFonts w:ascii="仿宋_GB2312" w:eastAsia="仿宋_GB2312"/>
      <w:sz w:val="32"/>
    </w:rPr>
  </w:style>
  <w:style w:type="paragraph" w:styleId="18">
    <w:name w:val="Balloon Text"/>
    <w:basedOn w:val="1"/>
    <w:link w:val="73"/>
    <w:autoRedefine/>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autoRedefine/>
    <w:qFormat/>
    <w:uiPriority w:val="0"/>
  </w:style>
  <w:style w:type="paragraph" w:styleId="22">
    <w:name w:val="List"/>
    <w:basedOn w:val="1"/>
    <w:autoRedefine/>
    <w:qFormat/>
    <w:uiPriority w:val="0"/>
    <w:pPr>
      <w:ind w:left="200" w:hanging="200" w:hangingChars="200"/>
    </w:pPr>
  </w:style>
  <w:style w:type="paragraph" w:styleId="23">
    <w:name w:val="footnote text"/>
    <w:basedOn w:val="1"/>
    <w:autoRedefine/>
    <w:qFormat/>
    <w:uiPriority w:val="0"/>
    <w:pPr>
      <w:snapToGrid w:val="0"/>
      <w:jc w:val="left"/>
    </w:pPr>
    <w:rPr>
      <w:rFonts w:asciiTheme="minorHAnsi" w:hAnsiTheme="minorHAnsi" w:eastAsiaTheme="minorEastAsia" w:cstheme="minorBidi"/>
      <w:sz w:val="18"/>
      <w:szCs w:val="18"/>
    </w:rPr>
  </w:style>
  <w:style w:type="paragraph" w:styleId="24">
    <w:name w:val="toc 2"/>
    <w:basedOn w:val="1"/>
    <w:next w:val="1"/>
    <w:autoRedefine/>
    <w:qFormat/>
    <w:uiPriority w:val="0"/>
    <w:pPr>
      <w:ind w:left="420" w:leftChars="200"/>
    </w:pPr>
  </w:style>
  <w:style w:type="paragraph" w:styleId="25">
    <w:name w:val="Body Text 2"/>
    <w:basedOn w:val="1"/>
    <w:autoRedefine/>
    <w:unhideWhenUsed/>
    <w:qFormat/>
    <w:uiPriority w:val="99"/>
    <w:pPr>
      <w:spacing w:after="120" w:line="480" w:lineRule="auto"/>
    </w:pPr>
  </w:style>
  <w:style w:type="paragraph" w:styleId="26">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7">
    <w:name w:val="annotation subject"/>
    <w:basedOn w:val="7"/>
    <w:next w:val="7"/>
    <w:link w:val="75"/>
    <w:autoRedefine/>
    <w:qFormat/>
    <w:uiPriority w:val="0"/>
    <w:rPr>
      <w:b/>
      <w:bCs/>
    </w:rPr>
  </w:style>
  <w:style w:type="paragraph" w:styleId="28">
    <w:name w:val="Body Text First Indent"/>
    <w:basedOn w:val="8"/>
    <w:next w:val="11"/>
    <w:autoRedefine/>
    <w:unhideWhenUsed/>
    <w:qFormat/>
    <w:uiPriority w:val="99"/>
    <w:pPr>
      <w:ind w:firstLine="420"/>
    </w:pPr>
    <w:rPr>
      <w:sz w:val="32"/>
    </w:r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autoRedefine/>
    <w:qFormat/>
    <w:uiPriority w:val="0"/>
    <w:rPr>
      <w:rFonts w:ascii="Times New Roman" w:hAnsi="Times New Roman" w:eastAsia="宋体" w:cs="Times New Roman"/>
      <w:b/>
    </w:rPr>
  </w:style>
  <w:style w:type="character" w:styleId="33">
    <w:name w:val="FollowedHyperlink"/>
    <w:autoRedefine/>
    <w:qFormat/>
    <w:uiPriority w:val="0"/>
    <w:rPr>
      <w:rFonts w:ascii="Times New Roman" w:hAnsi="Times New Roman" w:eastAsia="宋体" w:cs="Times New Roman"/>
      <w:color w:val="666666"/>
      <w:u w:val="none"/>
    </w:rPr>
  </w:style>
  <w:style w:type="character" w:styleId="34">
    <w:name w:val="Emphasis"/>
    <w:autoRedefine/>
    <w:qFormat/>
    <w:uiPriority w:val="0"/>
    <w:rPr>
      <w:rFonts w:ascii="Times New Roman" w:hAnsi="Times New Roman" w:eastAsia="宋体" w:cs="Times New Roman"/>
    </w:rPr>
  </w:style>
  <w:style w:type="character" w:styleId="35">
    <w:name w:val="HTML Definition"/>
    <w:autoRedefine/>
    <w:qFormat/>
    <w:uiPriority w:val="0"/>
    <w:rPr>
      <w:rFonts w:ascii="Times New Roman" w:hAnsi="Times New Roman" w:eastAsia="宋体" w:cs="Times New Roman"/>
    </w:rPr>
  </w:style>
  <w:style w:type="character" w:styleId="36">
    <w:name w:val="HTML Typewriter"/>
    <w:autoRedefine/>
    <w:qFormat/>
    <w:uiPriority w:val="0"/>
    <w:rPr>
      <w:rFonts w:hint="default" w:ascii="monospace" w:hAnsi="monospace" w:eastAsia="monospace" w:cs="monospace"/>
      <w:sz w:val="20"/>
    </w:rPr>
  </w:style>
  <w:style w:type="character" w:styleId="37">
    <w:name w:val="HTML Acronym"/>
    <w:autoRedefine/>
    <w:qFormat/>
    <w:uiPriority w:val="0"/>
    <w:rPr>
      <w:rFonts w:ascii="Times New Roman" w:hAnsi="Times New Roman" w:eastAsia="宋体" w:cs="Times New Roman"/>
    </w:rPr>
  </w:style>
  <w:style w:type="character" w:styleId="38">
    <w:name w:val="HTML Variable"/>
    <w:autoRedefine/>
    <w:qFormat/>
    <w:uiPriority w:val="0"/>
    <w:rPr>
      <w:rFonts w:ascii="Times New Roman" w:hAnsi="Times New Roman" w:eastAsia="宋体" w:cs="Times New Roman"/>
    </w:rPr>
  </w:style>
  <w:style w:type="character" w:styleId="39">
    <w:name w:val="Hyperlink"/>
    <w:autoRedefine/>
    <w:qFormat/>
    <w:uiPriority w:val="0"/>
    <w:rPr>
      <w:rFonts w:ascii="Times New Roman" w:hAnsi="Times New Roman" w:eastAsia="宋体" w:cs="Times New Roman"/>
      <w:color w:val="666666"/>
      <w:u w:val="none"/>
    </w:rPr>
  </w:style>
  <w:style w:type="character" w:styleId="40">
    <w:name w:val="HTML Code"/>
    <w:autoRedefine/>
    <w:qFormat/>
    <w:uiPriority w:val="0"/>
    <w:rPr>
      <w:rFonts w:ascii="Courier New" w:hAnsi="Courier New" w:eastAsia="宋体" w:cs="Times New Roman"/>
      <w:sz w:val="20"/>
    </w:rPr>
  </w:style>
  <w:style w:type="character" w:styleId="41">
    <w:name w:val="annotation reference"/>
    <w:autoRedefine/>
    <w:qFormat/>
    <w:uiPriority w:val="0"/>
    <w:rPr>
      <w:sz w:val="21"/>
      <w:szCs w:val="21"/>
    </w:rPr>
  </w:style>
  <w:style w:type="character" w:styleId="42">
    <w:name w:val="HTML Cite"/>
    <w:autoRedefine/>
    <w:qFormat/>
    <w:uiPriority w:val="0"/>
    <w:rPr>
      <w:rFonts w:ascii="Times New Roman" w:hAnsi="Times New Roman" w:eastAsia="宋体" w:cs="Times New Roman"/>
    </w:rPr>
  </w:style>
  <w:style w:type="character" w:styleId="43">
    <w:name w:val="HTML Keyboard"/>
    <w:autoRedefine/>
    <w:qFormat/>
    <w:uiPriority w:val="0"/>
    <w:rPr>
      <w:rFonts w:ascii="monospace" w:hAnsi="monospace" w:eastAsia="monospace" w:cs="monospace"/>
      <w:sz w:val="20"/>
    </w:rPr>
  </w:style>
  <w:style w:type="character" w:styleId="44">
    <w:name w:val="HTML Sample"/>
    <w:autoRedefine/>
    <w:qFormat/>
    <w:uiPriority w:val="0"/>
    <w:rPr>
      <w:rFonts w:hint="default" w:ascii="monospace" w:hAnsi="monospace" w:eastAsia="monospace" w:cs="monospace"/>
      <w:bdr w:val="single" w:color="D2D2D2" w:sz="6" w:space="0"/>
      <w:shd w:val="clear" w:color="auto" w:fill="FFFFFF"/>
    </w:rPr>
  </w:style>
  <w:style w:type="paragraph" w:customStyle="1" w:styleId="45">
    <w:name w:val="样式 正文首行缩进 2 + Arial"/>
    <w:basedOn w:val="1"/>
    <w:next w:val="1"/>
    <w:autoRedefine/>
    <w:qFormat/>
    <w:uiPriority w:val="0"/>
    <w:pPr>
      <w:spacing w:after="120" w:line="320" w:lineRule="atLeast"/>
    </w:pPr>
    <w:rPr>
      <w:rFonts w:ascii="Arial" w:hAnsi="Arial"/>
      <w:kern w:val="0"/>
    </w:rPr>
  </w:style>
  <w:style w:type="paragraph" w:customStyle="1" w:styleId="46">
    <w:name w:val="信息标题1"/>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hd w:val="pct20" w:color="auto" w:fill="auto"/>
    </w:rPr>
  </w:style>
  <w:style w:type="character" w:customStyle="1" w:styleId="47">
    <w:name w:val="正文文本 Char"/>
    <w:link w:val="8"/>
    <w:autoRedefine/>
    <w:qFormat/>
    <w:uiPriority w:val="0"/>
    <w:rPr>
      <w:rFonts w:ascii="Times New Roman" w:hAnsi="Times New Roman" w:eastAsia="宋体" w:cs="Times New Roman"/>
      <w:kern w:val="2"/>
      <w:sz w:val="21"/>
      <w:szCs w:val="24"/>
    </w:rPr>
  </w:style>
  <w:style w:type="character" w:customStyle="1" w:styleId="48">
    <w:name w:val="hover1"/>
    <w:autoRedefine/>
    <w:qFormat/>
    <w:uiPriority w:val="0"/>
    <w:rPr>
      <w:rFonts w:ascii="Times New Roman" w:hAnsi="Times New Roman" w:eastAsia="宋体" w:cs="Times New Roman"/>
      <w:color w:val="2590EB"/>
    </w:rPr>
  </w:style>
  <w:style w:type="character" w:customStyle="1" w:styleId="49">
    <w:name w:val="hover36"/>
    <w:autoRedefine/>
    <w:qFormat/>
    <w:uiPriority w:val="0"/>
    <w:rPr>
      <w:rFonts w:ascii="Times New Roman" w:hAnsi="Times New Roman" w:eastAsia="宋体" w:cs="Times New Roman"/>
      <w:color w:val="5FB878"/>
    </w:rPr>
  </w:style>
  <w:style w:type="character" w:customStyle="1" w:styleId="50">
    <w:name w:val="样式 楷体_GB2312 小四"/>
    <w:autoRedefine/>
    <w:qFormat/>
    <w:uiPriority w:val="0"/>
    <w:rPr>
      <w:rFonts w:ascii="楷体_GB2312" w:hAnsi="楷体_GB2312" w:eastAsia="仿宋_GB2312" w:cs="Times New Roman"/>
      <w:sz w:val="24"/>
    </w:rPr>
  </w:style>
  <w:style w:type="character" w:customStyle="1" w:styleId="51">
    <w:name w:val="hover2"/>
    <w:autoRedefine/>
    <w:qFormat/>
    <w:uiPriority w:val="0"/>
    <w:rPr>
      <w:rFonts w:ascii="Times New Roman" w:hAnsi="Times New Roman" w:eastAsia="宋体" w:cs="Times New Roman"/>
      <w:color w:val="2590EB"/>
    </w:rPr>
  </w:style>
  <w:style w:type="character" w:customStyle="1" w:styleId="52">
    <w:name w:val="mini-outputtext1"/>
    <w:autoRedefine/>
    <w:qFormat/>
    <w:uiPriority w:val="0"/>
    <w:rPr>
      <w:rFonts w:ascii="Times New Roman" w:hAnsi="Times New Roman" w:eastAsia="宋体" w:cs="Times New Roman"/>
    </w:rPr>
  </w:style>
  <w:style w:type="character" w:customStyle="1" w:styleId="53">
    <w:name w:val="hover3"/>
    <w:autoRedefine/>
    <w:qFormat/>
    <w:uiPriority w:val="0"/>
    <w:rPr>
      <w:rFonts w:ascii="Times New Roman" w:hAnsi="Times New Roman" w:eastAsia="宋体" w:cs="Times New Roman"/>
    </w:rPr>
  </w:style>
  <w:style w:type="character" w:customStyle="1" w:styleId="54">
    <w:name w:val="s5"/>
    <w:autoRedefine/>
    <w:qFormat/>
    <w:uiPriority w:val="0"/>
    <w:rPr>
      <w:rFonts w:ascii="Times New Roman" w:hAnsi="Times New Roman" w:eastAsia="宋体" w:cs="Times New Roman"/>
      <w:spacing w:val="125"/>
    </w:rPr>
  </w:style>
  <w:style w:type="character" w:customStyle="1" w:styleId="55">
    <w:name w:val="first-child"/>
    <w:autoRedefine/>
    <w:qFormat/>
    <w:uiPriority w:val="0"/>
    <w:rPr>
      <w:rFonts w:ascii="Times New Roman" w:hAnsi="Times New Roman" w:eastAsia="宋体" w:cs="Times New Roman"/>
    </w:rPr>
  </w:style>
  <w:style w:type="character" w:customStyle="1" w:styleId="56">
    <w:name w:val="hover35"/>
    <w:autoRedefine/>
    <w:qFormat/>
    <w:uiPriority w:val="0"/>
    <w:rPr>
      <w:rFonts w:ascii="Times New Roman" w:hAnsi="Times New Roman" w:eastAsia="宋体" w:cs="Times New Roman"/>
      <w:color w:val="5FB878"/>
    </w:rPr>
  </w:style>
  <w:style w:type="character" w:customStyle="1" w:styleId="57">
    <w:name w:val="正文文本 Char1"/>
    <w:autoRedefine/>
    <w:qFormat/>
    <w:uiPriority w:val="0"/>
    <w:rPr>
      <w:rFonts w:ascii="Times New Roman" w:hAnsi="Times New Roman" w:eastAsia="宋体" w:cs="Times New Roman"/>
      <w:kern w:val="2"/>
      <w:sz w:val="21"/>
    </w:rPr>
  </w:style>
  <w:style w:type="character" w:customStyle="1" w:styleId="58">
    <w:name w:val="layui-this4"/>
    <w:autoRedefine/>
    <w:qFormat/>
    <w:uiPriority w:val="0"/>
    <w:rPr>
      <w:rFonts w:ascii="Times New Roman" w:hAnsi="Times New Roman" w:eastAsia="宋体" w:cs="Times New Roman"/>
      <w:bdr w:val="single" w:color="EEEEEE" w:sz="6" w:space="0"/>
      <w:shd w:val="clear" w:color="auto" w:fill="FFFFFF"/>
    </w:rPr>
  </w:style>
  <w:style w:type="character" w:customStyle="1" w:styleId="59">
    <w:name w:val="mail-contents"/>
    <w:autoRedefine/>
    <w:qFormat/>
    <w:uiPriority w:val="0"/>
    <w:rPr>
      <w:rFonts w:ascii="Times New Roman" w:hAnsi="Times New Roman" w:eastAsia="宋体" w:cs="Times New Roman"/>
    </w:rPr>
  </w:style>
  <w:style w:type="character" w:customStyle="1" w:styleId="60">
    <w:name w:val="layui-laypage-curr"/>
    <w:autoRedefine/>
    <w:qFormat/>
    <w:uiPriority w:val="0"/>
    <w:rPr>
      <w:rFonts w:ascii="Times New Roman" w:hAnsi="Times New Roman" w:eastAsia="宋体" w:cs="Times New Roman"/>
    </w:rPr>
  </w:style>
  <w:style w:type="character" w:customStyle="1" w:styleId="61">
    <w:name w:val="hover34"/>
    <w:autoRedefine/>
    <w:qFormat/>
    <w:uiPriority w:val="0"/>
    <w:rPr>
      <w:rFonts w:ascii="Times New Roman" w:hAnsi="Times New Roman" w:eastAsia="宋体" w:cs="Times New Roman"/>
      <w:color w:val="FFFFFF"/>
    </w:rPr>
  </w:style>
  <w:style w:type="character" w:customStyle="1" w:styleId="62">
    <w:name w:val="hover"/>
    <w:autoRedefine/>
    <w:qFormat/>
    <w:uiPriority w:val="0"/>
    <w:rPr>
      <w:color w:val="2590EB"/>
    </w:rPr>
  </w:style>
  <w:style w:type="paragraph" w:customStyle="1" w:styleId="63">
    <w:name w:val="列出段落1"/>
    <w:basedOn w:val="1"/>
    <w:autoRedefine/>
    <w:qFormat/>
    <w:uiPriority w:val="0"/>
    <w:pPr>
      <w:widowControl/>
      <w:spacing w:line="300" w:lineRule="auto"/>
      <w:ind w:firstLine="200" w:firstLineChars="200"/>
    </w:pPr>
    <w:rPr>
      <w:rFonts w:ascii="Arial" w:hAnsi="Arial"/>
      <w:kern w:val="0"/>
      <w:sz w:val="18"/>
    </w:rPr>
  </w:style>
  <w:style w:type="paragraph" w:customStyle="1" w:styleId="64">
    <w:name w:val="cjk"/>
    <w:basedOn w:val="1"/>
    <w:autoRedefine/>
    <w:qFormat/>
    <w:uiPriority w:val="0"/>
    <w:pPr>
      <w:widowControl/>
      <w:spacing w:line="480" w:lineRule="auto"/>
      <w:jc w:val="left"/>
    </w:pPr>
    <w:rPr>
      <w:rFonts w:ascii="宋体" w:hAnsi="宋体" w:cs="宋体"/>
      <w:kern w:val="0"/>
      <w:sz w:val="24"/>
      <w:szCs w:val="24"/>
    </w:rPr>
  </w:style>
  <w:style w:type="paragraph" w:customStyle="1" w:styleId="65">
    <w:name w:val="无间隔1"/>
    <w:basedOn w:val="1"/>
    <w:autoRedefine/>
    <w:qFormat/>
    <w:uiPriority w:val="0"/>
    <w:pPr>
      <w:spacing w:line="400" w:lineRule="exact"/>
    </w:pPr>
    <w:rPr>
      <w:sz w:val="24"/>
    </w:rPr>
  </w:style>
  <w:style w:type="paragraph" w:customStyle="1" w:styleId="66">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67">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eastAsia="宋体"/>
      <w:b w:val="0"/>
      <w:sz w:val="28"/>
    </w:rPr>
  </w:style>
  <w:style w:type="paragraph" w:customStyle="1" w:styleId="68">
    <w:name w:val="正文无缩进"/>
    <w:basedOn w:val="66"/>
    <w:autoRedefine/>
    <w:qFormat/>
    <w:uiPriority w:val="0"/>
    <w:pPr>
      <w:ind w:firstLine="0" w:firstLineChars="0"/>
    </w:pPr>
    <w:rPr>
      <w:rFonts w:ascii="Times New Roman" w:hAnsi="Times New Roman" w:eastAsia="宋体"/>
    </w:rPr>
  </w:style>
  <w:style w:type="paragraph" w:customStyle="1" w:styleId="69">
    <w:name w:val="reader-word-layer"/>
    <w:basedOn w:val="1"/>
    <w:autoRedefine/>
    <w:qFormat/>
    <w:uiPriority w:val="0"/>
    <w:pPr>
      <w:spacing w:before="100" w:beforeAutospacing="1" w:after="100" w:afterAutospacing="1"/>
      <w:jc w:val="left"/>
    </w:pPr>
    <w:rPr>
      <w:rFonts w:ascii="宋体" w:hAnsi="宋体" w:cs="宋体"/>
      <w:sz w:val="24"/>
    </w:rPr>
  </w:style>
  <w:style w:type="paragraph" w:customStyle="1" w:styleId="70">
    <w:name w:val="BodyText1I"/>
    <w:basedOn w:val="71"/>
    <w:autoRedefine/>
    <w:qFormat/>
    <w:uiPriority w:val="99"/>
    <w:pPr>
      <w:ind w:firstLine="420" w:firstLineChars="100"/>
    </w:pPr>
  </w:style>
  <w:style w:type="paragraph" w:customStyle="1" w:styleId="71">
    <w:name w:val="BodyText"/>
    <w:basedOn w:val="1"/>
    <w:autoRedefine/>
    <w:qFormat/>
    <w:uiPriority w:val="99"/>
    <w:pPr>
      <w:spacing w:after="120"/>
    </w:pPr>
  </w:style>
  <w:style w:type="paragraph" w:customStyle="1" w:styleId="72">
    <w:name w:val="Table Paragraph"/>
    <w:basedOn w:val="1"/>
    <w:autoRedefine/>
    <w:qFormat/>
    <w:uiPriority w:val="0"/>
    <w:pPr>
      <w:jc w:val="left"/>
    </w:pPr>
    <w:rPr>
      <w:rFonts w:ascii="Calibri" w:hAnsi="Calibri" w:cs="Calibri"/>
      <w:sz w:val="22"/>
      <w:szCs w:val="22"/>
      <w:lang w:eastAsia="en-US"/>
    </w:rPr>
  </w:style>
  <w:style w:type="character" w:customStyle="1" w:styleId="73">
    <w:name w:val="批注框文本 Char"/>
    <w:link w:val="18"/>
    <w:autoRedefine/>
    <w:qFormat/>
    <w:uiPriority w:val="0"/>
    <w:rPr>
      <w:rFonts w:ascii="Times New Roman" w:hAnsi="Times New Roman" w:eastAsia="宋体" w:cs="Times New Roman"/>
      <w:kern w:val="2"/>
      <w:sz w:val="18"/>
      <w:szCs w:val="18"/>
    </w:rPr>
  </w:style>
  <w:style w:type="character" w:customStyle="1" w:styleId="74">
    <w:name w:val="批注文字 Char"/>
    <w:link w:val="7"/>
    <w:autoRedefine/>
    <w:qFormat/>
    <w:uiPriority w:val="0"/>
    <w:rPr>
      <w:kern w:val="2"/>
      <w:sz w:val="21"/>
    </w:rPr>
  </w:style>
  <w:style w:type="character" w:customStyle="1" w:styleId="75">
    <w:name w:val="批注主题 Char"/>
    <w:link w:val="27"/>
    <w:autoRedefine/>
    <w:qFormat/>
    <w:uiPriority w:val="0"/>
    <w:rPr>
      <w:b/>
      <w:bCs/>
      <w:kern w:val="2"/>
      <w:sz w:val="21"/>
    </w:rPr>
  </w:style>
  <w:style w:type="table" w:customStyle="1" w:styleId="76">
    <w:name w:val="Table Normal"/>
    <w:autoRedefine/>
    <w:semiHidden/>
    <w:unhideWhenUsed/>
    <w:qFormat/>
    <w:uiPriority w:val="0"/>
    <w:tblPr>
      <w:tblCellMar>
        <w:top w:w="0" w:type="dxa"/>
        <w:left w:w="0" w:type="dxa"/>
        <w:bottom w:w="0" w:type="dxa"/>
        <w:right w:w="0" w:type="dxa"/>
      </w:tblCellMar>
    </w:tblPr>
  </w:style>
  <w:style w:type="paragraph" w:customStyle="1" w:styleId="77">
    <w:name w:val="WPSOffice手动目录 1"/>
    <w:autoRedefine/>
    <w:qFormat/>
    <w:uiPriority w:val="0"/>
    <w:rPr>
      <w:rFonts w:ascii="Times New Roman" w:hAnsi="Times New Roman" w:eastAsia="宋体" w:cs="Times New Roman"/>
      <w:lang w:val="en-US" w:eastAsia="zh-CN" w:bidi="ar-SA"/>
    </w:rPr>
  </w:style>
  <w:style w:type="paragraph" w:customStyle="1" w:styleId="78">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79">
    <w:name w:val="Table Text"/>
    <w:basedOn w:val="1"/>
    <w:autoRedefine/>
    <w:semiHidden/>
    <w:qFormat/>
    <w:uiPriority w:val="0"/>
    <w:rPr>
      <w:rFonts w:ascii="宋体" w:hAnsi="宋体" w:cs="宋体"/>
      <w:sz w:val="22"/>
      <w:szCs w:val="22"/>
      <w:lang w:eastAsia="en-US"/>
    </w:rPr>
  </w:style>
  <w:style w:type="paragraph" w:customStyle="1" w:styleId="80">
    <w:name w:val="其他"/>
    <w:basedOn w:val="1"/>
    <w:autoRedefine/>
    <w:qFormat/>
    <w:uiPriority w:val="0"/>
    <w:pPr>
      <w:shd w:val="clear" w:color="auto" w:fill="FFFFFF"/>
      <w:spacing w:line="439" w:lineRule="auto"/>
      <w:ind w:firstLine="400"/>
    </w:pPr>
    <w:rPr>
      <w:rFonts w:ascii="MingLiU" w:hAnsi="MingLiU" w:eastAsia="MingLiU" w:cs="MingLiU"/>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17900</Words>
  <Characters>19552</Characters>
  <Lines>174</Lines>
  <Paragraphs>49</Paragraphs>
  <TotalTime>1</TotalTime>
  <ScaleCrop>false</ScaleCrop>
  <LinksUpToDate>false</LinksUpToDate>
  <CharactersWithSpaces>19743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2021-06-21T17:00:00Z</dcterms:created>
  <dc:creator>Administrator</dc:creator>
  <cp:lastModifiedBy>mary</cp:lastModifiedBy>
  <cp:lastPrinted>2024-11-21T02:26:00Z</cp:lastPrinted>
  <dcterms:modified xsi:type="dcterms:W3CDTF">2025-02-18T07:42:16Z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5479CFBE40284522926824E1DDE98E28_13</vt:lpwstr>
  </property>
  <property fmtid="{D5CDD505-2E9C-101B-9397-08002B2CF9AE}" pid="4" name="KSOTemplateDocerSaveRecord">
    <vt:lpwstr>eyJoZGlkIjoiZDFlNTgyYTViZDE1YmMwZDM1Njc5MjE1YTJjMDZlMWQiLCJ1c2VySWQiOiI1NDA2NzM0NjQifQ==</vt:lpwstr>
  </property>
</Properties>
</file>