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267FF">
      <w:pPr>
        <w:spacing w:line="781" w:lineRule="exact"/>
        <w:ind w:right="323"/>
        <w:jc w:val="center"/>
        <w:rPr>
          <w:rFonts w:hint="eastAsia" w:ascii="宋体" w:hAnsi="宋体" w:cs="宋体"/>
          <w:b/>
          <w:w w:val="95"/>
          <w:sz w:val="40"/>
          <w:szCs w:val="40"/>
          <w:lang w:eastAsia="zh-CN"/>
        </w:rPr>
      </w:pPr>
    </w:p>
    <w:p w14:paraId="40A3BB39">
      <w:pPr>
        <w:spacing w:line="781" w:lineRule="exact"/>
        <w:ind w:right="323"/>
        <w:jc w:val="center"/>
        <w:rPr>
          <w:rFonts w:hint="eastAsia" w:ascii="宋体" w:hAnsi="宋体" w:cs="宋体"/>
          <w:b/>
          <w:w w:val="95"/>
          <w:sz w:val="40"/>
          <w:szCs w:val="40"/>
          <w:lang w:eastAsia="zh-CN"/>
        </w:rPr>
      </w:pPr>
    </w:p>
    <w:p w14:paraId="2CA93B97">
      <w:pPr>
        <w:spacing w:line="781" w:lineRule="exact"/>
        <w:ind w:right="323"/>
        <w:jc w:val="center"/>
        <w:rPr>
          <w:rFonts w:hint="eastAsia" w:ascii="宋体" w:hAnsi="宋体" w:cs="宋体"/>
          <w:b/>
          <w:w w:val="95"/>
          <w:sz w:val="40"/>
          <w:szCs w:val="40"/>
          <w:lang w:eastAsia="zh-CN"/>
        </w:rPr>
      </w:pPr>
    </w:p>
    <w:p w14:paraId="06562873">
      <w:pPr>
        <w:spacing w:line="781" w:lineRule="exact"/>
        <w:ind w:right="323"/>
        <w:jc w:val="center"/>
        <w:rPr>
          <w:rFonts w:hint="eastAsia" w:ascii="宋体" w:hAnsi="宋体" w:eastAsia="宋体"/>
          <w:b/>
          <w:w w:val="95"/>
          <w:sz w:val="40"/>
          <w:szCs w:val="40"/>
          <w:lang w:eastAsia="zh-CN"/>
        </w:rPr>
      </w:pPr>
      <w:r>
        <w:rPr>
          <w:rFonts w:hint="eastAsia" w:ascii="宋体" w:hAnsi="宋体" w:cs="宋体"/>
          <w:b/>
          <w:w w:val="95"/>
          <w:sz w:val="40"/>
          <w:szCs w:val="40"/>
          <w:lang w:eastAsia="zh-CN"/>
        </w:rPr>
        <w:t>灵宝市实验高级中学一体机等采购项目</w:t>
      </w:r>
    </w:p>
    <w:p w14:paraId="081CFF57">
      <w:pPr>
        <w:spacing w:line="360" w:lineRule="auto"/>
        <w:rPr>
          <w:rFonts w:ascii="宋体" w:hAnsi="宋体"/>
          <w:b/>
          <w:color w:val="000000"/>
          <w:sz w:val="36"/>
          <w:szCs w:val="36"/>
        </w:rPr>
      </w:pPr>
    </w:p>
    <w:p w14:paraId="4BBEBBF0">
      <w:pPr>
        <w:spacing w:line="360" w:lineRule="auto"/>
        <w:rPr>
          <w:rFonts w:ascii="宋体" w:hAnsi="宋体"/>
          <w:b/>
          <w:color w:val="000000"/>
          <w:kern w:val="0"/>
          <w:sz w:val="44"/>
          <w:szCs w:val="44"/>
        </w:rPr>
      </w:pPr>
    </w:p>
    <w:p w14:paraId="771D0B06">
      <w:pPr>
        <w:spacing w:line="360" w:lineRule="auto"/>
        <w:rPr>
          <w:rFonts w:ascii="宋体" w:hAnsi="宋体"/>
          <w:b/>
          <w:color w:val="000000"/>
          <w:kern w:val="0"/>
          <w:sz w:val="44"/>
          <w:szCs w:val="44"/>
        </w:rPr>
      </w:pPr>
    </w:p>
    <w:p w14:paraId="1586719E">
      <w:pPr>
        <w:spacing w:line="360" w:lineRule="auto"/>
        <w:jc w:val="center"/>
        <w:rPr>
          <w:rFonts w:ascii="宋体" w:hAnsi="宋体"/>
          <w:b/>
          <w:color w:val="000000"/>
          <w:kern w:val="0"/>
          <w:sz w:val="52"/>
          <w:szCs w:val="52"/>
        </w:rPr>
      </w:pPr>
      <w:r>
        <w:rPr>
          <w:rFonts w:hint="eastAsia" w:ascii="宋体" w:hAnsi="宋体"/>
          <w:b/>
          <w:color w:val="000000"/>
          <w:kern w:val="0"/>
          <w:sz w:val="52"/>
          <w:szCs w:val="52"/>
        </w:rPr>
        <w:t>竞争性磋商文件</w:t>
      </w:r>
    </w:p>
    <w:p w14:paraId="22CDE351">
      <w:pPr>
        <w:spacing w:line="360" w:lineRule="auto"/>
        <w:jc w:val="center"/>
        <w:rPr>
          <w:rFonts w:ascii="宋体" w:hAnsi="宋体"/>
          <w:b/>
          <w:color w:val="000000"/>
          <w:sz w:val="30"/>
          <w:szCs w:val="30"/>
        </w:rPr>
      </w:pPr>
    </w:p>
    <w:p w14:paraId="5191C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960" w:firstLineChars="400"/>
        <w:jc w:val="left"/>
        <w:rPr>
          <w:rFonts w:ascii="微软雅黑" w:hAnsi="微软雅黑" w:eastAsia="微软雅黑" w:cs="微软雅黑"/>
          <w:color w:val="3D4B64"/>
          <w:sz w:val="16"/>
          <w:szCs w:val="16"/>
        </w:rPr>
      </w:pPr>
      <w:r>
        <w:rPr>
          <w:rFonts w:hint="eastAsia" w:ascii="宋体" w:hAnsi="宋体"/>
          <w:b/>
          <w:color w:val="000000"/>
          <w:sz w:val="24"/>
          <w:szCs w:val="24"/>
        </w:rPr>
        <w:t>项目编号：</w:t>
      </w:r>
      <w:r>
        <w:rPr>
          <w:rFonts w:hint="eastAsia" w:ascii="宋体" w:hAnsi="宋体"/>
          <w:b/>
          <w:color w:val="000000"/>
          <w:sz w:val="24"/>
          <w:szCs w:val="24"/>
          <w:lang w:val="en-US" w:eastAsia="zh-CN"/>
        </w:rPr>
        <w:t>灵宝竞磋采购-2024-115  LBGZ[2024]275-ZC196</w:t>
      </w:r>
    </w:p>
    <w:p w14:paraId="6E5BD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firstLineChars="400"/>
        <w:jc w:val="left"/>
        <w:rPr>
          <w:rFonts w:hint="default" w:ascii="微软雅黑" w:hAnsi="微软雅黑" w:eastAsia="微软雅黑" w:cs="微软雅黑"/>
          <w:color w:val="3D4B64"/>
          <w:sz w:val="16"/>
          <w:szCs w:val="16"/>
          <w:lang w:val="en-US"/>
        </w:rPr>
      </w:pPr>
    </w:p>
    <w:p w14:paraId="3B40F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jc w:val="left"/>
        <w:rPr>
          <w:rFonts w:ascii="微软雅黑" w:hAnsi="微软雅黑" w:eastAsia="微软雅黑" w:cs="微软雅黑"/>
          <w:color w:val="3D4B64"/>
          <w:sz w:val="16"/>
          <w:szCs w:val="16"/>
        </w:rPr>
      </w:pPr>
    </w:p>
    <w:p w14:paraId="443BE5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720" w:firstLineChars="300"/>
        <w:jc w:val="left"/>
        <w:rPr>
          <w:rFonts w:hint="default" w:ascii="微软雅黑" w:hAnsi="微软雅黑" w:eastAsia="微软雅黑" w:cs="微软雅黑"/>
          <w:color w:val="3D4B64"/>
          <w:sz w:val="24"/>
          <w:szCs w:val="24"/>
          <w:lang w:val="en-US"/>
        </w:rPr>
      </w:pPr>
    </w:p>
    <w:p w14:paraId="4C4F8148">
      <w:pPr>
        <w:spacing w:line="360" w:lineRule="auto"/>
        <w:jc w:val="center"/>
        <w:rPr>
          <w:rFonts w:hint="default" w:ascii="宋体" w:hAnsi="宋体" w:eastAsia="宋体"/>
          <w:b/>
          <w:color w:val="000000"/>
          <w:sz w:val="30"/>
          <w:szCs w:val="30"/>
          <w:lang w:val="en-US" w:eastAsia="zh-CN"/>
        </w:rPr>
      </w:pPr>
    </w:p>
    <w:p w14:paraId="3213C0C6">
      <w:pPr>
        <w:spacing w:line="360" w:lineRule="auto"/>
        <w:rPr>
          <w:rFonts w:hint="eastAsia" w:ascii="宋体" w:hAnsi="宋体"/>
          <w:b/>
          <w:color w:val="000000"/>
          <w:sz w:val="30"/>
          <w:szCs w:val="30"/>
        </w:rPr>
      </w:pPr>
    </w:p>
    <w:p w14:paraId="752AA698">
      <w:pPr>
        <w:spacing w:line="360" w:lineRule="auto"/>
        <w:ind w:firstLine="2400" w:firstLineChars="800"/>
        <w:rPr>
          <w:rFonts w:ascii="宋体" w:hAnsi="宋体"/>
          <w:b/>
          <w:color w:val="000000"/>
          <w:sz w:val="30"/>
          <w:szCs w:val="30"/>
        </w:rPr>
      </w:pPr>
    </w:p>
    <w:p w14:paraId="1243920F">
      <w:pPr>
        <w:spacing w:line="360" w:lineRule="auto"/>
        <w:jc w:val="center"/>
        <w:rPr>
          <w:rFonts w:ascii="宋体" w:hAnsi="宋体"/>
          <w:b/>
          <w:color w:val="000000"/>
          <w:sz w:val="30"/>
          <w:szCs w:val="30"/>
        </w:rPr>
      </w:pPr>
    </w:p>
    <w:p w14:paraId="061FD0E3">
      <w:pPr>
        <w:spacing w:line="360" w:lineRule="auto"/>
        <w:jc w:val="center"/>
        <w:rPr>
          <w:rFonts w:ascii="宋体" w:hAnsi="宋体"/>
          <w:b/>
          <w:color w:val="000000"/>
          <w:sz w:val="30"/>
          <w:szCs w:val="30"/>
        </w:rPr>
      </w:pPr>
      <w:r>
        <w:rPr>
          <w:rFonts w:ascii="宋体" w:hAnsi="宋体"/>
          <w:b/>
          <w:color w:val="000000"/>
          <w:sz w:val="30"/>
          <w:szCs w:val="30"/>
        </w:rPr>
        <w:t xml:space="preserve">     </w:t>
      </w:r>
    </w:p>
    <w:p w14:paraId="64D6A2C9">
      <w:pPr>
        <w:pStyle w:val="13"/>
      </w:pPr>
    </w:p>
    <w:p w14:paraId="41E21844">
      <w:pPr>
        <w:spacing w:line="360" w:lineRule="auto"/>
        <w:ind w:firstLine="1960" w:firstLineChars="700"/>
        <w:jc w:val="both"/>
        <w:rPr>
          <w:rFonts w:ascii="宋体" w:hAnsi="宋体"/>
          <w:b/>
          <w:bCs/>
          <w:color w:val="000000"/>
          <w:sz w:val="28"/>
          <w:szCs w:val="28"/>
        </w:rPr>
      </w:pPr>
      <w:r>
        <w:rPr>
          <w:rFonts w:hint="eastAsia" w:ascii="宋体" w:hAnsi="宋体"/>
          <w:b/>
          <w:color w:val="000000"/>
          <w:sz w:val="28"/>
          <w:szCs w:val="28"/>
        </w:rPr>
        <w:t>采  购  人  ：灵宝市实验高级中学</w:t>
      </w:r>
    </w:p>
    <w:p w14:paraId="30015D7E">
      <w:pPr>
        <w:spacing w:line="360" w:lineRule="auto"/>
        <w:jc w:val="center"/>
        <w:rPr>
          <w:rFonts w:hint="eastAsia" w:ascii="宋体" w:hAnsi="宋体" w:eastAsia="宋体"/>
          <w:b/>
          <w:color w:val="000000"/>
          <w:spacing w:val="-2"/>
          <w:sz w:val="28"/>
          <w:szCs w:val="28"/>
          <w:lang w:eastAsia="zh-CN"/>
        </w:rPr>
      </w:pPr>
      <w:r>
        <w:rPr>
          <w:rFonts w:hint="eastAsia" w:ascii="宋体" w:hAnsi="宋体"/>
          <w:b/>
          <w:bCs/>
          <w:color w:val="000000"/>
          <w:sz w:val="28"/>
          <w:szCs w:val="28"/>
        </w:rPr>
        <w:t>采购代理机构：</w:t>
      </w:r>
      <w:r>
        <w:rPr>
          <w:rFonts w:hint="eastAsia" w:ascii="宋体" w:hAnsi="宋体" w:eastAsia="宋体" w:cs="宋体"/>
          <w:b/>
          <w:bCs/>
          <w:color w:val="000000"/>
          <w:sz w:val="28"/>
          <w:szCs w:val="28"/>
          <w:lang w:eastAsia="zh-CN"/>
        </w:rPr>
        <w:t>天寻国际工程咨询有限公司</w:t>
      </w:r>
    </w:p>
    <w:p w14:paraId="38175A25">
      <w:pPr>
        <w:spacing w:line="360" w:lineRule="auto"/>
        <w:rPr>
          <w:rFonts w:ascii="黑体" w:hAnsi="黑体" w:eastAsia="黑体"/>
          <w:b/>
          <w:color w:val="000000"/>
          <w:spacing w:val="-2"/>
          <w:sz w:val="28"/>
          <w:szCs w:val="28"/>
        </w:rPr>
      </w:pPr>
      <w:r>
        <w:rPr>
          <w:rFonts w:hint="eastAsia" w:ascii="宋体" w:hAnsi="宋体"/>
          <w:b/>
          <w:color w:val="000000"/>
          <w:spacing w:val="-2"/>
          <w:sz w:val="28"/>
          <w:szCs w:val="28"/>
        </w:rPr>
        <w:t xml:space="preserve">                    </w:t>
      </w:r>
      <w:r>
        <w:rPr>
          <w:rFonts w:hint="eastAsia" w:ascii="宋体" w:hAnsi="宋体"/>
          <w:b/>
          <w:color w:val="000000"/>
          <w:spacing w:val="-2"/>
          <w:sz w:val="28"/>
          <w:szCs w:val="28"/>
          <w:lang w:val="en-US" w:eastAsia="zh-CN"/>
        </w:rPr>
        <w:t xml:space="preserve"> </w:t>
      </w:r>
      <w:r>
        <w:rPr>
          <w:rFonts w:hint="eastAsia" w:ascii="宋体" w:hAnsi="宋体"/>
          <w:b/>
          <w:color w:val="000000"/>
          <w:spacing w:val="-2"/>
          <w:sz w:val="28"/>
          <w:szCs w:val="28"/>
        </w:rPr>
        <w:t xml:space="preserve"> 二〇二</w:t>
      </w:r>
      <w:r>
        <w:rPr>
          <w:rFonts w:hint="eastAsia" w:ascii="宋体" w:hAnsi="宋体"/>
          <w:b/>
          <w:color w:val="000000"/>
          <w:spacing w:val="-2"/>
          <w:sz w:val="28"/>
          <w:szCs w:val="28"/>
          <w:lang w:eastAsia="zh-CN"/>
        </w:rPr>
        <w:t>四</w:t>
      </w:r>
      <w:r>
        <w:rPr>
          <w:rFonts w:hint="eastAsia" w:ascii="宋体" w:hAnsi="宋体"/>
          <w:b/>
          <w:color w:val="000000"/>
          <w:spacing w:val="-2"/>
          <w:sz w:val="28"/>
          <w:szCs w:val="28"/>
        </w:rPr>
        <w:t>年</w:t>
      </w:r>
      <w:r>
        <w:rPr>
          <w:rFonts w:hint="eastAsia" w:ascii="宋体" w:hAnsi="宋体"/>
          <w:b/>
          <w:color w:val="000000"/>
          <w:spacing w:val="-2"/>
          <w:sz w:val="28"/>
          <w:szCs w:val="28"/>
          <w:lang w:eastAsia="zh-CN"/>
        </w:rPr>
        <w:t>九</w:t>
      </w:r>
      <w:r>
        <w:rPr>
          <w:rFonts w:hint="eastAsia" w:ascii="宋体" w:hAnsi="宋体"/>
          <w:b/>
          <w:color w:val="000000"/>
          <w:spacing w:val="-2"/>
          <w:sz w:val="28"/>
          <w:szCs w:val="28"/>
        </w:rPr>
        <w:t>月</w:t>
      </w:r>
    </w:p>
    <w:p w14:paraId="6DEBBA6B">
      <w:pPr>
        <w:spacing w:line="360" w:lineRule="auto"/>
        <w:jc w:val="both"/>
        <w:rPr>
          <w:rFonts w:ascii="黑体" w:hAnsi="黑体" w:eastAsia="黑体" w:cs="黑体"/>
          <w:b/>
          <w:color w:val="000000"/>
          <w:sz w:val="32"/>
          <w:szCs w:val="32"/>
        </w:rPr>
        <w:sectPr>
          <w:footerReference r:id="rId3" w:type="default"/>
          <w:pgSz w:w="11906" w:h="16838"/>
          <w:pgMar w:top="1440" w:right="1418" w:bottom="1440" w:left="1418" w:header="851" w:footer="851" w:gutter="0"/>
          <w:cols w:space="720" w:num="1"/>
          <w:docGrid w:type="linesAndChars" w:linePitch="312" w:charSpace="0"/>
        </w:sectPr>
      </w:pPr>
    </w:p>
    <w:p w14:paraId="1A797297">
      <w:pPr>
        <w:spacing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目    录</w:t>
      </w:r>
    </w:p>
    <w:p w14:paraId="4A9D5D4E">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_Toc13945 </w:instrText>
      </w:r>
      <w:r>
        <w:rPr>
          <w:rFonts w:hint="eastAsia" w:ascii="宋体" w:hAnsi="宋体" w:eastAsia="宋体" w:cs="宋体"/>
          <w:sz w:val="24"/>
          <w:szCs w:val="24"/>
        </w:rPr>
        <w:fldChar w:fldCharType="separate"/>
      </w:r>
      <w:r>
        <w:rPr>
          <w:rFonts w:hint="eastAsia" w:ascii="宋体" w:hAnsi="宋体" w:eastAsia="宋体" w:cs="宋体"/>
          <w:kern w:val="10"/>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_Toc13945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C67474">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F8CE5B">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_Toc6871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F51973">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_Toc17150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_Toc17150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694AB5">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sz w:val="24"/>
          <w:szCs w:val="24"/>
        </w:rPr>
        <w:t>五章 合同文本格式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_Toc3245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9A4DC5">
      <w:pPr>
        <w:pStyle w:val="1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_Toc30109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响应性文件格式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_Toc30109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AB08F4">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_Toc7366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_Toc7366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984C88">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_Toc9610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二、法定代表人身份证明及授权委托书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_Toc9610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FCC75F">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_Toc25589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三、投标承诺函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_Toc25589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5FD773">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_Toc25666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四、报价一览表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_Toc25666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5BD8D2">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_Toc8094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五、实施方案及技术方案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_Toc8094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3F3944">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_Toc11250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六、质保及售后服务承诺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_Toc11250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3DE174">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_Toc12847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七、中小微企业声明函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_Toc12847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CC068A">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_Toc10871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八、监狱企业证明材料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_Toc10871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A3FEFE">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_Toc14999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九、资格审查资料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_Toc14999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27D112">
      <w:pPr>
        <w:pStyle w:val="11"/>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_Toc4481 </w:instrText>
      </w:r>
      <w:r>
        <w:rPr>
          <w:rFonts w:hint="eastAsia" w:ascii="宋体" w:hAnsi="宋体" w:eastAsia="宋体" w:cs="宋体"/>
          <w:sz w:val="24"/>
          <w:szCs w:val="24"/>
        </w:rPr>
        <w:fldChar w:fldCharType="separate"/>
      </w:r>
      <w:r>
        <w:rPr>
          <w:rFonts w:hint="eastAsia" w:ascii="宋体" w:hAnsi="宋体" w:eastAsia="宋体" w:cs="宋体"/>
          <w:bCs/>
          <w:kern w:val="10"/>
          <w:sz w:val="24"/>
          <w:szCs w:val="24"/>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9AF21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rPr>
      </w:pPr>
      <w:r>
        <w:rPr>
          <w:rFonts w:hint="eastAsia" w:ascii="宋体" w:hAnsi="宋体" w:eastAsia="宋体" w:cs="宋体"/>
          <w:sz w:val="24"/>
          <w:szCs w:val="24"/>
        </w:rPr>
        <w:fldChar w:fldCharType="end"/>
      </w:r>
    </w:p>
    <w:p w14:paraId="3CF73371">
      <w:pPr>
        <w:pStyle w:val="14"/>
      </w:pPr>
    </w:p>
    <w:p w14:paraId="40561C1D">
      <w:pPr>
        <w:pStyle w:val="13"/>
        <w:ind w:firstLine="210"/>
      </w:pPr>
    </w:p>
    <w:p w14:paraId="12074D79">
      <w:pPr>
        <w:pStyle w:val="13"/>
        <w:ind w:firstLine="210"/>
      </w:pPr>
    </w:p>
    <w:p w14:paraId="125226A2">
      <w:pPr>
        <w:pStyle w:val="13"/>
        <w:ind w:firstLine="210"/>
      </w:pPr>
    </w:p>
    <w:p w14:paraId="08CE6D2F">
      <w:pPr>
        <w:pStyle w:val="13"/>
        <w:ind w:firstLine="210"/>
      </w:pPr>
    </w:p>
    <w:p w14:paraId="39114167">
      <w:pPr>
        <w:pStyle w:val="13"/>
        <w:ind w:firstLine="210"/>
      </w:pPr>
    </w:p>
    <w:p w14:paraId="50E04D30">
      <w:pPr>
        <w:spacing w:line="360" w:lineRule="auto"/>
        <w:outlineLvl w:val="0"/>
        <w:rPr>
          <w:rFonts w:ascii="黑体" w:hAnsi="黑体" w:eastAsia="黑体" w:cs="宋体"/>
          <w:b/>
          <w:color w:val="000000"/>
          <w:kern w:val="10"/>
          <w:sz w:val="36"/>
          <w:szCs w:val="36"/>
        </w:rPr>
      </w:pPr>
      <w:bookmarkStart w:id="0" w:name="_Toc16973"/>
      <w:bookmarkStart w:id="1" w:name="_Toc13992"/>
      <w:bookmarkStart w:id="2" w:name="_Toc57277876"/>
      <w:bookmarkStart w:id="3" w:name="_Toc16504"/>
      <w:bookmarkStart w:id="4" w:name="_Toc20852"/>
      <w:bookmarkStart w:id="5" w:name="_Toc516499642"/>
      <w:bookmarkStart w:id="6" w:name="_Toc99007039"/>
      <w:bookmarkStart w:id="7" w:name="_Toc29843"/>
    </w:p>
    <w:p w14:paraId="559E2600">
      <w:pPr>
        <w:spacing w:line="360" w:lineRule="auto"/>
        <w:jc w:val="center"/>
        <w:outlineLvl w:val="0"/>
        <w:rPr>
          <w:rFonts w:ascii="黑体" w:hAnsi="黑体" w:eastAsia="黑体" w:cs="宋体"/>
          <w:b/>
          <w:color w:val="000000"/>
          <w:kern w:val="10"/>
          <w:sz w:val="36"/>
          <w:szCs w:val="36"/>
        </w:rPr>
      </w:pPr>
      <w:bookmarkStart w:id="8" w:name="_Toc13945"/>
      <w:r>
        <w:rPr>
          <w:rFonts w:hint="eastAsia" w:ascii="黑体" w:hAnsi="黑体" w:eastAsia="黑体" w:cs="宋体"/>
          <w:b/>
          <w:color w:val="000000"/>
          <w:kern w:val="10"/>
          <w:sz w:val="36"/>
          <w:szCs w:val="36"/>
        </w:rPr>
        <w:t>第一章  招标公告</w:t>
      </w:r>
      <w:bookmarkEnd w:id="0"/>
      <w:bookmarkEnd w:id="1"/>
      <w:bookmarkEnd w:id="2"/>
      <w:bookmarkEnd w:id="3"/>
      <w:bookmarkEnd w:id="4"/>
      <w:bookmarkEnd w:id="5"/>
      <w:bookmarkEnd w:id="6"/>
      <w:bookmarkEnd w:id="7"/>
      <w:bookmarkEnd w:id="8"/>
      <w:bookmarkStart w:id="9" w:name="_Toc478929098"/>
    </w:p>
    <w:bookmarkEnd w:id="9"/>
    <w:p w14:paraId="67C38211">
      <w:pPr>
        <w:spacing w:line="360" w:lineRule="auto"/>
        <w:ind w:firstLine="480" w:firstLineChars="200"/>
        <w:rPr>
          <w:rFonts w:ascii="宋体" w:hAnsi="宋体" w:cs="宋体"/>
          <w:sz w:val="24"/>
        </w:rPr>
      </w:pPr>
      <w:bookmarkStart w:id="10" w:name="_Toc516499644"/>
      <w:bookmarkStart w:id="11" w:name="_Toc19492"/>
      <w:bookmarkStart w:id="12" w:name="_Toc28510"/>
      <w:bookmarkStart w:id="13" w:name="_Toc1996"/>
      <w:bookmarkStart w:id="14" w:name="_Toc10294"/>
      <w:r>
        <w:rPr>
          <w:rFonts w:hint="eastAsia" w:ascii="宋体" w:hAnsi="宋体" w:cs="宋体"/>
          <w:sz w:val="24"/>
          <w:lang w:eastAsia="zh-CN"/>
        </w:rPr>
        <w:t>天寻国际工程咨询有限公司</w:t>
      </w:r>
      <w:r>
        <w:rPr>
          <w:rFonts w:hint="eastAsia" w:ascii="宋体" w:hAnsi="宋体" w:cs="宋体"/>
          <w:sz w:val="24"/>
        </w:rPr>
        <w:t>受灵宝市实验高级中学的委托，就</w:t>
      </w:r>
      <w:r>
        <w:rPr>
          <w:rFonts w:hint="eastAsia" w:ascii="宋体" w:hAnsi="宋体" w:eastAsia="宋体" w:cs="宋体"/>
          <w:sz w:val="24"/>
          <w:lang w:eastAsia="zh-CN"/>
        </w:rPr>
        <w:t>灵宝市实验高级中学一体机等采购项目</w:t>
      </w:r>
      <w:r>
        <w:rPr>
          <w:rFonts w:hint="eastAsia" w:ascii="宋体" w:hAnsi="宋体" w:cs="宋体"/>
          <w:sz w:val="24"/>
        </w:rPr>
        <w:t>进行竞争性磋商，项目已由相关部门批准，资金来源为财政资金，欢迎符合资格条件的供应商参加磋商。</w:t>
      </w:r>
    </w:p>
    <w:p w14:paraId="54379A33">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项目基本情况</w:t>
      </w:r>
    </w:p>
    <w:p w14:paraId="03593E0C">
      <w:pPr>
        <w:numPr>
          <w:ilvl w:val="0"/>
          <w:numId w:val="0"/>
        </w:numPr>
        <w:spacing w:line="360" w:lineRule="auto"/>
        <w:ind w:firstLine="480" w:firstLineChars="200"/>
        <w:rPr>
          <w:rFonts w:hint="eastAsia" w:ascii="宋体" w:hAnsi="宋体" w:eastAsia="宋体"/>
          <w:b/>
          <w:w w:val="95"/>
          <w:sz w:val="40"/>
          <w:szCs w:val="40"/>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项目名称：</w:t>
      </w:r>
      <w:r>
        <w:rPr>
          <w:rFonts w:hint="eastAsia" w:ascii="宋体" w:hAnsi="宋体" w:eastAsia="宋体" w:cs="宋体"/>
          <w:sz w:val="24"/>
          <w:lang w:eastAsia="zh-CN"/>
        </w:rPr>
        <w:t>灵宝市实验高级中学一体机等采购项目</w:t>
      </w:r>
    </w:p>
    <w:p w14:paraId="65543C81">
      <w:pPr>
        <w:spacing w:line="360" w:lineRule="auto"/>
        <w:ind w:firstLine="480" w:firstLineChars="200"/>
        <w:rPr>
          <w:rFonts w:hint="default" w:ascii="宋体" w:hAnsi="宋体" w:cs="宋体"/>
          <w:sz w:val="24"/>
          <w:lang w:val="en-US" w:eastAsia="zh-CN"/>
        </w:rPr>
      </w:pPr>
      <w:r>
        <w:rPr>
          <w:rFonts w:hint="eastAsia" w:ascii="宋体" w:hAnsi="宋体" w:cs="宋体"/>
          <w:sz w:val="24"/>
        </w:rPr>
        <w:t>2、</w:t>
      </w:r>
      <w:r>
        <w:rPr>
          <w:rFonts w:hint="eastAsia" w:ascii="宋体" w:hAnsi="宋体" w:cs="宋体"/>
          <w:sz w:val="24"/>
          <w:lang w:eastAsia="zh-CN"/>
        </w:rPr>
        <w:t>采购</w:t>
      </w:r>
      <w:r>
        <w:rPr>
          <w:rFonts w:hint="eastAsia" w:ascii="宋体" w:hAnsi="宋体" w:cs="宋体"/>
          <w:sz w:val="24"/>
        </w:rPr>
        <w:t>项目编号：</w:t>
      </w:r>
      <w:r>
        <w:rPr>
          <w:rFonts w:hint="eastAsia" w:ascii="宋体" w:hAnsi="宋体" w:eastAsia="宋体" w:cs="宋体"/>
          <w:sz w:val="24"/>
          <w:lang w:val="en-US" w:eastAsia="zh-CN"/>
        </w:rPr>
        <w:t>灵宝竞磋采购-2024-115  LBGZ[2024]275-ZC196</w:t>
      </w:r>
    </w:p>
    <w:p w14:paraId="018AF7F1">
      <w:pPr>
        <w:spacing w:line="360" w:lineRule="auto"/>
        <w:ind w:firstLine="480" w:firstLineChars="200"/>
        <w:rPr>
          <w:rFonts w:ascii="宋体" w:hAnsi="宋体" w:cs="宋体"/>
          <w:sz w:val="24"/>
        </w:rPr>
      </w:pPr>
      <w:r>
        <w:rPr>
          <w:rFonts w:hint="eastAsia" w:ascii="宋体" w:hAnsi="宋体" w:cs="宋体"/>
          <w:sz w:val="24"/>
        </w:rPr>
        <w:t>3、采购方式：竞争性磋商</w:t>
      </w:r>
    </w:p>
    <w:p w14:paraId="4A54029D">
      <w:pPr>
        <w:spacing w:line="360" w:lineRule="auto"/>
        <w:ind w:firstLine="480" w:firstLineChars="200"/>
        <w:rPr>
          <w:rFonts w:ascii="宋体" w:hAnsi="宋体" w:cs="宋体"/>
          <w:sz w:val="24"/>
        </w:rPr>
      </w:pPr>
      <w:r>
        <w:rPr>
          <w:rFonts w:hint="eastAsia" w:ascii="宋体" w:hAnsi="宋体" w:cs="宋体"/>
          <w:sz w:val="24"/>
        </w:rPr>
        <w:t>4、预算金额：</w:t>
      </w:r>
      <w:r>
        <w:rPr>
          <w:rFonts w:hint="eastAsia" w:ascii="宋体" w:hAnsi="宋体" w:cs="宋体"/>
          <w:sz w:val="24"/>
          <w:lang w:val="en-US" w:eastAsia="zh-CN"/>
        </w:rPr>
        <w:t>420000.00</w:t>
      </w:r>
      <w:r>
        <w:rPr>
          <w:rFonts w:hint="eastAsia" w:ascii="宋体" w:hAnsi="宋体" w:cs="宋体"/>
          <w:sz w:val="24"/>
        </w:rPr>
        <w:t>元</w:t>
      </w:r>
    </w:p>
    <w:p w14:paraId="07CA42DF">
      <w:pPr>
        <w:spacing w:line="360" w:lineRule="auto"/>
        <w:ind w:firstLine="480" w:firstLineChars="200"/>
        <w:rPr>
          <w:rFonts w:hint="eastAsia" w:ascii="宋体" w:hAnsi="宋体" w:cs="宋体"/>
          <w:sz w:val="24"/>
          <w:szCs w:val="24"/>
        </w:rPr>
      </w:pPr>
      <w:r>
        <w:rPr>
          <w:rFonts w:hint="eastAsia" w:ascii="宋体" w:hAnsi="宋体" w:cs="宋体"/>
          <w:sz w:val="24"/>
          <w:szCs w:val="24"/>
        </w:rPr>
        <w:t>5、采购需求（包括但不限于标的的名称、数量、简要技术需求或服务要求等）</w:t>
      </w:r>
    </w:p>
    <w:p w14:paraId="7042CA58">
      <w:pPr>
        <w:widowControl/>
        <w:spacing w:line="440" w:lineRule="exact"/>
        <w:ind w:left="721" w:leftChars="228" w:hanging="242" w:hangingChars="101"/>
        <w:jc w:val="left"/>
        <w:rPr>
          <w:rFonts w:ascii="宋体" w:hAnsi="宋体" w:cs="宋体"/>
          <w:kern w:val="0"/>
          <w:sz w:val="24"/>
          <w:szCs w:val="22"/>
          <w:highlight w:val="yellow"/>
        </w:rPr>
      </w:pPr>
      <w:r>
        <w:rPr>
          <w:rFonts w:hint="eastAsia" w:ascii="宋体" w:hAnsi="宋体" w:cs="宋体"/>
          <w:sz w:val="24"/>
          <w:lang w:val="en-US" w:eastAsia="zh-CN"/>
        </w:rPr>
        <w:t>5.1</w:t>
      </w:r>
      <w:r>
        <w:rPr>
          <w:rFonts w:hint="eastAsia" w:ascii="宋体" w:hAnsi="宋体" w:cs="宋体"/>
          <w:sz w:val="24"/>
        </w:rPr>
        <w:t>采购内容</w:t>
      </w:r>
      <w:r>
        <w:rPr>
          <w:rFonts w:hint="eastAsia" w:ascii="宋体" w:hAnsi="宋体" w:eastAsia="宋体" w:cs="宋体"/>
          <w:sz w:val="24"/>
          <w:lang w:eastAsia="zh-CN"/>
        </w:rPr>
        <w:t>：</w:t>
      </w:r>
      <w:r>
        <w:rPr>
          <w:rFonts w:hint="eastAsia" w:ascii="宋体" w:hAnsi="宋体" w:eastAsia="宋体" w:cs="宋体"/>
          <w:sz w:val="24"/>
          <w:lang w:val="en-US" w:eastAsia="zh-CN"/>
        </w:rPr>
        <w:t>采</w:t>
      </w:r>
      <w:r>
        <w:rPr>
          <w:rFonts w:hint="eastAsia" w:ascii="宋体" w:hAnsi="宋体" w:cs="宋体"/>
          <w:sz w:val="24"/>
          <w:szCs w:val="24"/>
          <w:lang w:val="en-US" w:eastAsia="zh-CN"/>
        </w:rPr>
        <w:t>购65寸智能交互教学触控一体机9台，86寸智能交互教学触控一体机5台，98寸智慧黑板及配套设备2套</w:t>
      </w:r>
      <w:r>
        <w:rPr>
          <w:rFonts w:hint="eastAsia" w:ascii="宋体" w:hAnsi="宋体" w:cs="宋体"/>
          <w:sz w:val="24"/>
          <w:szCs w:val="24"/>
        </w:rPr>
        <w:t>的采购、安装 、调试、验收、后期维护、保修等直至交付使用的全部内容。（具体参数内容及要求详见竞争性磋商文件）</w:t>
      </w:r>
    </w:p>
    <w:p w14:paraId="1E70C3CC">
      <w:pPr>
        <w:spacing w:line="360" w:lineRule="auto"/>
        <w:ind w:firstLine="480" w:firstLineChars="200"/>
        <w:rPr>
          <w:rFonts w:ascii="宋体" w:hAnsi="宋体" w:cs="宋体"/>
          <w:sz w:val="24"/>
        </w:rPr>
      </w:pPr>
      <w:r>
        <w:rPr>
          <w:rFonts w:hint="eastAsia" w:ascii="宋体" w:hAnsi="宋体" w:cs="宋体"/>
          <w:sz w:val="24"/>
          <w:lang w:val="en-US" w:eastAsia="zh-CN"/>
        </w:rPr>
        <w:t>5.2</w:t>
      </w:r>
      <w:r>
        <w:rPr>
          <w:rFonts w:hint="eastAsia" w:ascii="宋体" w:hAnsi="宋体" w:cs="宋体"/>
          <w:sz w:val="24"/>
        </w:rPr>
        <w:t>交货地点：采购人指定地点；</w:t>
      </w:r>
    </w:p>
    <w:p w14:paraId="622A871D">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5.3</w:t>
      </w:r>
      <w:r>
        <w:rPr>
          <w:rFonts w:hint="eastAsia" w:ascii="宋体" w:hAnsi="宋体" w:cs="宋体"/>
          <w:sz w:val="24"/>
        </w:rPr>
        <w:t>质保期：3年</w:t>
      </w:r>
      <w:r>
        <w:rPr>
          <w:rFonts w:hint="eastAsia" w:ascii="宋体" w:hAnsi="宋体" w:cs="宋体"/>
          <w:sz w:val="24"/>
          <w:lang w:eastAsia="zh-CN"/>
        </w:rPr>
        <w:t>；</w:t>
      </w:r>
    </w:p>
    <w:p w14:paraId="24BA1244">
      <w:pPr>
        <w:spacing w:line="360" w:lineRule="auto"/>
        <w:ind w:firstLine="480" w:firstLineChars="200"/>
        <w:rPr>
          <w:rFonts w:ascii="宋体" w:hAnsi="宋体" w:cs="宋体"/>
          <w:sz w:val="24"/>
        </w:rPr>
      </w:pPr>
      <w:r>
        <w:rPr>
          <w:rFonts w:hint="eastAsia" w:ascii="宋体" w:hAnsi="宋体" w:cs="宋体"/>
          <w:sz w:val="24"/>
          <w:lang w:val="en-US" w:eastAsia="zh-CN"/>
        </w:rPr>
        <w:t>5.4</w:t>
      </w:r>
      <w:r>
        <w:rPr>
          <w:rFonts w:hint="eastAsia" w:ascii="宋体" w:hAnsi="宋体" w:cs="宋体"/>
          <w:sz w:val="24"/>
        </w:rPr>
        <w:t>质量要求：符合国家及行业标准需求并满足采购人要求。</w:t>
      </w:r>
    </w:p>
    <w:p w14:paraId="2C99C65C">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交</w:t>
      </w:r>
      <w:r>
        <w:rPr>
          <w:rFonts w:hint="eastAsia" w:ascii="宋体" w:hAnsi="宋体" w:cs="宋体"/>
          <w:sz w:val="24"/>
        </w:rPr>
        <w:t>货期：合同签订后15天内完成</w:t>
      </w:r>
    </w:p>
    <w:p w14:paraId="43DD5722">
      <w:pPr>
        <w:spacing w:line="360" w:lineRule="auto"/>
        <w:ind w:firstLine="480" w:firstLineChars="200"/>
        <w:rPr>
          <w:rFonts w:hint="eastAsia" w:ascii="宋体" w:hAnsi="宋体" w:cs="宋体"/>
          <w:sz w:val="24"/>
        </w:rPr>
      </w:pPr>
      <w:r>
        <w:rPr>
          <w:rFonts w:hint="eastAsia" w:ascii="宋体" w:hAnsi="宋体" w:cs="宋体"/>
          <w:sz w:val="24"/>
        </w:rPr>
        <w:t>7、本项目是否接受联合体投标：否</w:t>
      </w:r>
    </w:p>
    <w:p w14:paraId="517E07F4">
      <w:pPr>
        <w:spacing w:line="360" w:lineRule="auto"/>
        <w:ind w:firstLine="480" w:firstLineChars="200"/>
        <w:rPr>
          <w:rFonts w:hint="eastAsia" w:ascii="宋体" w:hAnsi="宋体" w:cs="宋体"/>
          <w:sz w:val="24"/>
        </w:rPr>
      </w:pPr>
      <w:r>
        <w:rPr>
          <w:rFonts w:hint="eastAsia" w:ascii="宋体" w:hAnsi="宋体" w:cs="宋体"/>
          <w:sz w:val="24"/>
        </w:rPr>
        <w:t>8、是否接受进口产品：否</w:t>
      </w:r>
    </w:p>
    <w:p w14:paraId="095F9367">
      <w:pPr>
        <w:spacing w:line="360" w:lineRule="auto"/>
        <w:ind w:firstLine="480" w:firstLineChars="200"/>
        <w:rPr>
          <w:rFonts w:hint="eastAsia" w:ascii="宋体" w:hAnsi="宋体" w:cs="宋体"/>
          <w:sz w:val="24"/>
        </w:rPr>
      </w:pPr>
      <w:r>
        <w:rPr>
          <w:rFonts w:hint="eastAsia" w:ascii="宋体" w:hAnsi="宋体" w:cs="宋体"/>
          <w:sz w:val="24"/>
        </w:rPr>
        <w:t>9、是否专门面向中小企业：否</w:t>
      </w:r>
    </w:p>
    <w:p w14:paraId="7BB7E368">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sz w:val="24"/>
          <w:lang w:val="en-US" w:eastAsia="zh-CN"/>
        </w:rPr>
        <w:t>供应商</w:t>
      </w:r>
      <w:r>
        <w:rPr>
          <w:rFonts w:hint="eastAsia" w:ascii="宋体" w:hAnsi="宋体" w:cs="宋体"/>
          <w:sz w:val="24"/>
        </w:rPr>
        <w:t>资格要求：</w:t>
      </w:r>
    </w:p>
    <w:p w14:paraId="7D5D1122">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269976E7">
      <w:pPr>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r>
        <w:rPr>
          <w:rFonts w:hint="eastAsia" w:ascii="宋体" w:hAnsi="宋体" w:cs="宋体"/>
          <w:sz w:val="24"/>
          <w:lang w:val="en-US" w:eastAsia="zh-CN"/>
        </w:rPr>
        <w:t>本项目支持中小型企业发展政策（残疾人福利性企业、监狱企业视同小微企业）、优先采购节能环保产品等政府采购政策。</w:t>
      </w:r>
    </w:p>
    <w:p w14:paraId="60F92C35">
      <w:pPr>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14:paraId="5516B6C2">
      <w:pPr>
        <w:spacing w:line="360" w:lineRule="auto"/>
        <w:ind w:firstLine="480" w:firstLineChars="200"/>
        <w:rPr>
          <w:rFonts w:ascii="宋体" w:hAnsi="宋体" w:cs="宋体"/>
          <w:sz w:val="24"/>
        </w:rPr>
      </w:pPr>
      <w:r>
        <w:rPr>
          <w:rFonts w:hint="eastAsia" w:ascii="宋体" w:hAnsi="宋体" w:cs="宋体"/>
          <w:sz w:val="24"/>
          <w:lang w:val="en-US" w:eastAsia="zh-CN"/>
        </w:rPr>
        <w:t>3.1</w:t>
      </w:r>
      <w:r>
        <w:rPr>
          <w:rFonts w:hint="eastAsia" w:ascii="宋体" w:hAnsi="宋体" w:cs="宋体"/>
          <w:sz w:val="24"/>
        </w:rPr>
        <w:t>供应商须具有有效的营业执照；</w:t>
      </w:r>
    </w:p>
    <w:p w14:paraId="0D9D77EF">
      <w:pPr>
        <w:spacing w:line="360" w:lineRule="auto"/>
        <w:ind w:firstLine="480" w:firstLineChars="200"/>
        <w:rPr>
          <w:rFonts w:hint="eastAsia" w:ascii="宋体" w:hAnsi="宋体" w:cs="宋体"/>
          <w:sz w:val="24"/>
        </w:rPr>
      </w:pPr>
      <w:r>
        <w:rPr>
          <w:rFonts w:hint="eastAsia" w:ascii="宋体" w:hAnsi="宋体" w:cs="宋体"/>
          <w:sz w:val="24"/>
          <w:lang w:val="en-US" w:eastAsia="zh-CN"/>
        </w:rPr>
        <w:t>3.2具有良好的商业信誉和健全的财务会计制度，供应商须提供</w:t>
      </w:r>
      <w:r>
        <w:rPr>
          <w:rFonts w:hint="eastAsia" w:ascii="宋体" w:hAnsi="宋体" w:cs="宋体"/>
          <w:sz w:val="24"/>
        </w:rPr>
        <w:t>近三年财务审计报告</w:t>
      </w:r>
      <w:r>
        <w:rPr>
          <w:rFonts w:hint="eastAsia" w:ascii="宋体" w:hAnsi="宋体" w:cs="宋体"/>
          <w:sz w:val="24"/>
          <w:lang w:eastAsia="zh-CN"/>
        </w:rPr>
        <w:t>（</w:t>
      </w:r>
      <w:r>
        <w:rPr>
          <w:rFonts w:hint="eastAsia" w:ascii="宋体" w:hAnsi="宋体" w:cs="宋体"/>
          <w:sz w:val="24"/>
        </w:rPr>
        <w:t>新成立公司不足一年的以公司成立时间为准</w:t>
      </w:r>
      <w:r>
        <w:rPr>
          <w:rFonts w:hint="eastAsia" w:ascii="宋体" w:hAnsi="宋体" w:cs="宋体"/>
          <w:sz w:val="24"/>
          <w:lang w:eastAsia="zh-CN"/>
        </w:rPr>
        <w:t>）</w:t>
      </w:r>
      <w:r>
        <w:rPr>
          <w:rFonts w:hint="eastAsia" w:ascii="宋体" w:hAnsi="宋体" w:cs="宋体"/>
          <w:sz w:val="24"/>
          <w:lang w:val="en-US" w:eastAsia="zh-CN"/>
        </w:rPr>
        <w:t>或基本户银行出具的资信证明等证明文件；</w:t>
      </w:r>
    </w:p>
    <w:p w14:paraId="2B314CF3">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3.3具有履行合同所必需的设备和专业技术能力（自行作出承诺，格式自拟）； </w:t>
      </w:r>
    </w:p>
    <w:p w14:paraId="220F6C0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3.4具有依法缴纳税收和社会保障资金的良好记录（提供2024年01月01日以来任意一个月依法缴纳税收和社会保障金的证明材料；</w:t>
      </w:r>
    </w:p>
    <w:p w14:paraId="1D4C772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3.5出具本单位无商业贿赂及无不正当竞争行为的承诺书（自行作出承诺，格式自拟）</w:t>
      </w:r>
    </w:p>
    <w:p w14:paraId="7F00F631">
      <w:pPr>
        <w:spacing w:line="360" w:lineRule="auto"/>
        <w:ind w:firstLine="480" w:firstLineChars="200"/>
        <w:rPr>
          <w:rFonts w:ascii="宋体" w:hAnsi="宋体" w:cs="宋体"/>
          <w:sz w:val="24"/>
        </w:rPr>
      </w:pPr>
      <w:r>
        <w:rPr>
          <w:rFonts w:hint="eastAsia" w:ascii="宋体" w:hAnsi="宋体" w:cs="宋体"/>
          <w:sz w:val="24"/>
          <w:lang w:val="en-US" w:eastAsia="zh-CN"/>
        </w:rPr>
        <w:t>3.6</w:t>
      </w:r>
      <w:r>
        <w:rPr>
          <w:rFonts w:hint="eastAsia" w:ascii="宋体" w:hAnsi="宋体" w:cs="宋体"/>
          <w:sz w:val="24"/>
        </w:rPr>
        <w:t>参加政府采购活动前3年内在经营活动中没有重大违法记录的书面声明；</w:t>
      </w:r>
    </w:p>
    <w:p w14:paraId="05570E02">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3.7</w:t>
      </w:r>
      <w:r>
        <w:rPr>
          <w:rFonts w:hint="eastAsia" w:ascii="宋体" w:hAnsi="宋体" w:eastAsia="宋体" w:cs="宋体"/>
          <w:sz w:val="24"/>
          <w:lang w:val="en-US"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p w14:paraId="53852D6B">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、本项目不接受联合体投标。</w:t>
      </w:r>
    </w:p>
    <w:p w14:paraId="5E0D40ED">
      <w:pPr>
        <w:spacing w:line="360" w:lineRule="auto"/>
        <w:ind w:firstLine="480" w:firstLineChars="200"/>
      </w:pPr>
      <w:r>
        <w:rPr>
          <w:rFonts w:hint="eastAsia" w:ascii="宋体" w:hAnsi="宋体" w:cs="宋体"/>
          <w:sz w:val="24"/>
          <w:lang w:val="en-US" w:eastAsia="zh-CN"/>
        </w:rPr>
        <w:t>5</w:t>
      </w:r>
      <w:r>
        <w:rPr>
          <w:rFonts w:hint="eastAsia" w:ascii="宋体" w:hAnsi="宋体" w:cs="宋体"/>
          <w:sz w:val="24"/>
        </w:rPr>
        <w:t>、本次磋商实行资格后审，资格审查的具体要求见磋商文件。</w:t>
      </w:r>
    </w:p>
    <w:p w14:paraId="717771A9">
      <w:pPr>
        <w:spacing w:line="360" w:lineRule="auto"/>
        <w:ind w:firstLine="480" w:firstLineChars="200"/>
        <w:rPr>
          <w:rFonts w:ascii="宋体" w:hAnsi="宋体" w:cs="宋体"/>
          <w:sz w:val="24"/>
        </w:rPr>
      </w:pPr>
      <w:r>
        <w:rPr>
          <w:rFonts w:hint="eastAsia" w:ascii="宋体" w:hAnsi="宋体" w:cs="宋体"/>
          <w:sz w:val="24"/>
        </w:rPr>
        <w:t>三、投标报名及文件的获取方式:</w:t>
      </w:r>
    </w:p>
    <w:p w14:paraId="308852B2">
      <w:pPr>
        <w:spacing w:line="360" w:lineRule="auto"/>
        <w:ind w:firstLine="480" w:firstLineChars="200"/>
        <w:rPr>
          <w:rFonts w:hint="eastAsia" w:ascii="宋体" w:hAnsi="宋体" w:cs="宋体"/>
          <w:sz w:val="24"/>
        </w:rPr>
      </w:pPr>
      <w:r>
        <w:rPr>
          <w:rFonts w:hint="eastAsia" w:ascii="宋体" w:hAnsi="宋体" w:cs="宋体"/>
          <w:sz w:val="24"/>
        </w:rPr>
        <w:t xml:space="preserve">1、竞争性磋商文件获取方式：本项目没有报名环节，供应商凭 CA 数字证书通过三门峡市公共资源交易中心网（网址：http://gzjy.smx.gov.cn/），点击交易平台选择“市场主体登录 ”，在所参与项目右侧点击参与投标，即可直接下载本项目竞争性磋商文件（竞争性磋商文件中包含投标所需一切内容）。 </w:t>
      </w:r>
    </w:p>
    <w:p w14:paraId="06FEFDDB">
      <w:pPr>
        <w:spacing w:line="360" w:lineRule="auto"/>
        <w:ind w:firstLine="480" w:firstLineChars="200"/>
        <w:rPr>
          <w:rFonts w:hint="eastAsia" w:ascii="宋体" w:hAnsi="宋体" w:eastAsia="宋体" w:cs="宋体"/>
          <w:sz w:val="24"/>
        </w:rPr>
      </w:pPr>
      <w:r>
        <w:rPr>
          <w:rFonts w:hint="eastAsia" w:ascii="宋体" w:hAnsi="宋体" w:cs="宋体"/>
          <w:sz w:val="24"/>
        </w:rPr>
        <w:t> 2、竞争性磋商文件下载时间：</w:t>
      </w:r>
      <w:r>
        <w:rPr>
          <w:rFonts w:hint="eastAsia" w:ascii="宋体" w:hAnsi="宋体" w:eastAsia="宋体" w:cs="宋体"/>
          <w:sz w:val="24"/>
        </w:rPr>
        <w:t>2024年</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25</w:t>
      </w:r>
      <w:r>
        <w:rPr>
          <w:rFonts w:hint="eastAsia" w:ascii="宋体" w:hAnsi="宋体" w:eastAsia="宋体" w:cs="宋体"/>
          <w:sz w:val="24"/>
        </w:rPr>
        <w:t>日</w:t>
      </w:r>
      <w:r>
        <w:rPr>
          <w:rFonts w:hint="eastAsia" w:ascii="宋体" w:hAnsi="宋体" w:cs="宋体"/>
          <w:sz w:val="24"/>
          <w:lang w:val="en-US" w:eastAsia="zh-CN"/>
        </w:rPr>
        <w:t>8</w:t>
      </w:r>
      <w:r>
        <w:rPr>
          <w:rFonts w:hint="eastAsia" w:ascii="宋体" w:hAnsi="宋体" w:eastAsia="宋体" w:cs="宋体"/>
          <w:sz w:val="24"/>
        </w:rPr>
        <w:t>时</w:t>
      </w:r>
      <w:r>
        <w:rPr>
          <w:rFonts w:hint="eastAsia" w:ascii="宋体" w:hAnsi="宋体" w:cs="宋体"/>
          <w:sz w:val="24"/>
          <w:lang w:val="en-US" w:eastAsia="zh-CN"/>
        </w:rPr>
        <w:t>3</w:t>
      </w:r>
      <w:r>
        <w:rPr>
          <w:rFonts w:hint="eastAsia" w:ascii="宋体" w:hAnsi="宋体" w:eastAsia="宋体" w:cs="宋体"/>
          <w:sz w:val="24"/>
        </w:rPr>
        <w:t>0分至2024年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w:t>
      </w:r>
      <w:r>
        <w:rPr>
          <w:rFonts w:hint="eastAsia" w:ascii="宋体" w:hAnsi="宋体" w:cs="宋体"/>
          <w:sz w:val="24"/>
          <w:lang w:val="en-US" w:eastAsia="zh-CN"/>
        </w:rPr>
        <w:t>08</w:t>
      </w:r>
      <w:r>
        <w:rPr>
          <w:rFonts w:hint="eastAsia" w:ascii="宋体" w:hAnsi="宋体" w:eastAsia="宋体" w:cs="宋体"/>
          <w:sz w:val="24"/>
        </w:rPr>
        <w:t>时</w:t>
      </w:r>
      <w:r>
        <w:rPr>
          <w:rFonts w:hint="eastAsia" w:ascii="宋体" w:hAnsi="宋体" w:cs="宋体"/>
          <w:sz w:val="24"/>
          <w:lang w:val="en-US" w:eastAsia="zh-CN"/>
        </w:rPr>
        <w:t>20</w:t>
      </w:r>
      <w:r>
        <w:rPr>
          <w:rFonts w:hint="eastAsia" w:ascii="宋体" w:hAnsi="宋体" w:eastAsia="宋体" w:cs="宋体"/>
          <w:sz w:val="24"/>
        </w:rPr>
        <w:t>分</w:t>
      </w:r>
    </w:p>
    <w:p w14:paraId="23E7C18B">
      <w:pPr>
        <w:spacing w:line="360" w:lineRule="auto"/>
        <w:ind w:firstLine="480" w:firstLineChars="200"/>
        <w:rPr>
          <w:rFonts w:hint="eastAsia" w:ascii="宋体" w:hAnsi="宋体" w:cs="宋体"/>
          <w:sz w:val="24"/>
        </w:rPr>
      </w:pPr>
      <w:r>
        <w:rPr>
          <w:rFonts w:hint="eastAsia" w:ascii="宋体" w:hAnsi="宋体" w:cs="宋体"/>
          <w:sz w:val="24"/>
        </w:rPr>
        <w:t>3、本项目采用全电子化招标，不再收取竞争性磋商文件费。</w:t>
      </w:r>
    </w:p>
    <w:p w14:paraId="142BCBF4">
      <w:pPr>
        <w:spacing w:line="360" w:lineRule="auto"/>
        <w:ind w:firstLine="480" w:firstLineChars="200"/>
        <w:rPr>
          <w:rFonts w:hint="eastAsia" w:ascii="宋体" w:hAnsi="宋体" w:cs="宋体"/>
          <w:sz w:val="24"/>
        </w:rPr>
      </w:pPr>
      <w:r>
        <w:rPr>
          <w:rFonts w:hint="eastAsia" w:ascii="宋体" w:hAnsi="宋体" w:cs="宋体"/>
          <w:sz w:val="24"/>
        </w:rPr>
        <w:t>4、本项目为不见面开标项目，开标当日，供应商无需到开标现场参加开标会议，供应商应当在投标截止时间前，登陆不见面开标大厅选择登陆三门峡市公共资源电子招投标系统进行登陆（网址为http://gzjy.smx.gov.cn/）。在线准时参加开标活动并进行投标文件解密等。每位供应商的解 密时间为开标时间起 30 分钟内完成。因供应商原因未能解密、解密失败或解密超时的将被拒绝。</w:t>
      </w:r>
    </w:p>
    <w:p w14:paraId="1037F37C">
      <w:pPr>
        <w:spacing w:line="360" w:lineRule="auto"/>
        <w:ind w:firstLine="480" w:firstLineChars="200"/>
        <w:rPr>
          <w:rFonts w:hint="eastAsia" w:ascii="宋体" w:hAnsi="宋体" w:cs="宋体"/>
          <w:sz w:val="24"/>
        </w:rPr>
      </w:pPr>
      <w:r>
        <w:rPr>
          <w:rFonts w:hint="eastAsia" w:ascii="宋体" w:hAnsi="宋体" w:cs="宋体"/>
          <w:sz w:val="24"/>
        </w:rPr>
        <w:t>四、响应文件提交</w:t>
      </w:r>
    </w:p>
    <w:p w14:paraId="0DE86905">
      <w:pPr>
        <w:spacing w:line="360" w:lineRule="auto"/>
        <w:ind w:firstLine="480" w:firstLineChars="200"/>
        <w:rPr>
          <w:rFonts w:hint="eastAsia" w:ascii="宋体" w:hAnsi="宋体" w:cs="宋体"/>
          <w:sz w:val="24"/>
        </w:rPr>
      </w:pPr>
      <w:r>
        <w:rPr>
          <w:rFonts w:hint="eastAsia" w:ascii="宋体" w:hAnsi="宋体" w:cs="宋体"/>
          <w:sz w:val="24"/>
        </w:rPr>
        <w:t>1、截止时间</w:t>
      </w:r>
      <w:r>
        <w:rPr>
          <w:rFonts w:hint="eastAsia" w:ascii="宋体" w:hAnsi="宋体" w:eastAsia="宋体" w:cs="宋体"/>
          <w:sz w:val="24"/>
        </w:rPr>
        <w:t>：2024年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w:t>
      </w:r>
      <w:r>
        <w:rPr>
          <w:rFonts w:hint="eastAsia" w:ascii="宋体" w:hAnsi="宋体" w:cs="宋体"/>
          <w:sz w:val="24"/>
          <w:lang w:val="en-US" w:eastAsia="zh-CN"/>
        </w:rPr>
        <w:t>08</w:t>
      </w:r>
      <w:r>
        <w:rPr>
          <w:rFonts w:hint="eastAsia" w:ascii="宋体" w:hAnsi="宋体" w:eastAsia="宋体" w:cs="宋体"/>
          <w:sz w:val="24"/>
        </w:rPr>
        <w:t>时</w:t>
      </w:r>
      <w:r>
        <w:rPr>
          <w:rFonts w:hint="eastAsia" w:ascii="宋体" w:hAnsi="宋体" w:cs="宋体"/>
          <w:sz w:val="24"/>
          <w:lang w:val="en-US" w:eastAsia="zh-CN"/>
        </w:rPr>
        <w:t>30</w:t>
      </w:r>
      <w:r>
        <w:rPr>
          <w:rFonts w:hint="eastAsia" w:ascii="宋体" w:hAnsi="宋体" w:eastAsia="宋体" w:cs="宋体"/>
          <w:sz w:val="24"/>
        </w:rPr>
        <w:t>分</w:t>
      </w:r>
      <w:r>
        <w:rPr>
          <w:rFonts w:hint="eastAsia" w:ascii="宋体" w:hAnsi="宋体" w:cs="宋体"/>
          <w:sz w:val="24"/>
        </w:rPr>
        <w:t>（北京时间）</w:t>
      </w:r>
    </w:p>
    <w:p w14:paraId="63770778">
      <w:pPr>
        <w:spacing w:line="360" w:lineRule="auto"/>
        <w:ind w:firstLine="480" w:firstLineChars="200"/>
        <w:rPr>
          <w:rFonts w:hint="eastAsia" w:ascii="宋体" w:hAnsi="宋体" w:cs="宋体"/>
          <w:sz w:val="24"/>
        </w:rPr>
      </w:pPr>
      <w:r>
        <w:rPr>
          <w:rFonts w:hint="eastAsia" w:ascii="宋体" w:hAnsi="宋体" w:cs="宋体"/>
          <w:sz w:val="24"/>
        </w:rPr>
        <w:t>2、地点：三门峡市公共资源交易中心网（网址：http://gzjy.smx.gov.cn/）</w:t>
      </w:r>
    </w:p>
    <w:p w14:paraId="6AF66112">
      <w:pPr>
        <w:spacing w:line="360" w:lineRule="auto"/>
        <w:ind w:firstLine="480" w:firstLineChars="200"/>
        <w:rPr>
          <w:rFonts w:hint="eastAsia" w:ascii="宋体" w:hAnsi="宋体" w:cs="宋体"/>
          <w:sz w:val="24"/>
        </w:rPr>
      </w:pPr>
      <w:r>
        <w:rPr>
          <w:rFonts w:hint="eastAsia" w:ascii="宋体" w:hAnsi="宋体" w:cs="宋体"/>
          <w:sz w:val="24"/>
        </w:rPr>
        <w:t>五、磋商时间和地点</w:t>
      </w:r>
    </w:p>
    <w:p w14:paraId="0305DE53">
      <w:pPr>
        <w:spacing w:line="360" w:lineRule="auto"/>
        <w:ind w:firstLine="480" w:firstLineChars="200"/>
        <w:rPr>
          <w:rFonts w:hint="eastAsia" w:ascii="宋体" w:hAnsi="宋体" w:eastAsia="宋体" w:cs="宋体"/>
          <w:sz w:val="24"/>
        </w:rPr>
      </w:pPr>
      <w:r>
        <w:rPr>
          <w:rFonts w:hint="eastAsia" w:ascii="宋体" w:hAnsi="宋体" w:cs="宋体"/>
          <w:sz w:val="24"/>
        </w:rPr>
        <w:t>1.响应文件递交截止时间及磋商时间</w:t>
      </w:r>
      <w:r>
        <w:rPr>
          <w:rFonts w:hint="eastAsia" w:ascii="宋体" w:hAnsi="宋体" w:eastAsia="宋体" w:cs="宋体"/>
          <w:sz w:val="24"/>
        </w:rPr>
        <w:t>：2024年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w:t>
      </w:r>
      <w:r>
        <w:rPr>
          <w:rFonts w:hint="eastAsia" w:ascii="宋体" w:hAnsi="宋体" w:cs="宋体"/>
          <w:sz w:val="24"/>
          <w:lang w:val="en-US" w:eastAsia="zh-CN"/>
        </w:rPr>
        <w:t>08</w:t>
      </w:r>
      <w:r>
        <w:rPr>
          <w:rFonts w:hint="eastAsia" w:ascii="宋体" w:hAnsi="宋体" w:eastAsia="宋体" w:cs="宋体"/>
          <w:sz w:val="24"/>
        </w:rPr>
        <w:t>时</w:t>
      </w:r>
      <w:r>
        <w:rPr>
          <w:rFonts w:hint="eastAsia" w:ascii="宋体" w:hAnsi="宋体" w:cs="宋体"/>
          <w:sz w:val="24"/>
          <w:lang w:val="en-US" w:eastAsia="zh-CN"/>
        </w:rPr>
        <w:t>30</w:t>
      </w:r>
      <w:r>
        <w:rPr>
          <w:rFonts w:hint="eastAsia" w:ascii="宋体" w:hAnsi="宋体" w:eastAsia="宋体" w:cs="宋体"/>
          <w:sz w:val="24"/>
        </w:rPr>
        <w:t>分。</w:t>
      </w:r>
    </w:p>
    <w:p w14:paraId="2FBA02B7">
      <w:pPr>
        <w:spacing w:line="360" w:lineRule="auto"/>
        <w:ind w:firstLine="480" w:firstLineChars="200"/>
        <w:rPr>
          <w:rFonts w:hint="eastAsia" w:ascii="宋体" w:hAnsi="宋体" w:cs="宋体"/>
          <w:sz w:val="24"/>
        </w:rPr>
      </w:pPr>
      <w:r>
        <w:rPr>
          <w:rFonts w:hint="eastAsia" w:ascii="宋体" w:hAnsi="宋体" w:eastAsia="宋体" w:cs="宋体"/>
          <w:sz w:val="24"/>
        </w:rPr>
        <w:t>2.磋商地点：灵宝市公共资源交易中心开标</w:t>
      </w:r>
      <w:r>
        <w:rPr>
          <w:rFonts w:hint="eastAsia" w:ascii="宋体" w:hAnsi="宋体" w:eastAsia="宋体" w:cs="宋体"/>
          <w:sz w:val="24"/>
          <w:lang w:eastAsia="zh-CN"/>
        </w:rPr>
        <w:t>二</w:t>
      </w:r>
      <w:r>
        <w:rPr>
          <w:rFonts w:hint="eastAsia" w:ascii="宋体" w:hAnsi="宋体" w:eastAsia="宋体" w:cs="宋体"/>
          <w:sz w:val="24"/>
        </w:rPr>
        <w:t>室、评标</w:t>
      </w:r>
      <w:r>
        <w:rPr>
          <w:rFonts w:hint="eastAsia" w:ascii="宋体" w:hAnsi="宋体" w:eastAsia="宋体" w:cs="宋体"/>
          <w:sz w:val="24"/>
          <w:lang w:eastAsia="zh-CN"/>
        </w:rPr>
        <w:t>二</w:t>
      </w:r>
      <w:r>
        <w:rPr>
          <w:rFonts w:hint="eastAsia" w:ascii="宋体" w:hAnsi="宋体" w:eastAsia="宋体" w:cs="宋体"/>
          <w:sz w:val="24"/>
        </w:rPr>
        <w:t>室</w:t>
      </w:r>
      <w:r>
        <w:rPr>
          <w:rFonts w:hint="eastAsia" w:ascii="宋体" w:hAnsi="宋体" w:cs="宋体"/>
          <w:sz w:val="24"/>
        </w:rPr>
        <w:t>（灵宝市信用合作联社 12 楼）。</w:t>
      </w:r>
    </w:p>
    <w:p w14:paraId="08C3127C">
      <w:pPr>
        <w:spacing w:line="360" w:lineRule="auto"/>
        <w:ind w:firstLine="480" w:firstLineChars="200"/>
        <w:rPr>
          <w:rFonts w:hint="eastAsia" w:ascii="宋体" w:hAnsi="宋体" w:cs="宋体"/>
          <w:sz w:val="24"/>
        </w:rPr>
      </w:pPr>
      <w:r>
        <w:rPr>
          <w:rFonts w:hint="eastAsia" w:ascii="宋体" w:hAnsi="宋体" w:cs="宋体"/>
          <w:sz w:val="24"/>
        </w:rPr>
        <w:t>3、开标时，供应商必须持 CA 密钥在规定时间内对本单位的加密电子响应文件进行远程解密。本次项目实行远程不见面开标。</w:t>
      </w:r>
    </w:p>
    <w:p w14:paraId="05A87FD9">
      <w:pPr>
        <w:spacing w:line="360" w:lineRule="auto"/>
        <w:ind w:firstLine="480" w:firstLineChars="200"/>
        <w:rPr>
          <w:rFonts w:hint="eastAsia" w:ascii="宋体" w:hAnsi="宋体" w:cs="宋体"/>
          <w:sz w:val="24"/>
        </w:rPr>
      </w:pPr>
      <w:r>
        <w:rPr>
          <w:rFonts w:hint="eastAsia" w:ascii="宋体" w:hAnsi="宋体" w:cs="宋体"/>
          <w:sz w:val="24"/>
        </w:rPr>
        <w:t>六、磋商保证金</w:t>
      </w:r>
    </w:p>
    <w:p w14:paraId="3903D65A">
      <w:pPr>
        <w:spacing w:line="360" w:lineRule="auto"/>
        <w:ind w:firstLine="480" w:firstLineChars="200"/>
        <w:rPr>
          <w:rFonts w:hint="eastAsia" w:ascii="宋体" w:hAnsi="宋体" w:cs="宋体"/>
          <w:sz w:val="24"/>
        </w:rPr>
      </w:pPr>
      <w:r>
        <w:rPr>
          <w:rFonts w:hint="eastAsia" w:ascii="宋体" w:hAnsi="宋体" w:cs="宋体"/>
          <w:sz w:val="24"/>
        </w:rPr>
        <w:t>按照《河南省财政厅关于优化政府采购营商环境有关问题的通知》（豫财购[2019]4 号文）的要求本项目不再收取磋商保证金。</w:t>
      </w:r>
    </w:p>
    <w:p w14:paraId="1DE6D6A7">
      <w:pPr>
        <w:spacing w:line="360" w:lineRule="auto"/>
        <w:ind w:firstLine="480" w:firstLineChars="200"/>
        <w:rPr>
          <w:rFonts w:hint="eastAsia" w:ascii="宋体" w:hAnsi="宋体" w:cs="宋体"/>
          <w:sz w:val="24"/>
        </w:rPr>
      </w:pPr>
      <w:r>
        <w:rPr>
          <w:rFonts w:hint="eastAsia" w:ascii="宋体" w:hAnsi="宋体" w:cs="宋体"/>
          <w:sz w:val="24"/>
        </w:rPr>
        <w:t>七、其他</w:t>
      </w:r>
    </w:p>
    <w:p w14:paraId="0B9AE0AF">
      <w:pPr>
        <w:spacing w:line="360" w:lineRule="auto"/>
        <w:ind w:firstLine="480" w:firstLineChars="200"/>
        <w:rPr>
          <w:rFonts w:hint="eastAsia" w:ascii="宋体" w:hAnsi="宋体" w:cs="宋体"/>
          <w:sz w:val="24"/>
        </w:rPr>
      </w:pPr>
      <w:r>
        <w:rPr>
          <w:rFonts w:hint="eastAsia" w:ascii="宋体" w:hAnsi="宋体" w:cs="宋体"/>
          <w:sz w:val="24"/>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5757C15D">
      <w:pPr>
        <w:spacing w:line="360" w:lineRule="auto"/>
        <w:ind w:firstLine="480" w:firstLineChars="200"/>
        <w:rPr>
          <w:rFonts w:hint="eastAsia" w:ascii="宋体" w:hAnsi="宋体" w:cs="宋体"/>
          <w:sz w:val="24"/>
        </w:rPr>
      </w:pPr>
      <w:r>
        <w:rPr>
          <w:rFonts w:hint="eastAsia" w:ascii="宋体" w:hAnsi="宋体" w:cs="宋体"/>
          <w:sz w:val="24"/>
        </w:rPr>
        <w:t>2.本项目为电子化、无纸化交易项目，开标时不再接受任何纸质资料，为保证您能投标成功，请需仔细阅读竞争性磋商文件和三门峡市公共资源交易中心官网业务办理指南。</w:t>
      </w:r>
    </w:p>
    <w:p w14:paraId="4D491F06">
      <w:pPr>
        <w:spacing w:line="360" w:lineRule="auto"/>
        <w:ind w:firstLine="480" w:firstLineChars="200"/>
        <w:rPr>
          <w:rFonts w:hint="eastAsia" w:ascii="宋体" w:hAnsi="宋体" w:cs="宋体"/>
          <w:sz w:val="24"/>
        </w:rPr>
      </w:pPr>
      <w:r>
        <w:rPr>
          <w:rFonts w:hint="eastAsia" w:ascii="宋体" w:hAnsi="宋体" w:cs="宋体"/>
          <w:sz w:val="24"/>
        </w:rPr>
        <w:t>3.根据《河南省财政厅关于优化政府采购营商环境有关问题的通知》（豫财购【2019】4号）第6条的规定，磋商保证金不再收取。</w:t>
      </w:r>
    </w:p>
    <w:p w14:paraId="471E271F">
      <w:pPr>
        <w:spacing w:line="360" w:lineRule="auto"/>
        <w:ind w:firstLine="480" w:firstLineChars="200"/>
        <w:rPr>
          <w:rFonts w:hint="eastAsia" w:ascii="宋体" w:hAnsi="宋体" w:cs="宋体"/>
          <w:sz w:val="24"/>
        </w:rPr>
      </w:pPr>
      <w:r>
        <w:rPr>
          <w:rFonts w:hint="eastAsia" w:ascii="宋体" w:hAnsi="宋体" w:cs="宋体"/>
          <w:sz w:val="24"/>
        </w:rPr>
        <w:t>4.本项目实行资格后审，审查内容以投标文件为准，其上传资料真实性由供应商自行承担，同时，供应商请完善主体库。</w:t>
      </w:r>
    </w:p>
    <w:p w14:paraId="0C0C89D8">
      <w:pPr>
        <w:spacing w:line="360" w:lineRule="auto"/>
        <w:ind w:firstLine="480" w:firstLineChars="200"/>
        <w:rPr>
          <w:rFonts w:hint="eastAsia" w:ascii="宋体" w:hAnsi="宋体" w:cs="宋体"/>
          <w:sz w:val="24"/>
        </w:rPr>
      </w:pPr>
      <w:r>
        <w:rPr>
          <w:rFonts w:hint="eastAsia" w:ascii="宋体" w:hAnsi="宋体" w:cs="宋体"/>
          <w:sz w:val="24"/>
        </w:rPr>
        <w:t>5.评标打分部分：评标打分部分仍按照100分制原则进行，涉及到资格审查、企业荣誉、企业业绩等计分部分时，以投标单位自行上传到磋商响应文件中的相应内容为准。</w:t>
      </w:r>
    </w:p>
    <w:p w14:paraId="77C827D3">
      <w:pPr>
        <w:spacing w:line="360" w:lineRule="auto"/>
        <w:ind w:firstLine="480" w:firstLineChars="200"/>
        <w:rPr>
          <w:rFonts w:hint="eastAsia" w:ascii="宋体" w:hAnsi="宋体" w:cs="宋体"/>
          <w:sz w:val="24"/>
        </w:rPr>
      </w:pPr>
      <w:r>
        <w:rPr>
          <w:rFonts w:hint="eastAsia" w:ascii="宋体" w:hAnsi="宋体" w:cs="宋体"/>
          <w:sz w:val="24"/>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24D97B8B">
      <w:pPr>
        <w:spacing w:line="360" w:lineRule="auto"/>
        <w:ind w:firstLine="480" w:firstLineChars="200"/>
        <w:rPr>
          <w:rFonts w:hint="eastAsia" w:ascii="宋体" w:hAnsi="宋体" w:cs="宋体"/>
          <w:sz w:val="24"/>
        </w:rPr>
      </w:pPr>
      <w:r>
        <w:rPr>
          <w:rFonts w:hint="eastAsia" w:ascii="宋体" w:hAnsi="宋体" w:cs="宋体"/>
          <w:sz w:val="24"/>
        </w:rPr>
        <w:t>7.我单位（采购人）严格按三财购【2021】9号文要求的时限发布中标结果公告，发出中标通知书，签订采购合同，上传采购合同。</w:t>
      </w:r>
    </w:p>
    <w:p w14:paraId="0301EDE9">
      <w:pPr>
        <w:spacing w:line="360" w:lineRule="auto"/>
        <w:ind w:firstLine="480" w:firstLineChars="200"/>
        <w:rPr>
          <w:rFonts w:hint="eastAsia" w:ascii="宋体" w:hAnsi="宋体" w:cs="宋体"/>
          <w:sz w:val="24"/>
        </w:rPr>
      </w:pPr>
      <w:r>
        <w:rPr>
          <w:rFonts w:hint="eastAsia" w:ascii="宋体" w:hAnsi="宋体" w:cs="宋体"/>
          <w:sz w:val="24"/>
        </w:rPr>
        <w:t>八、发布竞争性磋商公告的媒介</w:t>
      </w:r>
    </w:p>
    <w:p w14:paraId="3A135520">
      <w:pPr>
        <w:spacing w:line="360" w:lineRule="auto"/>
        <w:ind w:firstLine="480" w:firstLineChars="200"/>
        <w:rPr>
          <w:rFonts w:hint="eastAsia" w:ascii="宋体" w:hAnsi="宋体" w:cs="宋体"/>
          <w:sz w:val="24"/>
        </w:rPr>
      </w:pPr>
      <w:r>
        <w:rPr>
          <w:rFonts w:hint="eastAsia" w:ascii="宋体" w:hAnsi="宋体" w:cs="宋体"/>
          <w:sz w:val="24"/>
        </w:rPr>
        <w:t>本次磋商公告同时在《河南省政府采购网》、《中国采购与招标网》</w:t>
      </w:r>
      <w:r>
        <w:rPr>
          <w:rFonts w:hint="eastAsia" w:ascii="宋体" w:hAnsi="宋体" w:cs="宋体"/>
          <w:sz w:val="24"/>
          <w:lang w:eastAsia="zh-CN"/>
        </w:rPr>
        <w:t>、</w:t>
      </w:r>
      <w:r>
        <w:rPr>
          <w:rFonts w:hint="eastAsia" w:ascii="宋体" w:hAnsi="宋体" w:cs="宋体"/>
          <w:sz w:val="24"/>
        </w:rPr>
        <w:t>《三门峡市公共资源交易中心网》上发布。</w:t>
      </w:r>
    </w:p>
    <w:p w14:paraId="289B1584">
      <w:pPr>
        <w:spacing w:line="360" w:lineRule="auto"/>
        <w:ind w:firstLine="480" w:firstLineChars="200"/>
        <w:rPr>
          <w:rFonts w:ascii="宋体" w:hAnsi="宋体" w:cs="宋体"/>
          <w:sz w:val="24"/>
        </w:rPr>
      </w:pPr>
      <w:r>
        <w:rPr>
          <w:rFonts w:hint="eastAsia" w:ascii="宋体" w:hAnsi="宋体" w:cs="宋体"/>
          <w:sz w:val="24"/>
          <w:lang w:eastAsia="zh-CN"/>
        </w:rPr>
        <w:t>九</w:t>
      </w:r>
      <w:r>
        <w:rPr>
          <w:rFonts w:hint="eastAsia" w:ascii="宋体" w:hAnsi="宋体" w:cs="宋体"/>
          <w:sz w:val="24"/>
        </w:rPr>
        <w:t>、联系方式：</w:t>
      </w:r>
    </w:p>
    <w:p w14:paraId="423CA53D">
      <w:pPr>
        <w:spacing w:line="360" w:lineRule="auto"/>
        <w:ind w:firstLine="480" w:firstLineChars="200"/>
        <w:rPr>
          <w:rFonts w:ascii="宋体" w:hAnsi="宋体" w:cs="宋体"/>
          <w:sz w:val="24"/>
        </w:rPr>
      </w:pPr>
      <w:r>
        <w:rPr>
          <w:rFonts w:hint="eastAsia" w:ascii="宋体" w:hAnsi="宋体" w:cs="宋体"/>
          <w:sz w:val="24"/>
        </w:rPr>
        <w:t>监督部门：灵宝市财政局政府采购监督管理科</w:t>
      </w:r>
    </w:p>
    <w:p w14:paraId="2D15B2C9">
      <w:pPr>
        <w:spacing w:line="360" w:lineRule="auto"/>
        <w:ind w:firstLine="480" w:firstLineChars="200"/>
        <w:rPr>
          <w:rFonts w:ascii="宋体" w:hAnsi="宋体" w:cs="宋体"/>
          <w:sz w:val="24"/>
        </w:rPr>
      </w:pPr>
      <w:r>
        <w:rPr>
          <w:rFonts w:hint="eastAsia" w:ascii="宋体" w:hAnsi="宋体" w:cs="宋体"/>
          <w:sz w:val="24"/>
        </w:rPr>
        <w:t>联系电话：0398-8852670</w:t>
      </w:r>
    </w:p>
    <w:p w14:paraId="34F721E1">
      <w:pPr>
        <w:spacing w:line="360" w:lineRule="auto"/>
        <w:ind w:firstLine="480" w:firstLineChars="200"/>
        <w:rPr>
          <w:rFonts w:ascii="宋体" w:hAnsi="宋体" w:cs="宋体"/>
          <w:sz w:val="24"/>
        </w:rPr>
      </w:pPr>
      <w:r>
        <w:rPr>
          <w:rFonts w:hint="eastAsia" w:ascii="宋体" w:hAnsi="宋体" w:cs="宋体"/>
          <w:sz w:val="24"/>
        </w:rPr>
        <w:t>监督部门：灵宝市教育体育局</w:t>
      </w:r>
    </w:p>
    <w:p w14:paraId="04BFD248">
      <w:pPr>
        <w:spacing w:line="360" w:lineRule="auto"/>
        <w:ind w:firstLine="480" w:firstLineChars="200"/>
      </w:pPr>
      <w:r>
        <w:rPr>
          <w:rFonts w:hint="eastAsia" w:ascii="宋体" w:hAnsi="宋体" w:cs="宋体"/>
          <w:sz w:val="24"/>
        </w:rPr>
        <w:t>联系电话：0398-8666249</w:t>
      </w:r>
    </w:p>
    <w:p w14:paraId="189E1276">
      <w:pPr>
        <w:spacing w:line="360" w:lineRule="auto"/>
        <w:ind w:firstLine="480" w:firstLineChars="200"/>
        <w:rPr>
          <w:rFonts w:ascii="宋体" w:hAnsi="宋体" w:cs="宋体"/>
          <w:sz w:val="24"/>
        </w:rPr>
      </w:pPr>
      <w:r>
        <w:rPr>
          <w:rFonts w:hint="eastAsia" w:ascii="宋体" w:hAnsi="宋体" w:cs="宋体"/>
          <w:sz w:val="24"/>
        </w:rPr>
        <w:t>采购人：灵宝市实验高级中学</w:t>
      </w:r>
    </w:p>
    <w:p w14:paraId="37255214">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地址：灵宝市长安路</w:t>
      </w:r>
    </w:p>
    <w:p w14:paraId="6F472D13">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联系人：王先生</w:t>
      </w:r>
    </w:p>
    <w:p w14:paraId="3DD08D5F">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联系电话：13839861617</w:t>
      </w:r>
    </w:p>
    <w:p w14:paraId="4D5F0416">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eastAsia="宋体" w:cs="宋体"/>
          <w:sz w:val="24"/>
          <w:lang w:val="en-US" w:eastAsia="zh-CN"/>
        </w:rPr>
        <w:t>天寻国际工程咨询有限公司</w:t>
      </w:r>
    </w:p>
    <w:p w14:paraId="2AB574A8">
      <w:pPr>
        <w:spacing w:line="360" w:lineRule="auto"/>
        <w:ind w:firstLine="480" w:firstLineChars="200"/>
        <w:rPr>
          <w:rFonts w:hint="eastAsia" w:ascii="宋体" w:hAnsi="宋体" w:eastAsia="宋体" w:cs="宋体"/>
          <w:sz w:val="24"/>
        </w:rPr>
      </w:pPr>
      <w:r>
        <w:rPr>
          <w:rFonts w:hint="eastAsia" w:ascii="宋体" w:hAnsi="宋体" w:eastAsia="宋体" w:cs="宋体"/>
          <w:sz w:val="24"/>
        </w:rPr>
        <w:t>公司地址：</w:t>
      </w:r>
      <w:r>
        <w:rPr>
          <w:rFonts w:hint="eastAsia" w:ascii="宋体" w:hAnsi="宋体" w:eastAsia="宋体" w:cs="宋体"/>
          <w:sz w:val="24"/>
          <w:lang w:val="en-US" w:eastAsia="zh-CN"/>
        </w:rPr>
        <w:t>河南省安阳市文峰区文峰大道与兴泰路交叉口西北角财富公馆西单元25楼</w:t>
      </w:r>
      <w:r>
        <w:rPr>
          <w:rFonts w:hint="eastAsia" w:ascii="宋体" w:hAnsi="宋体" w:eastAsia="宋体" w:cs="宋体"/>
          <w:sz w:val="24"/>
        </w:rPr>
        <w:t xml:space="preserve"> </w:t>
      </w:r>
    </w:p>
    <w:p w14:paraId="7073AC4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 系 人：赵先生</w:t>
      </w:r>
    </w:p>
    <w:p w14:paraId="1D046C01">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联系电话：18939096538</w:t>
      </w:r>
    </w:p>
    <w:p w14:paraId="222643FB">
      <w:pPr>
        <w:spacing w:line="360" w:lineRule="auto"/>
        <w:ind w:firstLine="480" w:firstLineChars="200"/>
        <w:rPr>
          <w:rFonts w:ascii="宋体" w:hAnsi="宋体" w:cs="宋体"/>
          <w:sz w:val="24"/>
        </w:rPr>
      </w:pPr>
    </w:p>
    <w:p w14:paraId="0B83EE9A">
      <w:pPr>
        <w:spacing w:line="360" w:lineRule="auto"/>
        <w:jc w:val="center"/>
        <w:outlineLvl w:val="0"/>
        <w:rPr>
          <w:rFonts w:hint="eastAsia" w:ascii="黑体" w:hAnsi="黑体" w:eastAsia="黑体"/>
          <w:b/>
          <w:color w:val="000000"/>
          <w:sz w:val="36"/>
          <w:szCs w:val="36"/>
        </w:rPr>
      </w:pPr>
      <w:bookmarkStart w:id="15" w:name="_Toc99007040"/>
      <w:bookmarkStart w:id="16" w:name="_Toc24901"/>
      <w:bookmarkStart w:id="17" w:name="_Toc218"/>
      <w:bookmarkStart w:id="18" w:name="_Toc17501"/>
      <w:bookmarkStart w:id="19" w:name="_Toc57277877"/>
    </w:p>
    <w:p w14:paraId="38CC7FD7">
      <w:pPr>
        <w:spacing w:line="360" w:lineRule="auto"/>
        <w:jc w:val="center"/>
        <w:outlineLvl w:val="0"/>
        <w:rPr>
          <w:rFonts w:hint="eastAsia" w:ascii="黑体" w:hAnsi="黑体" w:eastAsia="黑体"/>
          <w:b/>
          <w:color w:val="000000"/>
          <w:sz w:val="36"/>
          <w:szCs w:val="36"/>
        </w:rPr>
      </w:pPr>
    </w:p>
    <w:p w14:paraId="6BB38AE7">
      <w:pPr>
        <w:spacing w:line="360" w:lineRule="auto"/>
        <w:jc w:val="center"/>
        <w:outlineLvl w:val="0"/>
        <w:rPr>
          <w:rFonts w:ascii="黑体" w:hAnsi="黑体" w:eastAsia="黑体"/>
          <w:b/>
          <w:color w:val="000000"/>
          <w:sz w:val="36"/>
          <w:szCs w:val="36"/>
        </w:rPr>
      </w:pPr>
      <w:r>
        <w:rPr>
          <w:rFonts w:hint="eastAsia" w:ascii="黑体" w:hAnsi="黑体" w:eastAsia="黑体"/>
          <w:b/>
          <w:color w:val="000000"/>
          <w:sz w:val="36"/>
          <w:szCs w:val="36"/>
        </w:rPr>
        <w:t>第二章  投标须知</w:t>
      </w:r>
      <w:bookmarkEnd w:id="10"/>
      <w:bookmarkEnd w:id="11"/>
      <w:bookmarkEnd w:id="12"/>
      <w:bookmarkEnd w:id="13"/>
      <w:bookmarkEnd w:id="14"/>
      <w:bookmarkEnd w:id="15"/>
      <w:bookmarkEnd w:id="16"/>
      <w:bookmarkEnd w:id="17"/>
      <w:bookmarkEnd w:id="18"/>
      <w:bookmarkEnd w:id="19"/>
    </w:p>
    <w:p w14:paraId="20003A06">
      <w:pPr>
        <w:spacing w:line="360" w:lineRule="auto"/>
        <w:jc w:val="center"/>
        <w:rPr>
          <w:rFonts w:ascii="宋体" w:hAnsi="宋体" w:cs="宋体"/>
          <w:b/>
          <w:bCs/>
          <w:color w:val="000000"/>
          <w:kern w:val="10"/>
          <w:sz w:val="28"/>
          <w:szCs w:val="28"/>
        </w:rPr>
      </w:pPr>
      <w:bookmarkStart w:id="20" w:name="_Toc516499645"/>
      <w:bookmarkStart w:id="21" w:name="_Toc57277878"/>
      <w:bookmarkStart w:id="22" w:name="_Toc24144"/>
      <w:bookmarkStart w:id="23" w:name="_Toc5159"/>
      <w:bookmarkStart w:id="24" w:name="_Toc99007041"/>
      <w:r>
        <w:rPr>
          <w:rFonts w:hint="eastAsia" w:ascii="宋体" w:hAnsi="宋体" w:cs="宋体"/>
          <w:b/>
          <w:bCs/>
          <w:color w:val="000000"/>
          <w:kern w:val="10"/>
          <w:sz w:val="28"/>
          <w:szCs w:val="28"/>
        </w:rPr>
        <w:t>投标人须知前附表</w:t>
      </w:r>
      <w:bookmarkEnd w:id="20"/>
      <w:bookmarkEnd w:id="21"/>
      <w:bookmarkEnd w:id="22"/>
      <w:bookmarkEnd w:id="23"/>
      <w:bookmarkEnd w:id="24"/>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19"/>
        <w:gridCol w:w="5714"/>
      </w:tblGrid>
      <w:tr w14:paraId="7925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3982701C">
            <w:pPr>
              <w:spacing w:line="360" w:lineRule="auto"/>
              <w:jc w:val="center"/>
              <w:rPr>
                <w:rFonts w:ascii="宋体" w:hAnsi="宋体" w:cs="宋体"/>
                <w:color w:val="000000"/>
                <w:kern w:val="10"/>
                <w:sz w:val="24"/>
              </w:rPr>
            </w:pPr>
            <w:r>
              <w:rPr>
                <w:rFonts w:hint="eastAsia" w:ascii="宋体" w:hAnsi="宋体" w:cs="宋体"/>
                <w:color w:val="000000"/>
                <w:kern w:val="10"/>
                <w:sz w:val="24"/>
              </w:rPr>
              <w:t>序号</w:t>
            </w:r>
          </w:p>
        </w:tc>
        <w:tc>
          <w:tcPr>
            <w:tcW w:w="2719" w:type="dxa"/>
            <w:noWrap w:val="0"/>
            <w:vAlign w:val="center"/>
          </w:tcPr>
          <w:p w14:paraId="6AEF83F5">
            <w:pPr>
              <w:spacing w:line="360" w:lineRule="auto"/>
              <w:jc w:val="center"/>
              <w:rPr>
                <w:rFonts w:ascii="宋体" w:hAnsi="宋体" w:cs="宋体"/>
                <w:color w:val="000000"/>
                <w:kern w:val="10"/>
                <w:sz w:val="24"/>
              </w:rPr>
            </w:pPr>
            <w:r>
              <w:rPr>
                <w:rFonts w:hint="eastAsia" w:ascii="宋体" w:hAnsi="宋体" w:cs="宋体"/>
                <w:color w:val="000000"/>
                <w:kern w:val="10"/>
                <w:sz w:val="24"/>
              </w:rPr>
              <w:t>条 款 名 称</w:t>
            </w:r>
          </w:p>
        </w:tc>
        <w:tc>
          <w:tcPr>
            <w:tcW w:w="5714" w:type="dxa"/>
            <w:noWrap w:val="0"/>
            <w:vAlign w:val="center"/>
          </w:tcPr>
          <w:p w14:paraId="6E893CAA">
            <w:pPr>
              <w:spacing w:line="360" w:lineRule="auto"/>
              <w:jc w:val="center"/>
              <w:rPr>
                <w:rFonts w:ascii="宋体" w:hAnsi="宋体" w:cs="宋体"/>
                <w:color w:val="000000"/>
                <w:kern w:val="10"/>
                <w:sz w:val="24"/>
              </w:rPr>
            </w:pPr>
            <w:r>
              <w:rPr>
                <w:rFonts w:hint="eastAsia" w:ascii="宋体" w:hAnsi="宋体" w:cs="宋体"/>
                <w:color w:val="000000"/>
                <w:kern w:val="10"/>
                <w:sz w:val="24"/>
              </w:rPr>
              <w:t>编  列  内  容</w:t>
            </w:r>
          </w:p>
        </w:tc>
      </w:tr>
      <w:tr w14:paraId="7C5D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6ABE75D">
            <w:pPr>
              <w:spacing w:line="360" w:lineRule="auto"/>
              <w:jc w:val="center"/>
              <w:rPr>
                <w:rFonts w:ascii="宋体" w:hAnsi="宋体" w:cs="宋体"/>
                <w:color w:val="000000"/>
                <w:kern w:val="10"/>
                <w:sz w:val="24"/>
              </w:rPr>
            </w:pPr>
            <w:r>
              <w:rPr>
                <w:rFonts w:hint="eastAsia" w:ascii="宋体" w:hAnsi="宋体" w:cs="宋体"/>
                <w:color w:val="000000"/>
                <w:kern w:val="10"/>
                <w:sz w:val="24"/>
              </w:rPr>
              <w:t>1.1.2</w:t>
            </w:r>
          </w:p>
        </w:tc>
        <w:tc>
          <w:tcPr>
            <w:tcW w:w="2719" w:type="dxa"/>
            <w:noWrap w:val="0"/>
            <w:vAlign w:val="center"/>
          </w:tcPr>
          <w:p w14:paraId="3B36FD6E">
            <w:pPr>
              <w:spacing w:line="360" w:lineRule="auto"/>
              <w:jc w:val="center"/>
              <w:rPr>
                <w:rFonts w:ascii="宋体" w:hAnsi="宋体" w:cs="宋体"/>
                <w:color w:val="000000"/>
                <w:kern w:val="10"/>
                <w:sz w:val="24"/>
              </w:rPr>
            </w:pPr>
            <w:r>
              <w:rPr>
                <w:rFonts w:hint="eastAsia" w:ascii="宋体" w:hAnsi="宋体" w:cs="宋体"/>
                <w:color w:val="000000"/>
                <w:kern w:val="10"/>
                <w:sz w:val="24"/>
              </w:rPr>
              <w:t>采购人</w:t>
            </w:r>
          </w:p>
        </w:tc>
        <w:tc>
          <w:tcPr>
            <w:tcW w:w="5714" w:type="dxa"/>
            <w:noWrap w:val="0"/>
            <w:vAlign w:val="center"/>
          </w:tcPr>
          <w:p w14:paraId="18E2B29E">
            <w:pPr>
              <w:spacing w:line="360" w:lineRule="auto"/>
              <w:rPr>
                <w:rFonts w:ascii="宋体" w:hAnsi="宋体"/>
                <w:bCs/>
                <w:color w:val="000000"/>
                <w:sz w:val="24"/>
              </w:rPr>
            </w:pPr>
            <w:r>
              <w:rPr>
                <w:rFonts w:hint="eastAsia" w:ascii="宋体" w:hAnsi="宋体"/>
                <w:bCs/>
                <w:color w:val="000000"/>
                <w:sz w:val="24"/>
              </w:rPr>
              <w:t>采购人：灵宝市实验高级中学</w:t>
            </w:r>
          </w:p>
          <w:p w14:paraId="47F7DFEA">
            <w:pPr>
              <w:spacing w:line="360" w:lineRule="auto"/>
              <w:rPr>
                <w:rFonts w:ascii="宋体" w:hAnsi="宋体"/>
                <w:bCs/>
                <w:color w:val="000000"/>
                <w:sz w:val="24"/>
              </w:rPr>
            </w:pPr>
            <w:r>
              <w:rPr>
                <w:rFonts w:hint="eastAsia" w:ascii="宋体" w:hAnsi="宋体"/>
                <w:bCs/>
                <w:color w:val="000000"/>
                <w:sz w:val="24"/>
              </w:rPr>
              <w:t>地址：灵宝市长安路</w:t>
            </w:r>
          </w:p>
          <w:p w14:paraId="2FBE3AAD">
            <w:pPr>
              <w:spacing w:line="360" w:lineRule="auto"/>
              <w:rPr>
                <w:rFonts w:ascii="宋体" w:hAnsi="宋体"/>
                <w:bCs/>
                <w:color w:val="000000"/>
                <w:sz w:val="24"/>
              </w:rPr>
            </w:pPr>
            <w:r>
              <w:rPr>
                <w:rFonts w:hint="eastAsia" w:ascii="宋体" w:hAnsi="宋体"/>
                <w:bCs/>
                <w:color w:val="000000"/>
                <w:sz w:val="24"/>
              </w:rPr>
              <w:t>联系人：王先生</w:t>
            </w:r>
          </w:p>
          <w:p w14:paraId="0727DDAA">
            <w:pPr>
              <w:spacing w:line="360" w:lineRule="auto"/>
              <w:rPr>
                <w:rFonts w:ascii="宋体" w:hAnsi="宋体"/>
                <w:bCs/>
                <w:color w:val="000000"/>
                <w:sz w:val="24"/>
              </w:rPr>
            </w:pPr>
            <w:r>
              <w:rPr>
                <w:rFonts w:hint="eastAsia" w:ascii="宋体" w:hAnsi="宋体"/>
                <w:bCs/>
                <w:color w:val="000000"/>
                <w:sz w:val="24"/>
              </w:rPr>
              <w:t>联系电话：13839861617</w:t>
            </w:r>
          </w:p>
        </w:tc>
      </w:tr>
      <w:tr w14:paraId="6E80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66D13E8">
            <w:pPr>
              <w:spacing w:line="360" w:lineRule="auto"/>
              <w:jc w:val="center"/>
              <w:rPr>
                <w:rFonts w:ascii="宋体" w:hAnsi="宋体" w:cs="宋体"/>
                <w:color w:val="000000"/>
                <w:kern w:val="10"/>
                <w:sz w:val="24"/>
              </w:rPr>
            </w:pPr>
            <w:r>
              <w:rPr>
                <w:rFonts w:hint="eastAsia" w:ascii="宋体" w:hAnsi="宋体" w:cs="宋体"/>
                <w:color w:val="000000"/>
                <w:kern w:val="10"/>
                <w:sz w:val="24"/>
              </w:rPr>
              <w:t>1.1.3</w:t>
            </w:r>
          </w:p>
        </w:tc>
        <w:tc>
          <w:tcPr>
            <w:tcW w:w="2719" w:type="dxa"/>
            <w:noWrap w:val="0"/>
            <w:vAlign w:val="center"/>
          </w:tcPr>
          <w:p w14:paraId="2DDF8148">
            <w:pPr>
              <w:spacing w:line="360" w:lineRule="auto"/>
              <w:jc w:val="center"/>
              <w:rPr>
                <w:rFonts w:ascii="宋体" w:hAnsi="宋体" w:cs="宋体"/>
                <w:color w:val="000000"/>
                <w:kern w:val="10"/>
                <w:sz w:val="24"/>
              </w:rPr>
            </w:pPr>
            <w:r>
              <w:rPr>
                <w:rFonts w:hint="eastAsia" w:ascii="宋体" w:hAnsi="宋体" w:cs="宋体"/>
                <w:color w:val="000000"/>
                <w:kern w:val="10"/>
                <w:sz w:val="24"/>
              </w:rPr>
              <w:t>代理机构</w:t>
            </w:r>
          </w:p>
        </w:tc>
        <w:tc>
          <w:tcPr>
            <w:tcW w:w="5714" w:type="dxa"/>
            <w:noWrap w:val="0"/>
            <w:vAlign w:val="center"/>
          </w:tcPr>
          <w:p w14:paraId="5786975B">
            <w:pPr>
              <w:spacing w:line="360" w:lineRule="auto"/>
              <w:rPr>
                <w:rFonts w:hint="eastAsia" w:eastAsia="宋体" w:cs="楷体"/>
                <w:sz w:val="24"/>
                <w:lang w:eastAsia="zh-CN"/>
              </w:rPr>
            </w:pPr>
            <w:r>
              <w:rPr>
                <w:rFonts w:hint="eastAsia" w:cs="楷体"/>
                <w:sz w:val="24"/>
              </w:rPr>
              <w:t>代理机构：</w:t>
            </w:r>
            <w:r>
              <w:rPr>
                <w:rFonts w:hint="eastAsia" w:ascii="宋体" w:hAnsi="宋体" w:eastAsia="宋体" w:cs="宋体"/>
                <w:sz w:val="24"/>
                <w:lang w:val="en-US" w:eastAsia="zh-CN"/>
              </w:rPr>
              <w:t>天寻国际工程咨询有限公司</w:t>
            </w:r>
          </w:p>
          <w:p w14:paraId="5DEDF7D6">
            <w:pPr>
              <w:spacing w:line="360" w:lineRule="auto"/>
              <w:rPr>
                <w:rFonts w:hint="eastAsia" w:ascii="宋体" w:hAnsi="宋体"/>
                <w:color w:val="000000"/>
                <w:sz w:val="24"/>
                <w:u w:val="none"/>
                <w:lang w:val="en-US" w:eastAsia="zh-CN"/>
              </w:rPr>
            </w:pPr>
            <w:r>
              <w:rPr>
                <w:rFonts w:hint="eastAsia" w:ascii="宋体" w:hAnsi="宋体"/>
                <w:color w:val="000000"/>
                <w:sz w:val="24"/>
                <w:u w:val="none"/>
              </w:rPr>
              <w:t>联 系 人：</w:t>
            </w:r>
            <w:r>
              <w:rPr>
                <w:rFonts w:hint="eastAsia" w:ascii="宋体" w:hAnsi="宋体" w:eastAsia="宋体" w:cs="宋体"/>
                <w:sz w:val="24"/>
                <w:lang w:val="en-US" w:eastAsia="zh-CN"/>
              </w:rPr>
              <w:t>赵先生</w:t>
            </w:r>
          </w:p>
          <w:p w14:paraId="1C665CF9">
            <w:pPr>
              <w:spacing w:line="360" w:lineRule="auto"/>
              <w:rPr>
                <w:rFonts w:ascii="宋体" w:hAnsi="宋体"/>
                <w:color w:val="000000"/>
                <w:sz w:val="24"/>
                <w:u w:val="single"/>
              </w:rPr>
            </w:pPr>
            <w:r>
              <w:rPr>
                <w:rFonts w:hint="eastAsia" w:ascii="宋体" w:hAnsi="宋体"/>
                <w:color w:val="000000"/>
                <w:sz w:val="24"/>
                <w:u w:val="none"/>
              </w:rPr>
              <w:t>联系电话：</w:t>
            </w:r>
            <w:r>
              <w:rPr>
                <w:rFonts w:hint="eastAsia" w:ascii="宋体" w:hAnsi="宋体" w:eastAsia="宋体" w:cs="宋体"/>
                <w:sz w:val="24"/>
                <w:lang w:val="en-US" w:eastAsia="zh-CN"/>
              </w:rPr>
              <w:t>18939096538</w:t>
            </w:r>
          </w:p>
        </w:tc>
      </w:tr>
      <w:tr w14:paraId="2930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F85C68C">
            <w:pPr>
              <w:spacing w:line="360" w:lineRule="auto"/>
              <w:jc w:val="center"/>
              <w:rPr>
                <w:rFonts w:ascii="宋体" w:hAnsi="宋体" w:cs="宋体"/>
                <w:color w:val="000000"/>
                <w:kern w:val="10"/>
                <w:sz w:val="24"/>
              </w:rPr>
            </w:pPr>
            <w:r>
              <w:rPr>
                <w:rFonts w:hint="eastAsia" w:ascii="宋体" w:hAnsi="宋体" w:cs="宋体"/>
                <w:color w:val="000000"/>
                <w:kern w:val="10"/>
                <w:sz w:val="24"/>
              </w:rPr>
              <w:t>1.1.4</w:t>
            </w:r>
          </w:p>
        </w:tc>
        <w:tc>
          <w:tcPr>
            <w:tcW w:w="2719" w:type="dxa"/>
            <w:noWrap w:val="0"/>
            <w:vAlign w:val="center"/>
          </w:tcPr>
          <w:p w14:paraId="11E6B4A5">
            <w:pPr>
              <w:spacing w:line="360" w:lineRule="auto"/>
              <w:jc w:val="center"/>
              <w:rPr>
                <w:rFonts w:ascii="宋体" w:hAnsi="宋体" w:cs="宋体"/>
                <w:color w:val="000000"/>
                <w:kern w:val="10"/>
                <w:sz w:val="24"/>
              </w:rPr>
            </w:pPr>
            <w:r>
              <w:rPr>
                <w:rFonts w:hint="eastAsia" w:ascii="宋体" w:hAnsi="宋体" w:cs="宋体"/>
                <w:color w:val="000000"/>
                <w:kern w:val="10"/>
                <w:sz w:val="24"/>
              </w:rPr>
              <w:t>项目名称</w:t>
            </w:r>
          </w:p>
        </w:tc>
        <w:tc>
          <w:tcPr>
            <w:tcW w:w="5714" w:type="dxa"/>
            <w:noWrap w:val="0"/>
            <w:vAlign w:val="center"/>
          </w:tcPr>
          <w:p w14:paraId="017D0B3E">
            <w:pPr>
              <w:spacing w:line="360" w:lineRule="auto"/>
              <w:rPr>
                <w:rFonts w:hint="eastAsia" w:ascii="宋体" w:hAnsi="宋体" w:eastAsia="宋体" w:cs="宋体"/>
                <w:color w:val="000000"/>
                <w:kern w:val="10"/>
                <w:sz w:val="24"/>
                <w:lang w:eastAsia="zh-CN"/>
              </w:rPr>
            </w:pPr>
            <w:r>
              <w:rPr>
                <w:rFonts w:hint="eastAsia" w:ascii="宋体" w:hAnsi="宋体" w:eastAsia="宋体" w:cs="宋体"/>
                <w:sz w:val="24"/>
                <w:lang w:eastAsia="zh-CN"/>
              </w:rPr>
              <w:t>灵宝市实验高级中学一体机等采购项目</w:t>
            </w:r>
          </w:p>
        </w:tc>
      </w:tr>
      <w:tr w14:paraId="1136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7DC0B40">
            <w:pPr>
              <w:spacing w:line="360" w:lineRule="auto"/>
              <w:jc w:val="center"/>
              <w:rPr>
                <w:rFonts w:ascii="宋体" w:hAnsi="宋体" w:cs="宋体"/>
                <w:color w:val="000000"/>
                <w:kern w:val="10"/>
                <w:sz w:val="24"/>
              </w:rPr>
            </w:pPr>
            <w:r>
              <w:rPr>
                <w:rFonts w:hint="eastAsia" w:ascii="宋体" w:hAnsi="宋体" w:cs="宋体"/>
                <w:color w:val="000000"/>
                <w:kern w:val="10"/>
                <w:sz w:val="24"/>
              </w:rPr>
              <w:t>1.2.1</w:t>
            </w:r>
          </w:p>
        </w:tc>
        <w:tc>
          <w:tcPr>
            <w:tcW w:w="2719" w:type="dxa"/>
            <w:noWrap w:val="0"/>
            <w:vAlign w:val="center"/>
          </w:tcPr>
          <w:p w14:paraId="3FAAD3A5">
            <w:pPr>
              <w:spacing w:line="360" w:lineRule="auto"/>
              <w:jc w:val="center"/>
              <w:rPr>
                <w:rFonts w:ascii="宋体" w:hAnsi="宋体" w:cs="宋体"/>
                <w:color w:val="000000"/>
                <w:kern w:val="10"/>
                <w:sz w:val="24"/>
              </w:rPr>
            </w:pPr>
            <w:r>
              <w:rPr>
                <w:rFonts w:hint="eastAsia" w:ascii="宋体" w:hAnsi="宋体" w:cs="宋体"/>
                <w:color w:val="000000"/>
                <w:kern w:val="10"/>
                <w:sz w:val="24"/>
              </w:rPr>
              <w:t>资金来源</w:t>
            </w:r>
          </w:p>
        </w:tc>
        <w:tc>
          <w:tcPr>
            <w:tcW w:w="5714" w:type="dxa"/>
            <w:noWrap w:val="0"/>
            <w:vAlign w:val="center"/>
          </w:tcPr>
          <w:p w14:paraId="278865DF">
            <w:pPr>
              <w:spacing w:line="360" w:lineRule="auto"/>
              <w:rPr>
                <w:rFonts w:ascii="宋体" w:hAnsi="宋体" w:cs="宋体"/>
                <w:color w:val="000000"/>
                <w:kern w:val="10"/>
                <w:sz w:val="24"/>
              </w:rPr>
            </w:pPr>
            <w:r>
              <w:rPr>
                <w:rFonts w:hint="eastAsia" w:cs="楷体"/>
                <w:sz w:val="24"/>
              </w:rPr>
              <w:t>财政资金</w:t>
            </w:r>
          </w:p>
        </w:tc>
      </w:tr>
      <w:tr w14:paraId="71E9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201D96F">
            <w:pPr>
              <w:spacing w:line="360" w:lineRule="auto"/>
              <w:jc w:val="center"/>
              <w:rPr>
                <w:rFonts w:ascii="宋体" w:hAnsi="宋体" w:cs="宋体"/>
                <w:color w:val="000000"/>
                <w:kern w:val="10"/>
                <w:sz w:val="24"/>
              </w:rPr>
            </w:pPr>
            <w:r>
              <w:rPr>
                <w:rFonts w:hint="eastAsia" w:ascii="宋体" w:hAnsi="宋体" w:cs="宋体"/>
                <w:color w:val="000000"/>
                <w:kern w:val="10"/>
                <w:sz w:val="24"/>
              </w:rPr>
              <w:t>1.3.1</w:t>
            </w:r>
          </w:p>
        </w:tc>
        <w:tc>
          <w:tcPr>
            <w:tcW w:w="2719" w:type="dxa"/>
            <w:noWrap w:val="0"/>
            <w:vAlign w:val="center"/>
          </w:tcPr>
          <w:p w14:paraId="6A6666ED">
            <w:pPr>
              <w:spacing w:line="360" w:lineRule="auto"/>
              <w:jc w:val="center"/>
              <w:rPr>
                <w:rFonts w:ascii="宋体" w:hAnsi="宋体" w:cs="宋体"/>
                <w:color w:val="000000"/>
                <w:kern w:val="10"/>
                <w:sz w:val="24"/>
              </w:rPr>
            </w:pPr>
            <w:r>
              <w:rPr>
                <w:rFonts w:hint="eastAsia" w:ascii="宋体" w:hAnsi="宋体" w:cs="宋体"/>
                <w:sz w:val="24"/>
              </w:rPr>
              <w:t>采购内容</w:t>
            </w:r>
          </w:p>
        </w:tc>
        <w:tc>
          <w:tcPr>
            <w:tcW w:w="5714" w:type="dxa"/>
            <w:noWrap w:val="0"/>
            <w:vAlign w:val="center"/>
          </w:tcPr>
          <w:p w14:paraId="63A28A7E">
            <w:pPr>
              <w:spacing w:line="360" w:lineRule="auto"/>
              <w:rPr>
                <w:rFonts w:ascii="宋体" w:hAnsi="宋体"/>
                <w:color w:val="000000"/>
                <w:sz w:val="24"/>
                <w:szCs w:val="20"/>
              </w:rPr>
            </w:pPr>
            <w:r>
              <w:rPr>
                <w:rFonts w:hint="eastAsia" w:cs="楷体"/>
                <w:sz w:val="24"/>
                <w:lang w:val="en-US" w:eastAsia="zh-CN"/>
              </w:rPr>
              <w:t>采购65寸智能交互教学触控一体机9台，86寸智能交互教学触控一体机5台，98寸智慧黑板及配套设备2套</w:t>
            </w:r>
            <w:r>
              <w:rPr>
                <w:rFonts w:hint="eastAsia" w:cs="楷体"/>
                <w:sz w:val="24"/>
              </w:rPr>
              <w:t>的采购、安装 、调试、验收、后期维护、保修等直至交付使用的全部内容。（具体参数内容及要求详见竞争性磋商文件）</w:t>
            </w:r>
          </w:p>
        </w:tc>
      </w:tr>
      <w:tr w14:paraId="0CC7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9595D45">
            <w:pPr>
              <w:spacing w:line="360" w:lineRule="auto"/>
              <w:jc w:val="center"/>
              <w:rPr>
                <w:rFonts w:ascii="宋体" w:hAnsi="宋体" w:cs="宋体"/>
                <w:color w:val="000000"/>
                <w:kern w:val="10"/>
                <w:sz w:val="24"/>
              </w:rPr>
            </w:pPr>
            <w:r>
              <w:rPr>
                <w:rFonts w:hint="eastAsia" w:ascii="宋体" w:hAnsi="宋体" w:cs="宋体"/>
                <w:color w:val="000000"/>
                <w:kern w:val="10"/>
                <w:sz w:val="24"/>
              </w:rPr>
              <w:t>1.3.2</w:t>
            </w:r>
          </w:p>
        </w:tc>
        <w:tc>
          <w:tcPr>
            <w:tcW w:w="2719" w:type="dxa"/>
            <w:noWrap w:val="0"/>
            <w:vAlign w:val="center"/>
          </w:tcPr>
          <w:p w14:paraId="1C7D1F70">
            <w:pPr>
              <w:spacing w:line="360" w:lineRule="auto"/>
              <w:jc w:val="center"/>
              <w:rPr>
                <w:rFonts w:ascii="宋体" w:hAnsi="宋体" w:cs="宋体"/>
                <w:color w:val="000000"/>
                <w:kern w:val="10"/>
                <w:sz w:val="24"/>
              </w:rPr>
            </w:pPr>
            <w:r>
              <w:rPr>
                <w:rFonts w:hint="eastAsia" w:cs="楷体"/>
                <w:sz w:val="24"/>
              </w:rPr>
              <w:t>交货期</w:t>
            </w:r>
          </w:p>
        </w:tc>
        <w:tc>
          <w:tcPr>
            <w:tcW w:w="5714" w:type="dxa"/>
            <w:noWrap w:val="0"/>
            <w:vAlign w:val="center"/>
          </w:tcPr>
          <w:p w14:paraId="53C19439">
            <w:pPr>
              <w:spacing w:line="360" w:lineRule="auto"/>
              <w:rPr>
                <w:rFonts w:ascii="宋体" w:hAnsi="宋体"/>
                <w:color w:val="000000"/>
                <w:sz w:val="24"/>
                <w:szCs w:val="20"/>
              </w:rPr>
            </w:pPr>
            <w:r>
              <w:rPr>
                <w:rFonts w:hint="eastAsia" w:ascii="宋体" w:hAnsi="宋体" w:cs="宋体"/>
                <w:sz w:val="24"/>
              </w:rPr>
              <w:t>合同签订后15天内完成</w:t>
            </w:r>
          </w:p>
        </w:tc>
      </w:tr>
      <w:tr w14:paraId="35E7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7C12E48">
            <w:pPr>
              <w:spacing w:line="360" w:lineRule="auto"/>
              <w:jc w:val="center"/>
              <w:rPr>
                <w:rFonts w:ascii="宋体" w:hAnsi="宋体" w:cs="宋体"/>
                <w:color w:val="000000"/>
                <w:kern w:val="10"/>
                <w:sz w:val="24"/>
              </w:rPr>
            </w:pPr>
            <w:r>
              <w:rPr>
                <w:rFonts w:hint="eastAsia" w:ascii="宋体" w:hAnsi="宋体" w:cs="宋体"/>
                <w:color w:val="000000"/>
                <w:kern w:val="10"/>
                <w:sz w:val="24"/>
              </w:rPr>
              <w:t>1.3.3</w:t>
            </w:r>
          </w:p>
        </w:tc>
        <w:tc>
          <w:tcPr>
            <w:tcW w:w="2719" w:type="dxa"/>
            <w:noWrap w:val="0"/>
            <w:vAlign w:val="center"/>
          </w:tcPr>
          <w:p w14:paraId="1B32A91F">
            <w:pPr>
              <w:spacing w:line="360" w:lineRule="auto"/>
              <w:jc w:val="center"/>
              <w:rPr>
                <w:rFonts w:cs="楷体"/>
                <w:sz w:val="24"/>
              </w:rPr>
            </w:pPr>
            <w:r>
              <w:rPr>
                <w:rFonts w:hint="eastAsia" w:cs="楷体"/>
                <w:sz w:val="24"/>
              </w:rPr>
              <w:t>质保期</w:t>
            </w:r>
          </w:p>
        </w:tc>
        <w:tc>
          <w:tcPr>
            <w:tcW w:w="5714" w:type="dxa"/>
            <w:noWrap w:val="0"/>
            <w:vAlign w:val="center"/>
          </w:tcPr>
          <w:p w14:paraId="4B7655DB">
            <w:pPr>
              <w:spacing w:line="360" w:lineRule="auto"/>
              <w:rPr>
                <w:rFonts w:ascii="宋体" w:hAnsi="宋体"/>
                <w:color w:val="000000"/>
                <w:sz w:val="24"/>
                <w:szCs w:val="20"/>
              </w:rPr>
            </w:pPr>
            <w:r>
              <w:rPr>
                <w:rFonts w:hint="eastAsia" w:ascii="宋体" w:hAnsi="宋体"/>
                <w:color w:val="000000"/>
                <w:sz w:val="24"/>
                <w:szCs w:val="20"/>
              </w:rPr>
              <w:t>3年</w:t>
            </w:r>
          </w:p>
        </w:tc>
      </w:tr>
      <w:tr w14:paraId="6F9F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FE7DAF7">
            <w:pPr>
              <w:spacing w:line="360" w:lineRule="auto"/>
              <w:jc w:val="center"/>
              <w:rPr>
                <w:rFonts w:ascii="宋体" w:hAnsi="宋体" w:cs="宋体"/>
                <w:color w:val="000000"/>
                <w:kern w:val="10"/>
                <w:sz w:val="24"/>
              </w:rPr>
            </w:pPr>
            <w:r>
              <w:rPr>
                <w:rFonts w:hint="eastAsia" w:ascii="宋体" w:hAnsi="宋体" w:cs="宋体"/>
                <w:color w:val="000000"/>
                <w:kern w:val="10"/>
                <w:sz w:val="24"/>
              </w:rPr>
              <w:t>1.3.4</w:t>
            </w:r>
          </w:p>
        </w:tc>
        <w:tc>
          <w:tcPr>
            <w:tcW w:w="2719" w:type="dxa"/>
            <w:noWrap w:val="0"/>
            <w:vAlign w:val="center"/>
          </w:tcPr>
          <w:p w14:paraId="207FEC0B">
            <w:pPr>
              <w:spacing w:line="360" w:lineRule="auto"/>
              <w:jc w:val="center"/>
              <w:rPr>
                <w:rFonts w:cs="楷体"/>
                <w:sz w:val="24"/>
              </w:rPr>
            </w:pPr>
            <w:r>
              <w:rPr>
                <w:rFonts w:hint="eastAsia" w:ascii="宋体" w:hAnsi="宋体" w:cs="宋体"/>
                <w:sz w:val="24"/>
              </w:rPr>
              <w:t>质量要求</w:t>
            </w:r>
          </w:p>
        </w:tc>
        <w:tc>
          <w:tcPr>
            <w:tcW w:w="5714" w:type="dxa"/>
            <w:noWrap w:val="0"/>
            <w:vAlign w:val="center"/>
          </w:tcPr>
          <w:p w14:paraId="15D98231">
            <w:pPr>
              <w:spacing w:line="360" w:lineRule="auto"/>
              <w:rPr>
                <w:rFonts w:ascii="宋体" w:hAnsi="宋体"/>
                <w:color w:val="000000"/>
                <w:sz w:val="24"/>
                <w:szCs w:val="20"/>
              </w:rPr>
            </w:pPr>
            <w:r>
              <w:rPr>
                <w:rFonts w:hint="eastAsia" w:ascii="宋体" w:hAnsi="宋体" w:cs="宋体"/>
                <w:sz w:val="24"/>
              </w:rPr>
              <w:t>符合国家及行业标准需求并满足采购人要求</w:t>
            </w:r>
          </w:p>
        </w:tc>
      </w:tr>
      <w:tr w14:paraId="5388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8706C93">
            <w:pPr>
              <w:spacing w:line="360" w:lineRule="auto"/>
              <w:jc w:val="center"/>
              <w:rPr>
                <w:rFonts w:ascii="宋体" w:hAnsi="宋体" w:cs="宋体"/>
                <w:color w:val="000000"/>
                <w:kern w:val="10"/>
                <w:sz w:val="24"/>
              </w:rPr>
            </w:pPr>
            <w:r>
              <w:rPr>
                <w:rFonts w:hint="eastAsia" w:ascii="宋体" w:hAnsi="宋体" w:cs="宋体"/>
                <w:color w:val="000000"/>
                <w:kern w:val="10"/>
                <w:sz w:val="24"/>
              </w:rPr>
              <w:t>1.4.1</w:t>
            </w:r>
          </w:p>
        </w:tc>
        <w:tc>
          <w:tcPr>
            <w:tcW w:w="2719" w:type="dxa"/>
            <w:noWrap w:val="0"/>
            <w:vAlign w:val="center"/>
          </w:tcPr>
          <w:p w14:paraId="2E40FF23">
            <w:pPr>
              <w:spacing w:line="360" w:lineRule="auto"/>
              <w:jc w:val="center"/>
              <w:rPr>
                <w:rFonts w:ascii="宋体" w:hAnsi="宋体" w:cs="宋体"/>
                <w:color w:val="000000"/>
                <w:kern w:val="10"/>
                <w:sz w:val="24"/>
              </w:rPr>
            </w:pPr>
            <w:r>
              <w:rPr>
                <w:rFonts w:hint="eastAsia" w:ascii="宋体" w:hAnsi="宋体" w:cs="宋体"/>
                <w:color w:val="000000"/>
                <w:kern w:val="10"/>
                <w:sz w:val="24"/>
              </w:rPr>
              <w:t>投标人资格要求</w:t>
            </w:r>
          </w:p>
        </w:tc>
        <w:tc>
          <w:tcPr>
            <w:tcW w:w="5714" w:type="dxa"/>
            <w:noWrap w:val="0"/>
            <w:vAlign w:val="center"/>
          </w:tcPr>
          <w:p w14:paraId="7A6EA75D">
            <w:pPr>
              <w:spacing w:line="360" w:lineRule="auto"/>
              <w:rPr>
                <w:rFonts w:hint="eastAsia" w:ascii="宋体" w:hAnsi="宋体" w:cs="宋体"/>
                <w:color w:val="000000"/>
                <w:kern w:val="10"/>
                <w:sz w:val="24"/>
              </w:rPr>
            </w:pPr>
            <w:r>
              <w:rPr>
                <w:rFonts w:hint="eastAsia" w:ascii="宋体" w:hAnsi="宋体" w:cs="宋体"/>
                <w:color w:val="000000"/>
                <w:kern w:val="10"/>
                <w:sz w:val="24"/>
              </w:rPr>
              <w:t>1、满足《中华人民共和国政府采购法》第二十二条规定：</w:t>
            </w:r>
          </w:p>
          <w:p w14:paraId="2A3C1A6C">
            <w:pPr>
              <w:spacing w:line="360" w:lineRule="auto"/>
              <w:rPr>
                <w:rFonts w:hint="eastAsia" w:ascii="宋体" w:hAnsi="宋体" w:cs="宋体"/>
                <w:color w:val="000000"/>
                <w:kern w:val="10"/>
                <w:sz w:val="24"/>
              </w:rPr>
            </w:pPr>
            <w:r>
              <w:rPr>
                <w:rFonts w:hint="eastAsia" w:ascii="宋体" w:hAnsi="宋体" w:cs="宋体"/>
                <w:color w:val="000000"/>
                <w:kern w:val="10"/>
                <w:sz w:val="24"/>
              </w:rPr>
              <w:t>2、落实政府采购政策满足的资格要求：</w:t>
            </w:r>
            <w:r>
              <w:rPr>
                <w:rFonts w:hint="eastAsia" w:ascii="宋体" w:hAnsi="宋体" w:cs="宋体"/>
                <w:color w:val="000000"/>
                <w:kern w:val="10"/>
                <w:sz w:val="24"/>
                <w:lang w:val="en-US" w:eastAsia="zh-CN"/>
              </w:rPr>
              <w:t>本项目支持中小型企业发展政策（残疾人福利性企业、监狱企业视同小微企业）、优先采购节能环保产品等政府采购政策。</w:t>
            </w:r>
          </w:p>
          <w:p w14:paraId="6FC529CA">
            <w:pPr>
              <w:spacing w:line="360" w:lineRule="auto"/>
              <w:rPr>
                <w:rFonts w:hint="eastAsia" w:ascii="宋体" w:hAnsi="宋体" w:cs="宋体"/>
                <w:color w:val="000000"/>
                <w:kern w:val="10"/>
                <w:sz w:val="24"/>
              </w:rPr>
            </w:pPr>
            <w:r>
              <w:rPr>
                <w:rFonts w:hint="eastAsia" w:ascii="宋体" w:hAnsi="宋体" w:cs="宋体"/>
                <w:color w:val="000000"/>
                <w:kern w:val="10"/>
                <w:sz w:val="24"/>
              </w:rPr>
              <w:t>3、本项目的特定资格要求</w:t>
            </w:r>
          </w:p>
          <w:p w14:paraId="7111FBCA">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3.1</w:t>
            </w:r>
            <w:r>
              <w:rPr>
                <w:rFonts w:hint="eastAsia" w:ascii="宋体" w:hAnsi="宋体" w:cs="宋体"/>
                <w:color w:val="000000"/>
                <w:kern w:val="10"/>
                <w:sz w:val="24"/>
              </w:rPr>
              <w:t>供应商须具有有效的营业执照；</w:t>
            </w:r>
          </w:p>
          <w:p w14:paraId="3F73439E">
            <w:pPr>
              <w:spacing w:line="360" w:lineRule="auto"/>
              <w:rPr>
                <w:rFonts w:hint="eastAsia" w:ascii="宋体" w:hAnsi="宋体" w:cs="宋体"/>
                <w:color w:val="000000"/>
                <w:kern w:val="10"/>
                <w:sz w:val="24"/>
              </w:rPr>
            </w:pPr>
            <w:r>
              <w:rPr>
                <w:rFonts w:hint="eastAsia" w:ascii="宋体" w:hAnsi="宋体" w:cs="宋体"/>
                <w:color w:val="000000"/>
                <w:kern w:val="10"/>
                <w:sz w:val="24"/>
                <w:lang w:val="en-US" w:eastAsia="zh-CN"/>
              </w:rPr>
              <w:t>3.2具有良好的商业信誉和健全的财务会计制度，供应商须提供</w:t>
            </w:r>
            <w:r>
              <w:rPr>
                <w:rFonts w:hint="eastAsia" w:ascii="宋体" w:hAnsi="宋体" w:cs="宋体"/>
                <w:color w:val="000000"/>
                <w:kern w:val="10"/>
                <w:sz w:val="24"/>
              </w:rPr>
              <w:t>近三年财务审计报告</w:t>
            </w:r>
            <w:r>
              <w:rPr>
                <w:rFonts w:hint="eastAsia" w:ascii="宋体" w:hAnsi="宋体" w:cs="宋体"/>
                <w:color w:val="000000"/>
                <w:kern w:val="10"/>
                <w:sz w:val="24"/>
                <w:lang w:eastAsia="zh-CN"/>
              </w:rPr>
              <w:t>（</w:t>
            </w:r>
            <w:r>
              <w:rPr>
                <w:rFonts w:hint="eastAsia" w:ascii="宋体" w:hAnsi="宋体" w:cs="宋体"/>
                <w:color w:val="000000"/>
                <w:kern w:val="10"/>
                <w:sz w:val="24"/>
              </w:rPr>
              <w:t>新成立公司不足一年的以公司成立时间为准</w:t>
            </w:r>
            <w:r>
              <w:rPr>
                <w:rFonts w:hint="eastAsia" w:ascii="宋体" w:hAnsi="宋体" w:cs="宋体"/>
                <w:color w:val="000000"/>
                <w:kern w:val="10"/>
                <w:sz w:val="24"/>
                <w:lang w:eastAsia="zh-CN"/>
              </w:rPr>
              <w:t>）</w:t>
            </w:r>
            <w:r>
              <w:rPr>
                <w:rFonts w:hint="eastAsia" w:ascii="宋体" w:hAnsi="宋体" w:cs="宋体"/>
                <w:color w:val="000000"/>
                <w:kern w:val="10"/>
                <w:sz w:val="24"/>
                <w:lang w:val="en-US" w:eastAsia="zh-CN"/>
              </w:rPr>
              <w:t>或基本户银行出具的资信证明等证明文件；</w:t>
            </w:r>
          </w:p>
          <w:p w14:paraId="48C47A57">
            <w:pPr>
              <w:spacing w:line="360" w:lineRule="auto"/>
              <w:rPr>
                <w:rFonts w:hint="eastAsia" w:ascii="宋体" w:hAnsi="宋体" w:cs="宋体"/>
                <w:color w:val="000000"/>
                <w:kern w:val="10"/>
                <w:sz w:val="24"/>
              </w:rPr>
            </w:pPr>
            <w:r>
              <w:rPr>
                <w:rFonts w:hint="eastAsia" w:ascii="宋体" w:hAnsi="宋体" w:cs="宋体"/>
                <w:color w:val="000000"/>
                <w:kern w:val="10"/>
                <w:sz w:val="24"/>
                <w:lang w:val="en-US" w:eastAsia="zh-CN"/>
              </w:rPr>
              <w:t xml:space="preserve">3.3具有履行合同所必需的设备和专业技术能力（自行作出承诺，格式自拟）； </w:t>
            </w:r>
          </w:p>
          <w:p w14:paraId="742D0B48">
            <w:pPr>
              <w:spacing w:line="360" w:lineRule="auto"/>
              <w:rPr>
                <w:rFonts w:hint="eastAsia" w:ascii="宋体" w:hAnsi="宋体" w:cs="宋体"/>
                <w:color w:val="000000"/>
                <w:kern w:val="10"/>
                <w:sz w:val="24"/>
                <w:lang w:val="en-US" w:eastAsia="zh-CN"/>
              </w:rPr>
            </w:pPr>
            <w:r>
              <w:rPr>
                <w:rFonts w:hint="eastAsia" w:ascii="宋体" w:hAnsi="宋体" w:cs="宋体"/>
                <w:color w:val="000000"/>
                <w:kern w:val="10"/>
                <w:sz w:val="24"/>
                <w:lang w:val="en-US" w:eastAsia="zh-CN"/>
              </w:rPr>
              <w:t>3.4具有依法缴纳税收和社会保障资金的良好记录（提供2024年01月01日以来任意一个月依法缴纳税收和社会保障金的证明材料；</w:t>
            </w:r>
          </w:p>
          <w:p w14:paraId="633E65AF">
            <w:pPr>
              <w:spacing w:line="360" w:lineRule="auto"/>
              <w:rPr>
                <w:rFonts w:hint="eastAsia" w:ascii="宋体" w:hAnsi="宋体" w:cs="宋体"/>
                <w:color w:val="000000"/>
                <w:kern w:val="10"/>
                <w:sz w:val="24"/>
                <w:lang w:val="en-US" w:eastAsia="zh-CN"/>
              </w:rPr>
            </w:pPr>
            <w:r>
              <w:rPr>
                <w:rFonts w:hint="eastAsia" w:ascii="宋体" w:hAnsi="宋体" w:cs="宋体"/>
                <w:color w:val="000000"/>
                <w:kern w:val="10"/>
                <w:sz w:val="24"/>
                <w:lang w:val="en-US" w:eastAsia="zh-CN"/>
              </w:rPr>
              <w:t>3.5出具本单位无商业贿赂及无不正当竞争行为的承诺书（自行作出承诺，格式自拟）</w:t>
            </w:r>
          </w:p>
          <w:p w14:paraId="75CB6739">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3.6</w:t>
            </w:r>
            <w:r>
              <w:rPr>
                <w:rFonts w:hint="eastAsia" w:ascii="宋体" w:hAnsi="宋体" w:cs="宋体"/>
                <w:color w:val="000000"/>
                <w:kern w:val="10"/>
                <w:sz w:val="24"/>
              </w:rPr>
              <w:t>参加政府采购活动前3年内在经营活动中没有重大违法记录的书面声明；</w:t>
            </w:r>
          </w:p>
          <w:p w14:paraId="640FB16A">
            <w:pPr>
              <w:spacing w:line="360" w:lineRule="auto"/>
              <w:ind w:firstLine="480" w:firstLineChars="200"/>
              <w:rPr>
                <w:rFonts w:hint="eastAsia" w:ascii="宋体" w:hAnsi="宋体" w:eastAsia="宋体" w:cs="宋体"/>
                <w:sz w:val="24"/>
                <w:lang w:val="en-US" w:eastAsia="zh-CN"/>
              </w:rPr>
            </w:pPr>
            <w:r>
              <w:rPr>
                <w:rFonts w:hint="eastAsia" w:ascii="宋体" w:hAnsi="宋体" w:cs="宋体"/>
                <w:color w:val="000000"/>
                <w:kern w:val="10"/>
                <w:sz w:val="24"/>
                <w:lang w:val="en-US" w:eastAsia="zh-CN"/>
              </w:rPr>
              <w:t>3.7</w:t>
            </w:r>
            <w:r>
              <w:rPr>
                <w:rFonts w:hint="eastAsia" w:ascii="宋体" w:hAnsi="宋体" w:eastAsia="宋体" w:cs="宋体"/>
                <w:sz w:val="24"/>
                <w:lang w:val="en-US"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p w14:paraId="3FF1D5A0">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4</w:t>
            </w:r>
            <w:r>
              <w:rPr>
                <w:rFonts w:hint="eastAsia" w:ascii="宋体" w:hAnsi="宋体" w:cs="宋体"/>
                <w:color w:val="000000"/>
                <w:kern w:val="10"/>
                <w:sz w:val="24"/>
              </w:rPr>
              <w:t>、本项目不接受联合体投标。</w:t>
            </w:r>
          </w:p>
          <w:p w14:paraId="4AA359FD">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5</w:t>
            </w:r>
            <w:r>
              <w:rPr>
                <w:rFonts w:hint="eastAsia" w:ascii="宋体" w:hAnsi="宋体" w:cs="宋体"/>
                <w:color w:val="000000"/>
                <w:kern w:val="10"/>
                <w:sz w:val="24"/>
              </w:rPr>
              <w:t>、本次磋商实行资格后审，资格审查的具体要求见磋商文件。</w:t>
            </w:r>
          </w:p>
        </w:tc>
      </w:tr>
      <w:tr w14:paraId="79CA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AADD243">
            <w:pPr>
              <w:spacing w:line="360" w:lineRule="auto"/>
              <w:jc w:val="center"/>
              <w:rPr>
                <w:rFonts w:ascii="宋体" w:hAnsi="宋体" w:cs="宋体"/>
                <w:color w:val="000000"/>
                <w:kern w:val="10"/>
                <w:sz w:val="24"/>
              </w:rPr>
            </w:pPr>
            <w:r>
              <w:rPr>
                <w:rFonts w:hint="eastAsia" w:ascii="宋体" w:hAnsi="宋体" w:cs="宋体"/>
                <w:color w:val="000000"/>
                <w:kern w:val="10"/>
                <w:sz w:val="24"/>
              </w:rPr>
              <w:t>1.4.2</w:t>
            </w:r>
          </w:p>
        </w:tc>
        <w:tc>
          <w:tcPr>
            <w:tcW w:w="2719" w:type="dxa"/>
            <w:noWrap w:val="0"/>
            <w:vAlign w:val="center"/>
          </w:tcPr>
          <w:p w14:paraId="439C14FA">
            <w:pPr>
              <w:spacing w:line="360" w:lineRule="auto"/>
              <w:jc w:val="center"/>
              <w:rPr>
                <w:rFonts w:ascii="宋体" w:hAnsi="宋体" w:cs="宋体"/>
                <w:color w:val="000000"/>
                <w:kern w:val="10"/>
                <w:sz w:val="24"/>
              </w:rPr>
            </w:pPr>
            <w:r>
              <w:rPr>
                <w:rFonts w:hint="eastAsia" w:ascii="宋体" w:hAnsi="宋体" w:cs="宋体"/>
                <w:color w:val="000000"/>
                <w:kern w:val="10"/>
                <w:sz w:val="24"/>
              </w:rPr>
              <w:t>是否接受联合体投标</w:t>
            </w:r>
          </w:p>
        </w:tc>
        <w:tc>
          <w:tcPr>
            <w:tcW w:w="5714" w:type="dxa"/>
            <w:noWrap w:val="0"/>
            <w:vAlign w:val="center"/>
          </w:tcPr>
          <w:p w14:paraId="1C514413">
            <w:pPr>
              <w:spacing w:line="360" w:lineRule="auto"/>
              <w:rPr>
                <w:rFonts w:ascii="宋体" w:hAnsi="宋体" w:cs="宋体"/>
                <w:color w:val="000000"/>
                <w:kern w:val="10"/>
                <w:sz w:val="24"/>
              </w:rPr>
            </w:pPr>
            <w:r>
              <w:rPr>
                <w:rFonts w:hint="eastAsia" w:ascii="宋体" w:hAnsi="宋体" w:cs="宋体"/>
                <w:color w:val="000000"/>
                <w:kern w:val="10"/>
                <w:sz w:val="24"/>
              </w:rPr>
              <w:t>不接受</w:t>
            </w:r>
          </w:p>
        </w:tc>
      </w:tr>
      <w:tr w14:paraId="2F9E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3A8C5EA">
            <w:pPr>
              <w:spacing w:line="360" w:lineRule="auto"/>
              <w:jc w:val="center"/>
              <w:rPr>
                <w:rFonts w:ascii="宋体" w:hAnsi="宋体" w:cs="宋体"/>
                <w:color w:val="000000"/>
                <w:kern w:val="10"/>
                <w:sz w:val="24"/>
              </w:rPr>
            </w:pPr>
            <w:r>
              <w:rPr>
                <w:rFonts w:hint="eastAsia" w:ascii="宋体" w:hAnsi="宋体" w:cs="宋体"/>
                <w:color w:val="000000"/>
                <w:kern w:val="10"/>
                <w:sz w:val="24"/>
              </w:rPr>
              <w:t>1.10.1</w:t>
            </w:r>
          </w:p>
        </w:tc>
        <w:tc>
          <w:tcPr>
            <w:tcW w:w="2719" w:type="dxa"/>
            <w:noWrap w:val="0"/>
            <w:vAlign w:val="center"/>
          </w:tcPr>
          <w:p w14:paraId="005406A8">
            <w:pPr>
              <w:spacing w:line="360" w:lineRule="auto"/>
              <w:jc w:val="center"/>
              <w:rPr>
                <w:rFonts w:ascii="宋体" w:hAnsi="宋体" w:cs="宋体"/>
                <w:color w:val="000000"/>
                <w:kern w:val="10"/>
                <w:sz w:val="24"/>
              </w:rPr>
            </w:pPr>
            <w:r>
              <w:rPr>
                <w:rFonts w:hint="eastAsia" w:ascii="宋体" w:hAnsi="宋体" w:cs="宋体"/>
                <w:color w:val="000000"/>
                <w:kern w:val="10"/>
                <w:sz w:val="24"/>
              </w:rPr>
              <w:t>投标预备会</w:t>
            </w:r>
          </w:p>
        </w:tc>
        <w:tc>
          <w:tcPr>
            <w:tcW w:w="5714" w:type="dxa"/>
            <w:noWrap w:val="0"/>
            <w:vAlign w:val="center"/>
          </w:tcPr>
          <w:p w14:paraId="3A1D49E1">
            <w:pPr>
              <w:spacing w:line="360" w:lineRule="auto"/>
              <w:rPr>
                <w:rFonts w:ascii="宋体" w:hAnsi="宋体" w:cs="宋体"/>
                <w:color w:val="000000"/>
                <w:kern w:val="10"/>
                <w:sz w:val="24"/>
              </w:rPr>
            </w:pPr>
            <w:r>
              <w:rPr>
                <w:rFonts w:hint="eastAsia" w:ascii="宋体" w:hAnsi="宋体" w:cs="宋体"/>
                <w:color w:val="000000"/>
                <w:kern w:val="10"/>
                <w:sz w:val="24"/>
              </w:rPr>
              <w:t>不召开</w:t>
            </w:r>
          </w:p>
        </w:tc>
      </w:tr>
      <w:tr w14:paraId="7FCC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E36BD4A">
            <w:pPr>
              <w:spacing w:line="360" w:lineRule="auto"/>
              <w:jc w:val="center"/>
              <w:rPr>
                <w:rFonts w:ascii="宋体" w:hAnsi="宋体" w:cs="宋体"/>
                <w:color w:val="000000"/>
                <w:kern w:val="10"/>
                <w:sz w:val="24"/>
              </w:rPr>
            </w:pPr>
            <w:r>
              <w:rPr>
                <w:rFonts w:hint="eastAsia" w:ascii="宋体" w:hAnsi="宋体" w:cs="宋体"/>
                <w:color w:val="000000"/>
                <w:kern w:val="10"/>
                <w:sz w:val="24"/>
              </w:rPr>
              <w:t>1.10.2</w:t>
            </w:r>
          </w:p>
        </w:tc>
        <w:tc>
          <w:tcPr>
            <w:tcW w:w="2719" w:type="dxa"/>
            <w:noWrap w:val="0"/>
            <w:vAlign w:val="center"/>
          </w:tcPr>
          <w:p w14:paraId="0E7AD6B5">
            <w:pPr>
              <w:spacing w:line="360" w:lineRule="auto"/>
              <w:jc w:val="center"/>
              <w:rPr>
                <w:rFonts w:ascii="宋体" w:hAnsi="宋体" w:cs="宋体"/>
                <w:color w:val="000000"/>
                <w:kern w:val="10"/>
                <w:sz w:val="24"/>
              </w:rPr>
            </w:pPr>
            <w:r>
              <w:rPr>
                <w:rFonts w:hint="eastAsia" w:ascii="宋体" w:hAnsi="宋体" w:cs="宋体"/>
                <w:color w:val="000000"/>
                <w:kern w:val="10"/>
                <w:sz w:val="24"/>
              </w:rPr>
              <w:t>投标人提出问题的截止时间</w:t>
            </w:r>
          </w:p>
        </w:tc>
        <w:tc>
          <w:tcPr>
            <w:tcW w:w="5714" w:type="dxa"/>
            <w:noWrap w:val="0"/>
            <w:vAlign w:val="center"/>
          </w:tcPr>
          <w:p w14:paraId="455434DA">
            <w:pPr>
              <w:spacing w:line="360" w:lineRule="auto"/>
              <w:rPr>
                <w:rFonts w:ascii="宋体" w:hAnsi="宋体" w:cs="宋体"/>
                <w:color w:val="000000"/>
                <w:kern w:val="10"/>
                <w:sz w:val="24"/>
              </w:rPr>
            </w:pPr>
            <w:r>
              <w:rPr>
                <w:rFonts w:hint="eastAsia" w:ascii="宋体" w:hAnsi="宋体" w:cs="宋体"/>
                <w:color w:val="000000"/>
                <w:kern w:val="10"/>
                <w:sz w:val="24"/>
              </w:rPr>
              <w:t>各投标人应将质疑问题以书面形式在投标截止</w:t>
            </w:r>
            <w:r>
              <w:rPr>
                <w:rFonts w:hint="eastAsia" w:ascii="宋体" w:hAnsi="宋体" w:cs="宋体"/>
                <w:color w:val="000000"/>
                <w:kern w:val="10"/>
                <w:sz w:val="24"/>
                <w:lang w:val="en-US" w:eastAsia="zh-CN"/>
              </w:rPr>
              <w:t>5</w:t>
            </w:r>
            <w:r>
              <w:rPr>
                <w:rFonts w:hint="eastAsia" w:ascii="宋体" w:hAnsi="宋体" w:cs="宋体"/>
                <w:color w:val="000000"/>
                <w:kern w:val="10"/>
                <w:sz w:val="24"/>
              </w:rPr>
              <w:t>天前向采购代理机构提交</w:t>
            </w:r>
            <w:r>
              <w:rPr>
                <w:rFonts w:hint="eastAsia" w:ascii="宋体" w:hAnsi="宋体"/>
                <w:color w:val="000000"/>
                <w:kern w:val="0"/>
                <w:sz w:val="24"/>
              </w:rPr>
              <w:t>。采购人只对书面问题做出答复，并将答复内容以公告的形式发布</w:t>
            </w:r>
          </w:p>
        </w:tc>
      </w:tr>
      <w:tr w14:paraId="593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EFA6B70">
            <w:pPr>
              <w:spacing w:line="360" w:lineRule="auto"/>
              <w:jc w:val="center"/>
              <w:rPr>
                <w:rFonts w:ascii="宋体" w:hAnsi="宋体" w:cs="宋体"/>
                <w:color w:val="000000"/>
                <w:kern w:val="10"/>
                <w:sz w:val="24"/>
              </w:rPr>
            </w:pPr>
            <w:r>
              <w:rPr>
                <w:rFonts w:hint="eastAsia" w:ascii="宋体" w:hAnsi="宋体" w:cs="宋体"/>
                <w:color w:val="000000"/>
                <w:kern w:val="10"/>
                <w:sz w:val="24"/>
              </w:rPr>
              <w:t>1.10.3</w:t>
            </w:r>
          </w:p>
        </w:tc>
        <w:tc>
          <w:tcPr>
            <w:tcW w:w="2719" w:type="dxa"/>
            <w:noWrap w:val="0"/>
            <w:vAlign w:val="center"/>
          </w:tcPr>
          <w:p w14:paraId="0E13753C">
            <w:pPr>
              <w:spacing w:line="360" w:lineRule="auto"/>
              <w:jc w:val="center"/>
              <w:rPr>
                <w:rFonts w:ascii="宋体" w:hAnsi="宋体" w:cs="宋体"/>
                <w:color w:val="000000"/>
                <w:kern w:val="10"/>
                <w:sz w:val="24"/>
              </w:rPr>
            </w:pPr>
            <w:r>
              <w:rPr>
                <w:rFonts w:hint="eastAsia" w:ascii="宋体" w:hAnsi="宋体" w:cs="宋体"/>
                <w:color w:val="000000"/>
                <w:kern w:val="10"/>
                <w:sz w:val="24"/>
              </w:rPr>
              <w:t>招标人书面澄清的时间</w:t>
            </w:r>
          </w:p>
        </w:tc>
        <w:tc>
          <w:tcPr>
            <w:tcW w:w="5714" w:type="dxa"/>
            <w:noWrap w:val="0"/>
            <w:vAlign w:val="center"/>
          </w:tcPr>
          <w:p w14:paraId="036D6195">
            <w:pPr>
              <w:spacing w:line="360" w:lineRule="auto"/>
              <w:rPr>
                <w:rFonts w:ascii="宋体" w:hAnsi="宋体" w:cs="宋体"/>
                <w:color w:val="000000"/>
                <w:kern w:val="10"/>
                <w:sz w:val="24"/>
              </w:rPr>
            </w:pPr>
            <w:r>
              <w:rPr>
                <w:rFonts w:hint="eastAsia" w:ascii="宋体" w:hAnsi="宋体" w:cs="宋体"/>
                <w:color w:val="000000"/>
                <w:kern w:val="10"/>
                <w:sz w:val="24"/>
              </w:rPr>
              <w:t>投标截止日</w:t>
            </w:r>
            <w:r>
              <w:rPr>
                <w:rFonts w:hint="eastAsia" w:ascii="宋体" w:hAnsi="宋体" w:cs="宋体"/>
                <w:color w:val="000000"/>
                <w:kern w:val="10"/>
                <w:sz w:val="24"/>
                <w:lang w:val="en-US" w:eastAsia="zh-CN"/>
              </w:rPr>
              <w:t>5</w:t>
            </w:r>
            <w:r>
              <w:rPr>
                <w:rFonts w:hint="eastAsia" w:ascii="宋体" w:hAnsi="宋体" w:cs="宋体"/>
                <w:color w:val="000000"/>
                <w:kern w:val="10"/>
                <w:sz w:val="24"/>
              </w:rPr>
              <w:t>天前以书面形式（澄清文件）予以答复</w:t>
            </w:r>
          </w:p>
        </w:tc>
      </w:tr>
      <w:tr w14:paraId="684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0"/>
            <w:vAlign w:val="center"/>
          </w:tcPr>
          <w:p w14:paraId="025A981E">
            <w:pPr>
              <w:spacing w:line="360" w:lineRule="auto"/>
              <w:jc w:val="center"/>
              <w:rPr>
                <w:rFonts w:ascii="宋体" w:hAnsi="宋体" w:cs="宋体"/>
                <w:color w:val="000000"/>
                <w:kern w:val="10"/>
                <w:sz w:val="24"/>
              </w:rPr>
            </w:pPr>
            <w:r>
              <w:rPr>
                <w:rFonts w:hint="eastAsia" w:ascii="宋体" w:hAnsi="宋体" w:cs="宋体"/>
                <w:color w:val="000000"/>
                <w:kern w:val="10"/>
                <w:sz w:val="24"/>
              </w:rPr>
              <w:t>1.11</w:t>
            </w:r>
          </w:p>
        </w:tc>
        <w:tc>
          <w:tcPr>
            <w:tcW w:w="2719" w:type="dxa"/>
            <w:noWrap w:val="0"/>
            <w:vAlign w:val="center"/>
          </w:tcPr>
          <w:p w14:paraId="6BA57531">
            <w:pPr>
              <w:spacing w:line="360" w:lineRule="auto"/>
              <w:jc w:val="center"/>
              <w:rPr>
                <w:rFonts w:ascii="宋体" w:hAnsi="宋体" w:cs="宋体"/>
                <w:color w:val="000000"/>
                <w:kern w:val="10"/>
                <w:sz w:val="24"/>
              </w:rPr>
            </w:pPr>
            <w:r>
              <w:rPr>
                <w:rFonts w:hint="eastAsia" w:ascii="宋体" w:hAnsi="宋体" w:cs="宋体"/>
                <w:color w:val="000000"/>
                <w:kern w:val="10"/>
                <w:sz w:val="24"/>
              </w:rPr>
              <w:t>分包</w:t>
            </w:r>
          </w:p>
        </w:tc>
        <w:tc>
          <w:tcPr>
            <w:tcW w:w="5714" w:type="dxa"/>
            <w:noWrap w:val="0"/>
            <w:vAlign w:val="center"/>
          </w:tcPr>
          <w:p w14:paraId="45535E12">
            <w:pPr>
              <w:spacing w:line="360" w:lineRule="auto"/>
              <w:rPr>
                <w:rFonts w:ascii="宋体" w:hAnsi="宋体" w:cs="宋体"/>
                <w:color w:val="000000"/>
                <w:kern w:val="10"/>
                <w:sz w:val="24"/>
              </w:rPr>
            </w:pPr>
            <w:r>
              <w:rPr>
                <w:rFonts w:hint="eastAsia" w:ascii="宋体" w:hAnsi="宋体" w:cs="宋体"/>
                <w:color w:val="000000"/>
                <w:kern w:val="10"/>
                <w:sz w:val="24"/>
              </w:rPr>
              <w:t>不允许（转包、分包均不允许）</w:t>
            </w:r>
          </w:p>
        </w:tc>
      </w:tr>
      <w:tr w14:paraId="6691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E98192F">
            <w:pPr>
              <w:spacing w:line="360" w:lineRule="auto"/>
              <w:jc w:val="center"/>
              <w:rPr>
                <w:rFonts w:ascii="宋体" w:hAnsi="宋体" w:cs="宋体"/>
                <w:color w:val="000000"/>
                <w:kern w:val="10"/>
                <w:sz w:val="24"/>
              </w:rPr>
            </w:pPr>
            <w:r>
              <w:rPr>
                <w:rFonts w:hint="eastAsia" w:ascii="宋体" w:hAnsi="宋体" w:cs="宋体"/>
                <w:color w:val="000000"/>
                <w:kern w:val="10"/>
                <w:sz w:val="24"/>
              </w:rPr>
              <w:t>1.12</w:t>
            </w:r>
          </w:p>
        </w:tc>
        <w:tc>
          <w:tcPr>
            <w:tcW w:w="2719" w:type="dxa"/>
            <w:noWrap w:val="0"/>
            <w:vAlign w:val="center"/>
          </w:tcPr>
          <w:p w14:paraId="5E36DB4C">
            <w:pPr>
              <w:spacing w:line="360" w:lineRule="auto"/>
              <w:jc w:val="center"/>
              <w:rPr>
                <w:rFonts w:ascii="宋体" w:hAnsi="宋体" w:cs="宋体"/>
                <w:color w:val="000000"/>
                <w:kern w:val="10"/>
                <w:sz w:val="24"/>
              </w:rPr>
            </w:pPr>
            <w:r>
              <w:rPr>
                <w:rFonts w:hint="eastAsia" w:ascii="宋体" w:hAnsi="宋体" w:cs="宋体"/>
                <w:color w:val="000000"/>
                <w:kern w:val="10"/>
                <w:sz w:val="24"/>
              </w:rPr>
              <w:t>偏离</w:t>
            </w:r>
          </w:p>
        </w:tc>
        <w:tc>
          <w:tcPr>
            <w:tcW w:w="5714" w:type="dxa"/>
            <w:noWrap w:val="0"/>
            <w:vAlign w:val="center"/>
          </w:tcPr>
          <w:p w14:paraId="2DE7A3A7">
            <w:pPr>
              <w:spacing w:line="360" w:lineRule="auto"/>
              <w:rPr>
                <w:rFonts w:ascii="宋体" w:hAnsi="宋体" w:cs="宋体"/>
                <w:color w:val="000000"/>
                <w:kern w:val="10"/>
                <w:sz w:val="24"/>
              </w:rPr>
            </w:pPr>
            <w:r>
              <w:rPr>
                <w:rFonts w:hint="eastAsia" w:ascii="宋体" w:hAnsi="宋体" w:cs="宋体"/>
                <w:color w:val="000000"/>
                <w:kern w:val="10"/>
                <w:sz w:val="24"/>
              </w:rPr>
              <w:t>允许正偏离</w:t>
            </w:r>
          </w:p>
        </w:tc>
      </w:tr>
      <w:tr w14:paraId="24DD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B2B7723">
            <w:pPr>
              <w:spacing w:line="360" w:lineRule="auto"/>
              <w:jc w:val="center"/>
              <w:rPr>
                <w:rFonts w:ascii="宋体" w:hAnsi="宋体" w:cs="宋体"/>
                <w:color w:val="000000"/>
                <w:kern w:val="10"/>
                <w:sz w:val="24"/>
              </w:rPr>
            </w:pPr>
            <w:r>
              <w:rPr>
                <w:rFonts w:hint="eastAsia" w:ascii="宋体" w:hAnsi="宋体" w:cs="宋体"/>
                <w:color w:val="000000"/>
                <w:kern w:val="10"/>
                <w:sz w:val="24"/>
              </w:rPr>
              <w:t>2.1</w:t>
            </w:r>
          </w:p>
        </w:tc>
        <w:tc>
          <w:tcPr>
            <w:tcW w:w="2719" w:type="dxa"/>
            <w:noWrap w:val="0"/>
            <w:vAlign w:val="center"/>
          </w:tcPr>
          <w:p w14:paraId="745B1C4D">
            <w:pPr>
              <w:spacing w:line="360" w:lineRule="auto"/>
              <w:jc w:val="center"/>
              <w:rPr>
                <w:rFonts w:ascii="宋体" w:hAnsi="宋体" w:cs="宋体"/>
                <w:color w:val="000000"/>
                <w:kern w:val="10"/>
                <w:sz w:val="24"/>
              </w:rPr>
            </w:pPr>
            <w:r>
              <w:rPr>
                <w:rFonts w:hint="eastAsia" w:ascii="宋体" w:hAnsi="宋体" w:cs="宋体"/>
                <w:color w:val="000000"/>
                <w:kern w:val="10"/>
                <w:sz w:val="24"/>
              </w:rPr>
              <w:t>构成竞争性磋商文件的其他材料</w:t>
            </w:r>
          </w:p>
        </w:tc>
        <w:tc>
          <w:tcPr>
            <w:tcW w:w="5714" w:type="dxa"/>
            <w:noWrap w:val="0"/>
            <w:vAlign w:val="center"/>
          </w:tcPr>
          <w:p w14:paraId="13D8E191">
            <w:pPr>
              <w:spacing w:line="360" w:lineRule="auto"/>
              <w:rPr>
                <w:rFonts w:ascii="宋体" w:hAnsi="宋体" w:cs="宋体"/>
                <w:color w:val="000000"/>
                <w:kern w:val="10"/>
                <w:sz w:val="24"/>
              </w:rPr>
            </w:pPr>
            <w:r>
              <w:rPr>
                <w:rFonts w:hint="eastAsia" w:ascii="宋体" w:hAnsi="宋体" w:cs="宋体"/>
                <w:color w:val="000000"/>
                <w:kern w:val="10"/>
                <w:sz w:val="24"/>
              </w:rPr>
              <w:t>采购人在招标期间发出的竞争性磋商文件修改、招标答疑纪要、澄清</w:t>
            </w:r>
          </w:p>
        </w:tc>
      </w:tr>
      <w:tr w14:paraId="5DF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22D3EC9">
            <w:pPr>
              <w:spacing w:line="360" w:lineRule="auto"/>
              <w:jc w:val="center"/>
              <w:rPr>
                <w:rFonts w:ascii="宋体" w:hAnsi="宋体" w:cs="宋体"/>
                <w:color w:val="000000"/>
                <w:kern w:val="10"/>
                <w:sz w:val="24"/>
              </w:rPr>
            </w:pPr>
            <w:r>
              <w:rPr>
                <w:rFonts w:hint="eastAsia" w:ascii="宋体" w:hAnsi="宋体" w:cs="宋体"/>
                <w:color w:val="000000"/>
                <w:kern w:val="10"/>
                <w:sz w:val="24"/>
              </w:rPr>
              <w:t>2.2.1</w:t>
            </w:r>
          </w:p>
        </w:tc>
        <w:tc>
          <w:tcPr>
            <w:tcW w:w="2719" w:type="dxa"/>
            <w:noWrap w:val="0"/>
            <w:vAlign w:val="center"/>
          </w:tcPr>
          <w:p w14:paraId="0D722174">
            <w:pPr>
              <w:spacing w:line="360" w:lineRule="auto"/>
              <w:jc w:val="center"/>
              <w:rPr>
                <w:rFonts w:ascii="宋体" w:hAnsi="宋体" w:cs="宋体"/>
                <w:color w:val="000000"/>
                <w:kern w:val="10"/>
                <w:sz w:val="24"/>
              </w:rPr>
            </w:pPr>
            <w:r>
              <w:rPr>
                <w:rFonts w:hint="eastAsia" w:ascii="宋体" w:hAnsi="宋体" w:cs="宋体"/>
                <w:color w:val="000000"/>
                <w:kern w:val="10"/>
                <w:sz w:val="24"/>
              </w:rPr>
              <w:t>投标人要求澄清磋商文件的截止时间</w:t>
            </w:r>
          </w:p>
        </w:tc>
        <w:tc>
          <w:tcPr>
            <w:tcW w:w="5714" w:type="dxa"/>
            <w:noWrap w:val="0"/>
            <w:vAlign w:val="center"/>
          </w:tcPr>
          <w:p w14:paraId="24A6702E">
            <w:pPr>
              <w:spacing w:line="360" w:lineRule="auto"/>
              <w:rPr>
                <w:rFonts w:ascii="宋体" w:hAnsi="宋体" w:cs="宋体"/>
                <w:color w:val="000000"/>
                <w:kern w:val="10"/>
                <w:sz w:val="24"/>
              </w:rPr>
            </w:pPr>
            <w:r>
              <w:rPr>
                <w:rFonts w:hint="eastAsia" w:ascii="宋体" w:hAnsi="宋体" w:cs="宋体"/>
                <w:color w:val="000000"/>
                <w:kern w:val="10"/>
                <w:sz w:val="24"/>
              </w:rPr>
              <w:t>递交响应性文件截止之日5天前</w:t>
            </w:r>
          </w:p>
        </w:tc>
      </w:tr>
      <w:tr w14:paraId="1C5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C28FEB9">
            <w:pPr>
              <w:spacing w:line="360" w:lineRule="auto"/>
              <w:jc w:val="center"/>
              <w:rPr>
                <w:rFonts w:ascii="宋体" w:hAnsi="宋体" w:cs="宋体"/>
                <w:color w:val="000000"/>
                <w:kern w:val="10"/>
                <w:sz w:val="24"/>
              </w:rPr>
            </w:pPr>
            <w:r>
              <w:rPr>
                <w:rFonts w:hint="eastAsia" w:ascii="宋体" w:hAnsi="宋体" w:cs="宋体"/>
                <w:color w:val="000000"/>
                <w:kern w:val="10"/>
                <w:sz w:val="24"/>
              </w:rPr>
              <w:t>2.2.2</w:t>
            </w:r>
          </w:p>
        </w:tc>
        <w:tc>
          <w:tcPr>
            <w:tcW w:w="2719" w:type="dxa"/>
            <w:noWrap w:val="0"/>
            <w:vAlign w:val="center"/>
          </w:tcPr>
          <w:p w14:paraId="347D6636">
            <w:pPr>
              <w:spacing w:line="360" w:lineRule="auto"/>
              <w:jc w:val="center"/>
              <w:rPr>
                <w:rFonts w:ascii="宋体" w:hAnsi="宋体" w:cs="宋体"/>
                <w:color w:val="000000"/>
                <w:kern w:val="10"/>
                <w:sz w:val="24"/>
              </w:rPr>
            </w:pPr>
            <w:r>
              <w:rPr>
                <w:rFonts w:hint="eastAsia" w:ascii="宋体" w:hAnsi="宋体" w:cs="宋体"/>
                <w:color w:val="000000"/>
                <w:kern w:val="10"/>
                <w:sz w:val="24"/>
              </w:rPr>
              <w:t>投标截止时间</w:t>
            </w:r>
          </w:p>
        </w:tc>
        <w:tc>
          <w:tcPr>
            <w:tcW w:w="5714" w:type="dxa"/>
            <w:noWrap w:val="0"/>
            <w:vAlign w:val="center"/>
          </w:tcPr>
          <w:p w14:paraId="1091509E">
            <w:pPr>
              <w:spacing w:line="360" w:lineRule="auto"/>
              <w:rPr>
                <w:rFonts w:ascii="宋体" w:hAnsi="宋体" w:cs="宋体"/>
                <w:color w:val="0000FF"/>
                <w:kern w:val="10"/>
                <w:sz w:val="24"/>
              </w:rPr>
            </w:pPr>
            <w:r>
              <w:rPr>
                <w:rFonts w:hint="eastAsia" w:ascii="宋体" w:hAnsi="宋体" w:eastAsia="宋体" w:cs="宋体"/>
                <w:color w:val="000000"/>
                <w:kern w:val="10"/>
                <w:sz w:val="24"/>
              </w:rPr>
              <w:t>2024年</w:t>
            </w:r>
            <w:r>
              <w:rPr>
                <w:rFonts w:hint="eastAsia" w:ascii="宋体" w:hAnsi="宋体" w:cs="宋体"/>
                <w:color w:val="000000"/>
                <w:kern w:val="10"/>
                <w:sz w:val="24"/>
                <w:lang w:val="en-US" w:eastAsia="zh-CN"/>
              </w:rPr>
              <w:t>10</w:t>
            </w:r>
            <w:r>
              <w:rPr>
                <w:rFonts w:hint="eastAsia" w:ascii="宋体" w:hAnsi="宋体" w:eastAsia="宋体" w:cs="宋体"/>
                <w:color w:val="000000"/>
                <w:kern w:val="10"/>
                <w:sz w:val="24"/>
              </w:rPr>
              <w:t>月</w:t>
            </w:r>
            <w:r>
              <w:rPr>
                <w:rFonts w:hint="eastAsia" w:ascii="宋体" w:hAnsi="宋体" w:cs="宋体"/>
                <w:color w:val="000000"/>
                <w:kern w:val="10"/>
                <w:sz w:val="24"/>
                <w:lang w:val="en-US" w:eastAsia="zh-CN"/>
              </w:rPr>
              <w:t>9</w:t>
            </w:r>
            <w:r>
              <w:rPr>
                <w:rFonts w:hint="eastAsia" w:ascii="宋体" w:hAnsi="宋体" w:eastAsia="宋体" w:cs="宋体"/>
                <w:color w:val="000000"/>
                <w:kern w:val="10"/>
                <w:sz w:val="24"/>
              </w:rPr>
              <w:t>日</w:t>
            </w:r>
            <w:r>
              <w:rPr>
                <w:rFonts w:hint="eastAsia" w:ascii="宋体" w:hAnsi="宋体" w:cs="宋体"/>
                <w:color w:val="000000"/>
                <w:kern w:val="10"/>
                <w:sz w:val="24"/>
                <w:lang w:val="en-US" w:eastAsia="zh-CN"/>
              </w:rPr>
              <w:t>08</w:t>
            </w:r>
            <w:r>
              <w:rPr>
                <w:rFonts w:hint="eastAsia" w:ascii="宋体" w:hAnsi="宋体" w:eastAsia="宋体" w:cs="宋体"/>
                <w:color w:val="000000"/>
                <w:kern w:val="10"/>
                <w:sz w:val="24"/>
              </w:rPr>
              <w:t>时</w:t>
            </w:r>
            <w:r>
              <w:rPr>
                <w:rFonts w:hint="eastAsia" w:ascii="宋体" w:hAnsi="宋体" w:cs="宋体"/>
                <w:color w:val="000000"/>
                <w:kern w:val="10"/>
                <w:sz w:val="24"/>
                <w:lang w:val="en-US" w:eastAsia="zh-CN"/>
              </w:rPr>
              <w:t>30</w:t>
            </w:r>
            <w:r>
              <w:rPr>
                <w:rFonts w:hint="eastAsia" w:ascii="宋体" w:hAnsi="宋体" w:eastAsia="宋体" w:cs="宋体"/>
                <w:color w:val="000000"/>
                <w:kern w:val="10"/>
                <w:sz w:val="24"/>
              </w:rPr>
              <w:t>分</w:t>
            </w:r>
          </w:p>
        </w:tc>
      </w:tr>
      <w:tr w14:paraId="0BA5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6B2EDC6">
            <w:pPr>
              <w:spacing w:line="360" w:lineRule="auto"/>
              <w:jc w:val="center"/>
              <w:rPr>
                <w:rFonts w:ascii="宋体" w:hAnsi="宋体" w:cs="宋体"/>
                <w:color w:val="000000"/>
                <w:kern w:val="10"/>
                <w:sz w:val="24"/>
              </w:rPr>
            </w:pPr>
            <w:r>
              <w:rPr>
                <w:rFonts w:hint="eastAsia" w:ascii="宋体" w:hAnsi="宋体" w:cs="宋体"/>
                <w:color w:val="000000"/>
                <w:kern w:val="10"/>
                <w:sz w:val="24"/>
              </w:rPr>
              <w:t>2.2.3</w:t>
            </w:r>
          </w:p>
        </w:tc>
        <w:tc>
          <w:tcPr>
            <w:tcW w:w="2719" w:type="dxa"/>
            <w:noWrap w:val="0"/>
            <w:vAlign w:val="center"/>
          </w:tcPr>
          <w:p w14:paraId="192ED830">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投标人确认收到竞争性磋商文件澄清的时间</w:t>
            </w:r>
          </w:p>
        </w:tc>
        <w:tc>
          <w:tcPr>
            <w:tcW w:w="5714" w:type="dxa"/>
            <w:noWrap w:val="0"/>
            <w:vAlign w:val="center"/>
          </w:tcPr>
          <w:p w14:paraId="17D284F2">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31E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F30376D">
            <w:pPr>
              <w:spacing w:line="360" w:lineRule="auto"/>
              <w:jc w:val="center"/>
              <w:rPr>
                <w:rFonts w:ascii="宋体" w:hAnsi="宋体" w:cs="宋体"/>
                <w:color w:val="000000"/>
                <w:kern w:val="10"/>
                <w:sz w:val="24"/>
              </w:rPr>
            </w:pPr>
            <w:r>
              <w:rPr>
                <w:rFonts w:hint="eastAsia" w:ascii="宋体" w:hAnsi="宋体" w:cs="宋体"/>
                <w:color w:val="000000"/>
                <w:kern w:val="10"/>
                <w:sz w:val="24"/>
              </w:rPr>
              <w:t>2.3.2</w:t>
            </w:r>
          </w:p>
        </w:tc>
        <w:tc>
          <w:tcPr>
            <w:tcW w:w="2719" w:type="dxa"/>
            <w:noWrap w:val="0"/>
            <w:vAlign w:val="center"/>
          </w:tcPr>
          <w:p w14:paraId="2844D16A">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投标人确认收到竞争性磋商文件修改的时间</w:t>
            </w:r>
          </w:p>
        </w:tc>
        <w:tc>
          <w:tcPr>
            <w:tcW w:w="5714" w:type="dxa"/>
            <w:noWrap w:val="0"/>
            <w:vAlign w:val="center"/>
          </w:tcPr>
          <w:p w14:paraId="4985D435">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6A36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463FEB4">
            <w:pPr>
              <w:spacing w:line="360" w:lineRule="auto"/>
              <w:jc w:val="center"/>
              <w:rPr>
                <w:rFonts w:ascii="宋体" w:hAnsi="宋体" w:cs="宋体"/>
                <w:color w:val="000000"/>
                <w:kern w:val="10"/>
                <w:sz w:val="24"/>
              </w:rPr>
            </w:pPr>
            <w:r>
              <w:rPr>
                <w:rFonts w:hint="eastAsia" w:ascii="宋体" w:hAnsi="宋体" w:cs="宋体"/>
                <w:color w:val="000000"/>
                <w:kern w:val="10"/>
                <w:sz w:val="24"/>
              </w:rPr>
              <w:t>3.1</w:t>
            </w:r>
          </w:p>
        </w:tc>
        <w:tc>
          <w:tcPr>
            <w:tcW w:w="2719" w:type="dxa"/>
            <w:noWrap w:val="0"/>
            <w:vAlign w:val="center"/>
          </w:tcPr>
          <w:p w14:paraId="3D475EA1">
            <w:pPr>
              <w:spacing w:line="360" w:lineRule="auto"/>
              <w:jc w:val="center"/>
              <w:rPr>
                <w:rFonts w:ascii="宋体" w:hAnsi="宋体" w:cs="宋体"/>
                <w:color w:val="000000"/>
                <w:kern w:val="10"/>
                <w:sz w:val="24"/>
              </w:rPr>
            </w:pPr>
            <w:r>
              <w:rPr>
                <w:rFonts w:hint="eastAsia" w:ascii="宋体" w:hAnsi="宋体" w:cs="宋体"/>
                <w:color w:val="000000"/>
                <w:kern w:val="10"/>
                <w:sz w:val="24"/>
              </w:rPr>
              <w:t>构成投标文件的其他材料</w:t>
            </w:r>
          </w:p>
        </w:tc>
        <w:tc>
          <w:tcPr>
            <w:tcW w:w="5714" w:type="dxa"/>
            <w:noWrap w:val="0"/>
            <w:vAlign w:val="center"/>
          </w:tcPr>
          <w:p w14:paraId="1031BB5E">
            <w:pPr>
              <w:spacing w:line="360" w:lineRule="auto"/>
              <w:rPr>
                <w:rFonts w:ascii="宋体" w:hAnsi="宋体" w:cs="宋体"/>
                <w:color w:val="000000"/>
                <w:kern w:val="10"/>
                <w:sz w:val="24"/>
              </w:rPr>
            </w:pPr>
            <w:r>
              <w:rPr>
                <w:rFonts w:hint="eastAsia" w:ascii="宋体" w:hAnsi="宋体" w:cs="宋体"/>
                <w:color w:val="000000"/>
                <w:kern w:val="10"/>
                <w:sz w:val="24"/>
              </w:rPr>
              <w:t>按竞争性磋商文件的要求</w:t>
            </w:r>
          </w:p>
        </w:tc>
      </w:tr>
      <w:tr w14:paraId="722D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D026BC9">
            <w:pPr>
              <w:spacing w:line="360" w:lineRule="auto"/>
              <w:jc w:val="center"/>
              <w:rPr>
                <w:rFonts w:ascii="宋体" w:hAnsi="宋体" w:cs="宋体"/>
                <w:color w:val="000000"/>
                <w:kern w:val="10"/>
                <w:sz w:val="24"/>
              </w:rPr>
            </w:pPr>
            <w:r>
              <w:rPr>
                <w:rFonts w:hint="eastAsia" w:ascii="宋体" w:hAnsi="宋体" w:cs="宋体"/>
                <w:color w:val="000000"/>
                <w:kern w:val="10"/>
                <w:sz w:val="24"/>
              </w:rPr>
              <w:t>3.3.1</w:t>
            </w:r>
          </w:p>
        </w:tc>
        <w:tc>
          <w:tcPr>
            <w:tcW w:w="2719" w:type="dxa"/>
            <w:noWrap w:val="0"/>
            <w:vAlign w:val="center"/>
          </w:tcPr>
          <w:p w14:paraId="320AAA1E">
            <w:pPr>
              <w:spacing w:line="360" w:lineRule="auto"/>
              <w:jc w:val="center"/>
              <w:rPr>
                <w:rFonts w:ascii="宋体" w:hAnsi="宋体" w:cs="宋体"/>
                <w:color w:val="000000"/>
                <w:kern w:val="10"/>
                <w:sz w:val="24"/>
              </w:rPr>
            </w:pPr>
            <w:r>
              <w:rPr>
                <w:rFonts w:hint="eastAsia" w:ascii="宋体" w:hAnsi="宋体" w:cs="宋体"/>
                <w:color w:val="000000"/>
                <w:kern w:val="10"/>
                <w:sz w:val="24"/>
              </w:rPr>
              <w:t>投标有效期</w:t>
            </w:r>
          </w:p>
        </w:tc>
        <w:tc>
          <w:tcPr>
            <w:tcW w:w="5714" w:type="dxa"/>
            <w:noWrap w:val="0"/>
            <w:vAlign w:val="center"/>
          </w:tcPr>
          <w:p w14:paraId="42E6C58A">
            <w:pPr>
              <w:spacing w:line="360" w:lineRule="auto"/>
              <w:rPr>
                <w:rFonts w:ascii="宋体" w:hAnsi="宋体" w:cs="宋体"/>
                <w:color w:val="000000"/>
                <w:kern w:val="10"/>
                <w:sz w:val="24"/>
              </w:rPr>
            </w:pPr>
            <w:r>
              <w:rPr>
                <w:rFonts w:hint="eastAsia" w:ascii="宋体" w:hAnsi="宋体" w:cs="宋体"/>
                <w:color w:val="000000"/>
                <w:kern w:val="10"/>
                <w:sz w:val="24"/>
              </w:rPr>
              <w:t xml:space="preserve">自投标截止之日起60日历天 </w:t>
            </w:r>
          </w:p>
        </w:tc>
      </w:tr>
      <w:tr w14:paraId="6198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E47FFD2">
            <w:pPr>
              <w:spacing w:line="360" w:lineRule="auto"/>
              <w:jc w:val="center"/>
              <w:rPr>
                <w:rFonts w:ascii="宋体" w:hAnsi="宋体" w:cs="宋体"/>
                <w:color w:val="000000"/>
                <w:kern w:val="10"/>
                <w:sz w:val="24"/>
              </w:rPr>
            </w:pPr>
            <w:r>
              <w:rPr>
                <w:rFonts w:hint="eastAsia" w:ascii="宋体" w:hAnsi="宋体" w:cs="宋体"/>
                <w:color w:val="000000"/>
                <w:kern w:val="10"/>
                <w:sz w:val="24"/>
              </w:rPr>
              <w:t>3.4.1</w:t>
            </w:r>
          </w:p>
        </w:tc>
        <w:tc>
          <w:tcPr>
            <w:tcW w:w="2719" w:type="dxa"/>
            <w:noWrap w:val="0"/>
            <w:vAlign w:val="center"/>
          </w:tcPr>
          <w:p w14:paraId="54B1C54E">
            <w:pPr>
              <w:spacing w:line="360" w:lineRule="auto"/>
              <w:jc w:val="center"/>
              <w:rPr>
                <w:rFonts w:ascii="宋体" w:hAnsi="宋体" w:cs="宋体"/>
                <w:color w:val="000000"/>
                <w:kern w:val="10"/>
                <w:sz w:val="24"/>
              </w:rPr>
            </w:pPr>
            <w:r>
              <w:rPr>
                <w:rFonts w:hint="eastAsia" w:ascii="宋体" w:hAnsi="宋体" w:cs="宋体"/>
                <w:color w:val="000000"/>
                <w:kern w:val="10"/>
                <w:sz w:val="24"/>
              </w:rPr>
              <w:t>磋商保证金</w:t>
            </w:r>
          </w:p>
        </w:tc>
        <w:tc>
          <w:tcPr>
            <w:tcW w:w="5714" w:type="dxa"/>
            <w:noWrap w:val="0"/>
            <w:vAlign w:val="center"/>
          </w:tcPr>
          <w:p w14:paraId="5A74D6F9">
            <w:pPr>
              <w:spacing w:line="360" w:lineRule="auto"/>
              <w:rPr>
                <w:rFonts w:ascii="宋体" w:hAnsi="宋体"/>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tc>
      </w:tr>
      <w:tr w14:paraId="74D9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7787057">
            <w:pPr>
              <w:spacing w:line="360" w:lineRule="auto"/>
              <w:jc w:val="center"/>
              <w:rPr>
                <w:rFonts w:ascii="宋体" w:hAnsi="宋体" w:cs="宋体"/>
                <w:color w:val="000000"/>
                <w:kern w:val="10"/>
                <w:sz w:val="24"/>
              </w:rPr>
            </w:pPr>
            <w:r>
              <w:rPr>
                <w:rFonts w:hint="eastAsia" w:ascii="宋体" w:hAnsi="宋体" w:cs="宋体"/>
                <w:color w:val="000000"/>
                <w:kern w:val="10"/>
                <w:sz w:val="24"/>
              </w:rPr>
              <w:t>3.6</w:t>
            </w:r>
          </w:p>
        </w:tc>
        <w:tc>
          <w:tcPr>
            <w:tcW w:w="2719" w:type="dxa"/>
            <w:noWrap w:val="0"/>
            <w:vAlign w:val="center"/>
          </w:tcPr>
          <w:p w14:paraId="66C0F0FA">
            <w:pPr>
              <w:spacing w:line="360" w:lineRule="auto"/>
              <w:jc w:val="center"/>
              <w:rPr>
                <w:rFonts w:ascii="宋体" w:hAnsi="宋体" w:cs="宋体"/>
                <w:color w:val="000000"/>
                <w:kern w:val="10"/>
                <w:sz w:val="24"/>
              </w:rPr>
            </w:pPr>
            <w:r>
              <w:rPr>
                <w:rFonts w:hint="eastAsia" w:ascii="宋体" w:hAnsi="宋体" w:cs="宋体"/>
                <w:color w:val="000000"/>
                <w:kern w:val="10"/>
                <w:sz w:val="24"/>
              </w:rPr>
              <w:t>是否允许递交备选投标方案</w:t>
            </w:r>
          </w:p>
        </w:tc>
        <w:tc>
          <w:tcPr>
            <w:tcW w:w="5714" w:type="dxa"/>
            <w:noWrap w:val="0"/>
            <w:vAlign w:val="center"/>
          </w:tcPr>
          <w:p w14:paraId="1B21FD6F">
            <w:pPr>
              <w:spacing w:line="360" w:lineRule="auto"/>
              <w:rPr>
                <w:rFonts w:ascii="宋体" w:hAnsi="宋体" w:cs="宋体"/>
                <w:color w:val="000000"/>
                <w:kern w:val="10"/>
                <w:sz w:val="24"/>
              </w:rPr>
            </w:pPr>
            <w:r>
              <w:rPr>
                <w:rFonts w:hint="eastAsia" w:ascii="宋体" w:hAnsi="宋体" w:cs="宋体"/>
                <w:color w:val="000000"/>
                <w:kern w:val="10"/>
                <w:sz w:val="24"/>
              </w:rPr>
              <w:t>不允许</w:t>
            </w:r>
          </w:p>
        </w:tc>
      </w:tr>
      <w:tr w14:paraId="0BC2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AB4BB89">
            <w:pPr>
              <w:spacing w:line="360" w:lineRule="auto"/>
              <w:jc w:val="center"/>
              <w:rPr>
                <w:rFonts w:ascii="宋体" w:hAnsi="宋体" w:cs="宋体"/>
                <w:color w:val="000000"/>
                <w:kern w:val="10"/>
                <w:sz w:val="24"/>
              </w:rPr>
            </w:pPr>
            <w:r>
              <w:rPr>
                <w:rFonts w:hint="eastAsia" w:ascii="宋体" w:hAnsi="宋体" w:cs="宋体"/>
                <w:color w:val="000000"/>
                <w:kern w:val="10"/>
                <w:sz w:val="24"/>
              </w:rPr>
              <w:t>3.7.3</w:t>
            </w:r>
          </w:p>
        </w:tc>
        <w:tc>
          <w:tcPr>
            <w:tcW w:w="2719" w:type="dxa"/>
            <w:noWrap w:val="0"/>
            <w:vAlign w:val="center"/>
          </w:tcPr>
          <w:p w14:paraId="21028A96">
            <w:pPr>
              <w:spacing w:line="360" w:lineRule="auto"/>
              <w:jc w:val="center"/>
              <w:rPr>
                <w:rFonts w:ascii="宋体" w:hAnsi="宋体" w:cs="宋体"/>
                <w:color w:val="000000"/>
                <w:kern w:val="10"/>
                <w:sz w:val="24"/>
              </w:rPr>
            </w:pPr>
            <w:r>
              <w:rPr>
                <w:rFonts w:hint="eastAsia" w:ascii="宋体" w:hAnsi="宋体" w:cs="宋体"/>
                <w:color w:val="000000"/>
                <w:kern w:val="10"/>
                <w:sz w:val="24"/>
              </w:rPr>
              <w:t>签字或盖章要求</w:t>
            </w:r>
          </w:p>
        </w:tc>
        <w:tc>
          <w:tcPr>
            <w:tcW w:w="5714" w:type="dxa"/>
            <w:noWrap w:val="0"/>
            <w:vAlign w:val="center"/>
          </w:tcPr>
          <w:p w14:paraId="73C78721">
            <w:pPr>
              <w:spacing w:line="360" w:lineRule="auto"/>
              <w:rPr>
                <w:rFonts w:ascii="宋体" w:hAnsi="宋体" w:cs="宋体"/>
                <w:color w:val="000000"/>
                <w:sz w:val="24"/>
              </w:rPr>
            </w:pPr>
            <w:r>
              <w:rPr>
                <w:rFonts w:hint="eastAsia" w:ascii="宋体" w:hAnsi="宋体" w:cs="宋体"/>
                <w:color w:val="000000"/>
                <w:sz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1D20CAA8">
            <w:pPr>
              <w:spacing w:line="360" w:lineRule="auto"/>
              <w:rPr>
                <w:rFonts w:ascii="宋体" w:hAnsi="宋体" w:cs="宋体"/>
                <w:color w:val="000000"/>
                <w:sz w:val="24"/>
              </w:rPr>
            </w:pPr>
            <w:r>
              <w:rPr>
                <w:rFonts w:hint="eastAsia" w:ascii="宋体" w:hAnsi="宋体" w:cs="宋体"/>
                <w:color w:val="000000"/>
                <w:sz w:val="24"/>
              </w:rPr>
              <w:t>2、投标人在进行电子化投标文件签章时，磋商文件中要求投标人盖章的，以签盖单位章为准；要求法定代表人或授权代理人签章的，以签盖法定代表人签章为准。</w:t>
            </w:r>
          </w:p>
          <w:p w14:paraId="5FE2E682">
            <w:pPr>
              <w:spacing w:line="360" w:lineRule="auto"/>
              <w:jc w:val="left"/>
              <w:rPr>
                <w:rFonts w:ascii="宋体" w:hAnsi="宋体" w:cs="宋体"/>
                <w:color w:val="000000"/>
                <w:kern w:val="10"/>
                <w:sz w:val="24"/>
              </w:rPr>
            </w:pPr>
            <w:r>
              <w:rPr>
                <w:rFonts w:hint="eastAsia" w:ascii="宋体" w:hAnsi="宋体" w:cs="宋体"/>
                <w:color w:val="000000"/>
                <w:sz w:val="24"/>
              </w:rPr>
              <w:t>3、电子化投标文件工具请点击</w:t>
            </w:r>
            <w:r>
              <w:rPr>
                <w:rFonts w:hint="eastAsia" w:ascii="宋体" w:hAnsi="宋体" w:cs="宋体"/>
                <w:color w:val="000000"/>
                <w:sz w:val="24"/>
                <w:highlight w:val="none"/>
              </w:rPr>
              <w:t>（</w:t>
            </w:r>
            <w:r>
              <w:rPr>
                <w:rFonts w:hint="eastAsia" w:ascii="宋体" w:hAnsi="宋体" w:eastAsia="宋体" w:cs="宋体"/>
                <w:color w:val="auto"/>
                <w:spacing w:val="1"/>
                <w:kern w:val="0"/>
                <w:sz w:val="24"/>
                <w:szCs w:val="24"/>
                <w:highlight w:val="none"/>
                <w:lang w:eastAsia="zh-CN"/>
              </w:rPr>
              <w:t>http://gzjy.smx.gov.cn/bzzx/008002/moreinfo.html</w:t>
            </w:r>
            <w:r>
              <w:rPr>
                <w:rFonts w:hint="eastAsia" w:ascii="宋体" w:hAnsi="宋体" w:cs="宋体"/>
                <w:color w:val="000000"/>
                <w:sz w:val="24"/>
                <w:highlight w:val="none"/>
              </w:rPr>
              <w:t>）</w:t>
            </w:r>
            <w:r>
              <w:rPr>
                <w:rFonts w:hint="eastAsia" w:ascii="宋体" w:hAnsi="宋体" w:cs="宋体"/>
                <w:color w:val="000000"/>
                <w:sz w:val="24"/>
              </w:rPr>
              <w:t>进行下载。</w:t>
            </w:r>
          </w:p>
        </w:tc>
      </w:tr>
      <w:tr w14:paraId="0A8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F1C277F">
            <w:pPr>
              <w:spacing w:line="360" w:lineRule="auto"/>
              <w:jc w:val="center"/>
              <w:rPr>
                <w:rFonts w:ascii="宋体" w:hAnsi="宋体" w:cs="宋体"/>
                <w:color w:val="000000"/>
                <w:kern w:val="10"/>
                <w:sz w:val="24"/>
              </w:rPr>
            </w:pPr>
            <w:r>
              <w:rPr>
                <w:rFonts w:hint="eastAsia" w:ascii="宋体" w:hAnsi="宋体" w:cs="宋体"/>
                <w:color w:val="000000"/>
                <w:kern w:val="10"/>
                <w:sz w:val="24"/>
              </w:rPr>
              <w:t>5.1</w:t>
            </w:r>
          </w:p>
        </w:tc>
        <w:tc>
          <w:tcPr>
            <w:tcW w:w="2719" w:type="dxa"/>
            <w:noWrap w:val="0"/>
            <w:vAlign w:val="center"/>
          </w:tcPr>
          <w:p w14:paraId="24461241">
            <w:pPr>
              <w:spacing w:line="360" w:lineRule="auto"/>
              <w:jc w:val="center"/>
              <w:rPr>
                <w:rFonts w:ascii="宋体" w:hAnsi="宋体" w:cs="宋体"/>
                <w:color w:val="000000"/>
                <w:kern w:val="10"/>
                <w:sz w:val="24"/>
              </w:rPr>
            </w:pPr>
            <w:r>
              <w:rPr>
                <w:rFonts w:hint="eastAsia" w:ascii="宋体" w:hAnsi="宋体" w:cs="宋体"/>
                <w:color w:val="000000"/>
                <w:kern w:val="10"/>
                <w:sz w:val="24"/>
              </w:rPr>
              <w:t>开标地点</w:t>
            </w:r>
          </w:p>
        </w:tc>
        <w:tc>
          <w:tcPr>
            <w:tcW w:w="5714" w:type="dxa"/>
            <w:noWrap w:val="0"/>
            <w:vAlign w:val="center"/>
          </w:tcPr>
          <w:p w14:paraId="3C750B9B">
            <w:pPr>
              <w:spacing w:line="360" w:lineRule="auto"/>
              <w:rPr>
                <w:rFonts w:ascii="宋体" w:hAnsi="宋体" w:cs="宋体"/>
                <w:color w:val="000000"/>
                <w:kern w:val="10"/>
                <w:sz w:val="24"/>
              </w:rPr>
            </w:pPr>
            <w:r>
              <w:rPr>
                <w:rFonts w:hint="eastAsia" w:ascii="宋体" w:hAnsi="宋体" w:cs="宋体"/>
                <w:sz w:val="24"/>
              </w:rPr>
              <w:t>灵宝市公共资源交易中心</w:t>
            </w:r>
            <w:r>
              <w:rPr>
                <w:rFonts w:hint="eastAsia" w:ascii="宋体" w:hAnsi="宋体" w:cs="宋体"/>
                <w:sz w:val="24"/>
                <w:highlight w:val="none"/>
              </w:rPr>
              <w:t>开标二室</w:t>
            </w:r>
            <w:r>
              <w:rPr>
                <w:rFonts w:hint="eastAsia" w:ascii="宋体" w:hAnsi="宋体" w:cs="宋体"/>
                <w:sz w:val="24"/>
                <w:highlight w:val="none"/>
                <w:lang w:eastAsia="zh-CN"/>
              </w:rPr>
              <w:t>、</w:t>
            </w:r>
            <w:r>
              <w:rPr>
                <w:rFonts w:hint="eastAsia" w:ascii="宋体" w:hAnsi="宋体" w:cs="宋体"/>
                <w:sz w:val="24"/>
                <w:highlight w:val="none"/>
                <w:lang w:val="en-US" w:eastAsia="zh-CN"/>
              </w:rPr>
              <w:t>评标二室</w:t>
            </w:r>
          </w:p>
        </w:tc>
      </w:tr>
      <w:tr w14:paraId="5B4B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6737333">
            <w:pPr>
              <w:spacing w:line="360" w:lineRule="auto"/>
              <w:jc w:val="center"/>
              <w:rPr>
                <w:rFonts w:ascii="宋体" w:hAnsi="宋体" w:cs="宋体"/>
                <w:color w:val="000000"/>
                <w:kern w:val="10"/>
                <w:sz w:val="24"/>
              </w:rPr>
            </w:pPr>
            <w:r>
              <w:rPr>
                <w:rFonts w:hint="eastAsia" w:ascii="宋体" w:hAnsi="宋体" w:cs="宋体"/>
                <w:color w:val="000000"/>
                <w:kern w:val="10"/>
                <w:sz w:val="24"/>
              </w:rPr>
              <w:t>5.2</w:t>
            </w:r>
          </w:p>
        </w:tc>
        <w:tc>
          <w:tcPr>
            <w:tcW w:w="2719" w:type="dxa"/>
            <w:noWrap w:val="0"/>
            <w:vAlign w:val="center"/>
          </w:tcPr>
          <w:p w14:paraId="68D1E159">
            <w:pPr>
              <w:spacing w:line="360" w:lineRule="auto"/>
              <w:jc w:val="center"/>
              <w:rPr>
                <w:rFonts w:ascii="宋体" w:hAnsi="宋体" w:cs="宋体"/>
                <w:color w:val="000000"/>
                <w:kern w:val="10"/>
                <w:sz w:val="24"/>
              </w:rPr>
            </w:pPr>
            <w:r>
              <w:rPr>
                <w:rFonts w:hint="eastAsia" w:ascii="宋体" w:hAnsi="宋体"/>
                <w:color w:val="000000"/>
                <w:kern w:val="0"/>
                <w:sz w:val="24"/>
              </w:rPr>
              <w:t>开标顺序</w:t>
            </w:r>
          </w:p>
        </w:tc>
        <w:tc>
          <w:tcPr>
            <w:tcW w:w="5714" w:type="dxa"/>
            <w:noWrap w:val="0"/>
            <w:vAlign w:val="center"/>
          </w:tcPr>
          <w:p w14:paraId="76548E16">
            <w:pPr>
              <w:spacing w:line="360" w:lineRule="auto"/>
              <w:jc w:val="left"/>
              <w:rPr>
                <w:rFonts w:ascii="宋体" w:hAnsi="宋体"/>
                <w:color w:val="000000"/>
                <w:sz w:val="24"/>
              </w:rPr>
            </w:pPr>
            <w:r>
              <w:rPr>
                <w:rFonts w:hint="eastAsia" w:ascii="宋体" w:hAnsi="宋体"/>
                <w:color w:val="000000"/>
                <w:sz w:val="24"/>
              </w:rPr>
              <w:t>1）开标当日，投标人无需到开标现场参加开标会议，投标人应当在投标截止时间前，登陆不见面开标大厅选择登陆三门峡市公共资源电子招投标系统进行登陆（网址为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olor w:val="000000"/>
                <w:sz w:val="24"/>
              </w:rPr>
              <w:t>）,在线准时参加开标活动并进行响应性文件解密等</w:t>
            </w:r>
          </w:p>
          <w:p w14:paraId="59FDCE06">
            <w:pPr>
              <w:spacing w:line="360" w:lineRule="auto"/>
              <w:jc w:val="left"/>
              <w:rPr>
                <w:rFonts w:ascii="宋体" w:hAnsi="宋体"/>
                <w:color w:val="000000"/>
                <w:sz w:val="24"/>
              </w:rPr>
            </w:pPr>
            <w:r>
              <w:rPr>
                <w:rFonts w:hint="eastAsia" w:ascii="宋体" w:hAnsi="宋体"/>
                <w:color w:val="000000"/>
                <w:sz w:val="24"/>
              </w:rPr>
              <w:t>（2）电子化响应性文件采用一次加密方式。开标时，由投标人使用CA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521BC958">
            <w:pPr>
              <w:spacing w:line="360" w:lineRule="auto"/>
              <w:rPr>
                <w:rFonts w:ascii="宋体" w:hAnsi="宋体"/>
                <w:sz w:val="24"/>
              </w:rPr>
            </w:pPr>
            <w:r>
              <w:rPr>
                <w:rFonts w:hint="eastAsia" w:ascii="宋体" w:hAnsi="宋体"/>
                <w:color w:val="000000"/>
                <w:sz w:val="24"/>
              </w:rPr>
              <w:t>（3）开标结束后，采购人或采购代理机构应当依法对投标人的资格进行审查，合格的投标人不足三家的，不得评标。</w:t>
            </w:r>
          </w:p>
        </w:tc>
      </w:tr>
      <w:tr w14:paraId="2B33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15014CF">
            <w:pPr>
              <w:spacing w:line="360" w:lineRule="auto"/>
              <w:jc w:val="center"/>
              <w:rPr>
                <w:rFonts w:ascii="宋体" w:hAnsi="宋体" w:cs="宋体"/>
                <w:color w:val="000000"/>
                <w:kern w:val="10"/>
                <w:sz w:val="24"/>
              </w:rPr>
            </w:pPr>
            <w:r>
              <w:rPr>
                <w:rFonts w:hint="eastAsia" w:ascii="宋体" w:hAnsi="宋体" w:cs="宋体"/>
                <w:color w:val="000000"/>
                <w:kern w:val="10"/>
                <w:sz w:val="24"/>
              </w:rPr>
              <w:t>6.1.1</w:t>
            </w:r>
          </w:p>
        </w:tc>
        <w:tc>
          <w:tcPr>
            <w:tcW w:w="2719" w:type="dxa"/>
            <w:noWrap w:val="0"/>
            <w:vAlign w:val="center"/>
          </w:tcPr>
          <w:p w14:paraId="7CD0ECF2">
            <w:pPr>
              <w:spacing w:line="360" w:lineRule="auto"/>
              <w:jc w:val="center"/>
              <w:rPr>
                <w:rFonts w:ascii="宋体" w:hAnsi="宋体" w:cs="宋体"/>
                <w:color w:val="000000"/>
                <w:kern w:val="10"/>
                <w:sz w:val="24"/>
              </w:rPr>
            </w:pPr>
            <w:r>
              <w:rPr>
                <w:rFonts w:hint="eastAsia" w:ascii="宋体" w:hAnsi="宋体" w:cs="宋体"/>
                <w:color w:val="000000"/>
                <w:kern w:val="10"/>
                <w:sz w:val="24"/>
              </w:rPr>
              <w:t>磋商小组的组建</w:t>
            </w:r>
          </w:p>
        </w:tc>
        <w:tc>
          <w:tcPr>
            <w:tcW w:w="5714" w:type="dxa"/>
            <w:noWrap w:val="0"/>
            <w:vAlign w:val="center"/>
          </w:tcPr>
          <w:p w14:paraId="3BD9DFE8">
            <w:pPr>
              <w:spacing w:line="360" w:lineRule="auto"/>
              <w:rPr>
                <w:rFonts w:ascii="宋体" w:hAnsi="宋体" w:cs="宋体"/>
                <w:color w:val="000000"/>
                <w:kern w:val="10"/>
                <w:sz w:val="24"/>
              </w:rPr>
            </w:pPr>
            <w:r>
              <w:rPr>
                <w:rFonts w:ascii="宋体" w:hAnsi="宋体" w:cs="宋体"/>
                <w:color w:val="000000"/>
                <w:kern w:val="10"/>
                <w:sz w:val="24"/>
              </w:rPr>
              <w:t>磋商小组</w:t>
            </w:r>
            <w:r>
              <w:rPr>
                <w:rFonts w:hint="eastAsia" w:ascii="宋体" w:hAnsi="宋体" w:cs="宋体"/>
                <w:color w:val="000000"/>
                <w:kern w:val="10"/>
                <w:sz w:val="24"/>
              </w:rPr>
              <w:t>构成：专家3人；</w:t>
            </w:r>
          </w:p>
          <w:p w14:paraId="3D022ABA">
            <w:pPr>
              <w:spacing w:line="360" w:lineRule="auto"/>
              <w:rPr>
                <w:rFonts w:ascii="宋体" w:hAnsi="宋体" w:cs="宋体"/>
                <w:color w:val="000000"/>
                <w:kern w:val="10"/>
                <w:sz w:val="24"/>
              </w:rPr>
            </w:pPr>
            <w:r>
              <w:rPr>
                <w:rFonts w:hint="eastAsia" w:ascii="宋体" w:hAnsi="宋体" w:cs="宋体"/>
                <w:color w:val="000000"/>
                <w:kern w:val="10"/>
                <w:sz w:val="24"/>
              </w:rPr>
              <w:t>评标专家确定方式：采购人代表1人，经济、技术专家2人，开标前从相关评标专家库中随机抽取确定；</w:t>
            </w:r>
          </w:p>
          <w:p w14:paraId="3662EB90">
            <w:pPr>
              <w:spacing w:line="360" w:lineRule="auto"/>
              <w:rPr>
                <w:rFonts w:ascii="宋体" w:hAnsi="宋体" w:cs="宋体"/>
                <w:color w:val="000000"/>
                <w:kern w:val="10"/>
                <w:sz w:val="24"/>
              </w:rPr>
            </w:pPr>
            <w:r>
              <w:rPr>
                <w:rFonts w:ascii="宋体" w:hAnsi="宋体" w:cs="宋体"/>
                <w:color w:val="000000"/>
                <w:kern w:val="10"/>
                <w:sz w:val="24"/>
              </w:rPr>
              <w:t>评标专家确定方式</w:t>
            </w:r>
            <w:r>
              <w:rPr>
                <w:rFonts w:hint="eastAsia" w:ascii="宋体" w:hAnsi="宋体" w:cs="宋体"/>
                <w:color w:val="000000"/>
                <w:kern w:val="10"/>
                <w:sz w:val="24"/>
              </w:rPr>
              <w:t>：从相关专家库中抽取。</w:t>
            </w:r>
          </w:p>
        </w:tc>
      </w:tr>
      <w:tr w14:paraId="04FD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C5F2EEE">
            <w:pPr>
              <w:spacing w:line="360" w:lineRule="auto"/>
              <w:jc w:val="center"/>
              <w:rPr>
                <w:rFonts w:ascii="宋体" w:hAnsi="宋体" w:cs="宋体"/>
                <w:color w:val="000000"/>
                <w:kern w:val="10"/>
                <w:sz w:val="24"/>
              </w:rPr>
            </w:pPr>
            <w:r>
              <w:rPr>
                <w:rFonts w:hint="eastAsia" w:ascii="宋体" w:hAnsi="宋体" w:cs="宋体"/>
                <w:color w:val="000000"/>
                <w:kern w:val="10"/>
                <w:sz w:val="24"/>
              </w:rPr>
              <w:t>7.1</w:t>
            </w:r>
          </w:p>
        </w:tc>
        <w:tc>
          <w:tcPr>
            <w:tcW w:w="2719" w:type="dxa"/>
            <w:noWrap w:val="0"/>
            <w:vAlign w:val="center"/>
          </w:tcPr>
          <w:p w14:paraId="7BF16F80">
            <w:pPr>
              <w:spacing w:line="360" w:lineRule="auto"/>
              <w:jc w:val="center"/>
              <w:rPr>
                <w:rFonts w:ascii="宋体" w:hAnsi="宋体" w:cs="宋体"/>
                <w:color w:val="000000"/>
                <w:kern w:val="10"/>
                <w:sz w:val="24"/>
              </w:rPr>
            </w:pPr>
            <w:r>
              <w:rPr>
                <w:rFonts w:hint="eastAsia" w:ascii="宋体" w:hAnsi="宋体" w:cs="宋体"/>
                <w:color w:val="000000"/>
                <w:kern w:val="10"/>
                <w:sz w:val="24"/>
              </w:rPr>
              <w:t>是否授权磋商小组确定中标单位</w:t>
            </w:r>
          </w:p>
        </w:tc>
        <w:tc>
          <w:tcPr>
            <w:tcW w:w="5714" w:type="dxa"/>
            <w:noWrap w:val="0"/>
            <w:vAlign w:val="center"/>
          </w:tcPr>
          <w:p w14:paraId="5C02D63D">
            <w:pPr>
              <w:spacing w:line="360" w:lineRule="auto"/>
              <w:rPr>
                <w:rFonts w:ascii="宋体" w:hAnsi="宋体" w:cs="宋体"/>
                <w:color w:val="000000"/>
                <w:kern w:val="10"/>
                <w:sz w:val="24"/>
              </w:rPr>
            </w:pPr>
            <w:r>
              <w:rPr>
                <w:rFonts w:hint="eastAsia" w:ascii="宋体" w:hAnsi="宋体" w:cs="宋体"/>
                <w:color w:val="000000"/>
                <w:sz w:val="24"/>
              </w:rPr>
              <w:t>■否</w:t>
            </w:r>
            <w:r>
              <w:rPr>
                <w:rFonts w:hint="eastAsia" w:ascii="宋体" w:hAnsi="宋体" w:cs="宋体"/>
                <w:color w:val="000000"/>
                <w:kern w:val="10"/>
                <w:sz w:val="24"/>
              </w:rPr>
              <w:t>，</w:t>
            </w:r>
            <w:r>
              <w:rPr>
                <w:rFonts w:ascii="宋体" w:hAnsi="宋体" w:cs="宋体"/>
                <w:color w:val="000000"/>
                <w:kern w:val="10"/>
                <w:sz w:val="24"/>
              </w:rPr>
              <w:t>推荐</w:t>
            </w:r>
            <w:r>
              <w:rPr>
                <w:rFonts w:hint="eastAsia" w:ascii="宋体" w:hAnsi="宋体" w:cs="宋体"/>
                <w:color w:val="000000"/>
                <w:kern w:val="10"/>
                <w:sz w:val="24"/>
              </w:rPr>
              <w:t>3名</w:t>
            </w:r>
            <w:r>
              <w:rPr>
                <w:rFonts w:ascii="宋体" w:hAnsi="宋体" w:cs="宋体"/>
                <w:color w:val="000000"/>
                <w:kern w:val="10"/>
                <w:sz w:val="24"/>
              </w:rPr>
              <w:t>中标候选人</w:t>
            </w:r>
          </w:p>
          <w:p w14:paraId="70FEDBE8">
            <w:pPr>
              <w:spacing w:line="360" w:lineRule="auto"/>
              <w:rPr>
                <w:rFonts w:ascii="宋体" w:hAnsi="宋体" w:cs="宋体"/>
                <w:color w:val="000000"/>
                <w:kern w:val="10"/>
                <w:sz w:val="24"/>
              </w:rPr>
            </w:pPr>
            <w:r>
              <w:rPr>
                <w:rFonts w:hint="eastAsia" w:ascii="宋体" w:hAnsi="宋体" w:cs="宋体"/>
                <w:color w:val="000000"/>
                <w:kern w:val="10"/>
                <w:sz w:val="24"/>
              </w:rPr>
              <w:t>采购人确定磋商小组推荐的排名第一的中标候选人为中标人。排名第一的中标候选人放弃中标、因不可抗力不能履行合同，或者被查实存在影响中标结果的违法行为等情形，不符合中标条件的，采购人可以按照磋商小组提出的中标候选人名单排序依次确定其他中标候选人为中标人，也可以重新招标。</w:t>
            </w:r>
          </w:p>
        </w:tc>
      </w:tr>
      <w:tr w14:paraId="41E3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499" w:type="dxa"/>
            <w:gridSpan w:val="3"/>
            <w:noWrap w:val="0"/>
            <w:vAlign w:val="center"/>
          </w:tcPr>
          <w:p w14:paraId="68D9BAF5">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r>
      <w:tr w14:paraId="3A19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F206AC3">
            <w:pPr>
              <w:spacing w:line="360" w:lineRule="auto"/>
              <w:jc w:val="center"/>
              <w:rPr>
                <w:rFonts w:ascii="宋体" w:hAnsi="宋体" w:cs="宋体"/>
                <w:color w:val="000000"/>
                <w:kern w:val="10"/>
                <w:sz w:val="24"/>
              </w:rPr>
            </w:pPr>
            <w:r>
              <w:rPr>
                <w:rFonts w:hint="eastAsia" w:ascii="宋体" w:hAnsi="宋体" w:cs="宋体"/>
                <w:color w:val="000000"/>
                <w:kern w:val="10"/>
                <w:sz w:val="24"/>
              </w:rPr>
              <w:t>1</w:t>
            </w:r>
          </w:p>
        </w:tc>
        <w:tc>
          <w:tcPr>
            <w:tcW w:w="2719" w:type="dxa"/>
            <w:noWrap w:val="0"/>
            <w:vAlign w:val="center"/>
          </w:tcPr>
          <w:p w14:paraId="41FA12E9">
            <w:pPr>
              <w:spacing w:line="360" w:lineRule="auto"/>
              <w:jc w:val="center"/>
              <w:rPr>
                <w:rFonts w:ascii="宋体" w:hAnsi="宋体" w:cs="宋体"/>
                <w:color w:val="000000"/>
                <w:kern w:val="10"/>
                <w:sz w:val="24"/>
              </w:rPr>
            </w:pPr>
            <w:r>
              <w:rPr>
                <w:rFonts w:hint="eastAsia" w:ascii="宋体" w:hAnsi="宋体" w:cs="宋体"/>
                <w:color w:val="000000"/>
                <w:kern w:val="10"/>
                <w:sz w:val="24"/>
              </w:rPr>
              <w:t>付款方式及时间</w:t>
            </w:r>
          </w:p>
        </w:tc>
        <w:tc>
          <w:tcPr>
            <w:tcW w:w="5714" w:type="dxa"/>
            <w:noWrap w:val="0"/>
            <w:vAlign w:val="center"/>
          </w:tcPr>
          <w:p w14:paraId="3773FC36">
            <w:pPr>
              <w:spacing w:line="360" w:lineRule="auto"/>
              <w:rPr>
                <w:rFonts w:ascii="宋体" w:hAnsi="宋体" w:cs="宋体"/>
                <w:color w:val="000000"/>
                <w:kern w:val="10"/>
                <w:sz w:val="24"/>
              </w:rPr>
            </w:pPr>
            <w:r>
              <w:rPr>
                <w:rFonts w:hint="eastAsia" w:ascii="宋体" w:hAnsi="宋体" w:cs="宋体"/>
                <w:color w:val="000000"/>
                <w:kern w:val="10"/>
                <w:sz w:val="24"/>
              </w:rPr>
              <w:t>甲乙双方协商确定</w:t>
            </w:r>
          </w:p>
        </w:tc>
      </w:tr>
      <w:tr w14:paraId="4ABC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38EC6DD5">
            <w:pPr>
              <w:spacing w:line="360" w:lineRule="auto"/>
              <w:jc w:val="center"/>
              <w:rPr>
                <w:rFonts w:ascii="宋体" w:hAnsi="宋体" w:cs="宋体"/>
                <w:color w:val="000000"/>
                <w:kern w:val="10"/>
                <w:sz w:val="24"/>
              </w:rPr>
            </w:pPr>
            <w:r>
              <w:rPr>
                <w:rFonts w:hint="eastAsia" w:ascii="宋体" w:hAnsi="宋体" w:cs="宋体"/>
                <w:color w:val="000000"/>
                <w:kern w:val="10"/>
                <w:sz w:val="24"/>
              </w:rPr>
              <w:t>2</w:t>
            </w:r>
          </w:p>
        </w:tc>
        <w:tc>
          <w:tcPr>
            <w:tcW w:w="2719" w:type="dxa"/>
            <w:noWrap w:val="0"/>
            <w:vAlign w:val="center"/>
          </w:tcPr>
          <w:p w14:paraId="3012188E">
            <w:pPr>
              <w:spacing w:line="360" w:lineRule="auto"/>
              <w:jc w:val="center"/>
              <w:rPr>
                <w:rFonts w:ascii="宋体" w:hAnsi="宋体" w:cs="宋体"/>
                <w:bCs/>
                <w:color w:val="000000"/>
                <w:spacing w:val="-6"/>
                <w:sz w:val="24"/>
                <w:highlight w:val="yellow"/>
              </w:rPr>
            </w:pPr>
            <w:r>
              <w:rPr>
                <w:rFonts w:hint="eastAsia" w:ascii="宋体" w:hAnsi="宋体" w:cs="宋体"/>
                <w:bCs/>
                <w:color w:val="000000"/>
                <w:spacing w:val="11"/>
                <w:sz w:val="24"/>
                <w:highlight w:val="none"/>
              </w:rPr>
              <w:t>履约担保</w:t>
            </w:r>
          </w:p>
        </w:tc>
        <w:tc>
          <w:tcPr>
            <w:tcW w:w="5714" w:type="dxa"/>
            <w:noWrap w:val="0"/>
            <w:vAlign w:val="center"/>
          </w:tcPr>
          <w:p w14:paraId="5A1F974C">
            <w:pPr>
              <w:spacing w:line="360" w:lineRule="auto"/>
              <w:rPr>
                <w:rFonts w:ascii="宋体" w:hAnsi="宋体" w:cs="宋体"/>
                <w:color w:val="000000"/>
                <w:kern w:val="10"/>
                <w:sz w:val="24"/>
                <w:highlight w:val="yellow"/>
              </w:rPr>
            </w:pPr>
            <w:r>
              <w:rPr>
                <w:rFonts w:hint="eastAsia" w:ascii="宋体" w:hAnsi="宋体" w:cs="宋体"/>
                <w:color w:val="000000"/>
                <w:sz w:val="24"/>
              </w:rPr>
              <w:t>根据三门峡市财政局《关于进一步优化提升政府采购营商环境有关事项通知》三财购【2021】14号文件，该项目不收取履约保证金。</w:t>
            </w:r>
          </w:p>
        </w:tc>
      </w:tr>
      <w:tr w14:paraId="0392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D56E94D">
            <w:pPr>
              <w:spacing w:line="360" w:lineRule="auto"/>
              <w:jc w:val="center"/>
              <w:rPr>
                <w:rFonts w:ascii="宋体" w:hAnsi="宋体" w:cs="宋体"/>
                <w:color w:val="000000"/>
                <w:kern w:val="10"/>
                <w:sz w:val="24"/>
              </w:rPr>
            </w:pPr>
            <w:r>
              <w:rPr>
                <w:rFonts w:hint="eastAsia" w:ascii="宋体" w:hAnsi="宋体" w:cs="宋体"/>
                <w:color w:val="000000"/>
                <w:kern w:val="10"/>
                <w:sz w:val="24"/>
              </w:rPr>
              <w:t>3</w:t>
            </w:r>
          </w:p>
        </w:tc>
        <w:tc>
          <w:tcPr>
            <w:tcW w:w="2719" w:type="dxa"/>
            <w:noWrap w:val="0"/>
            <w:vAlign w:val="center"/>
          </w:tcPr>
          <w:p w14:paraId="390FA7B1">
            <w:pPr>
              <w:spacing w:line="360" w:lineRule="auto"/>
              <w:jc w:val="center"/>
              <w:rPr>
                <w:rFonts w:ascii="宋体" w:hAnsi="宋体" w:cs="宋体"/>
                <w:color w:val="000000"/>
                <w:kern w:val="10"/>
                <w:sz w:val="24"/>
              </w:rPr>
            </w:pPr>
            <w:r>
              <w:rPr>
                <w:rFonts w:hint="eastAsia" w:ascii="宋体" w:hAnsi="宋体" w:cs="宋体"/>
                <w:color w:val="000000"/>
                <w:kern w:val="10"/>
                <w:sz w:val="24"/>
              </w:rPr>
              <w:t>采购预算价</w:t>
            </w:r>
          </w:p>
        </w:tc>
        <w:tc>
          <w:tcPr>
            <w:tcW w:w="5714" w:type="dxa"/>
            <w:noWrap w:val="0"/>
            <w:vAlign w:val="center"/>
          </w:tcPr>
          <w:p w14:paraId="020C8585">
            <w:pPr>
              <w:spacing w:line="360" w:lineRule="auto"/>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420000.00</w:t>
            </w:r>
            <w:r>
              <w:rPr>
                <w:rFonts w:hint="eastAsia" w:ascii="宋体" w:hAnsi="宋体" w:cs="宋体"/>
                <w:color w:val="000000"/>
                <w:sz w:val="24"/>
              </w:rPr>
              <w:t>元；</w:t>
            </w:r>
          </w:p>
          <w:p w14:paraId="608CDED1">
            <w:pPr>
              <w:spacing w:line="360" w:lineRule="auto"/>
              <w:rPr>
                <w:rFonts w:ascii="宋体" w:hAnsi="宋体" w:cs="宋体"/>
                <w:color w:val="000000"/>
                <w:kern w:val="10"/>
                <w:sz w:val="24"/>
              </w:rPr>
            </w:pPr>
            <w:r>
              <w:rPr>
                <w:rFonts w:hint="eastAsia" w:ascii="宋体" w:hAnsi="宋体" w:cs="宋体"/>
                <w:color w:val="000000"/>
                <w:sz w:val="24"/>
              </w:rPr>
              <w:t>响应人投标报价超出采购预算价的，视为废标</w:t>
            </w:r>
          </w:p>
        </w:tc>
      </w:tr>
      <w:tr w14:paraId="5EAA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F5DB972">
            <w:pPr>
              <w:spacing w:line="360" w:lineRule="auto"/>
              <w:jc w:val="center"/>
              <w:rPr>
                <w:rFonts w:ascii="宋体" w:hAnsi="宋体" w:cs="宋体"/>
                <w:color w:val="000000"/>
                <w:kern w:val="10"/>
                <w:sz w:val="24"/>
              </w:rPr>
            </w:pPr>
            <w:r>
              <w:rPr>
                <w:rFonts w:hint="eastAsia" w:ascii="宋体" w:hAnsi="宋体" w:cs="宋体"/>
                <w:color w:val="000000"/>
                <w:kern w:val="10"/>
                <w:sz w:val="24"/>
              </w:rPr>
              <w:t>4</w:t>
            </w:r>
          </w:p>
        </w:tc>
        <w:tc>
          <w:tcPr>
            <w:tcW w:w="2719" w:type="dxa"/>
            <w:noWrap w:val="0"/>
            <w:vAlign w:val="center"/>
          </w:tcPr>
          <w:p w14:paraId="067A6996">
            <w:pPr>
              <w:spacing w:line="360" w:lineRule="auto"/>
              <w:jc w:val="center"/>
              <w:rPr>
                <w:rFonts w:ascii="宋体" w:hAnsi="宋体" w:cs="宋体"/>
                <w:color w:val="000000"/>
                <w:kern w:val="10"/>
                <w:sz w:val="24"/>
              </w:rPr>
            </w:pPr>
            <w:r>
              <w:rPr>
                <w:rFonts w:hint="eastAsia" w:ascii="宋体" w:hAnsi="宋体" w:cs="宋体"/>
                <w:color w:val="000000"/>
                <w:kern w:val="10"/>
                <w:sz w:val="24"/>
              </w:rPr>
              <w:t>是否提供样品</w:t>
            </w:r>
          </w:p>
        </w:tc>
        <w:tc>
          <w:tcPr>
            <w:tcW w:w="5714" w:type="dxa"/>
            <w:noWrap w:val="0"/>
            <w:vAlign w:val="center"/>
          </w:tcPr>
          <w:p w14:paraId="19E46F4C">
            <w:pPr>
              <w:spacing w:line="360" w:lineRule="auto"/>
              <w:rPr>
                <w:rFonts w:ascii="宋体" w:hAnsi="宋体" w:cs="宋体"/>
                <w:color w:val="000000"/>
                <w:kern w:val="10"/>
                <w:sz w:val="24"/>
              </w:rPr>
            </w:pPr>
            <w:r>
              <w:rPr>
                <w:rFonts w:hint="eastAsia" w:ascii="宋体" w:hAnsi="宋体"/>
                <w:color w:val="000000"/>
                <w:sz w:val="24"/>
              </w:rPr>
              <w:t>否</w:t>
            </w:r>
          </w:p>
        </w:tc>
      </w:tr>
      <w:tr w14:paraId="6D0C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CAE613F">
            <w:pPr>
              <w:spacing w:line="360" w:lineRule="auto"/>
              <w:jc w:val="center"/>
              <w:rPr>
                <w:rFonts w:ascii="宋体" w:hAnsi="宋体" w:cs="宋体"/>
                <w:color w:val="000000"/>
                <w:kern w:val="10"/>
                <w:sz w:val="24"/>
              </w:rPr>
            </w:pPr>
            <w:r>
              <w:rPr>
                <w:rFonts w:hint="eastAsia" w:ascii="宋体" w:hAnsi="宋体" w:cs="宋体"/>
                <w:color w:val="000000"/>
                <w:kern w:val="10"/>
                <w:sz w:val="24"/>
              </w:rPr>
              <w:t>5</w:t>
            </w:r>
          </w:p>
        </w:tc>
        <w:tc>
          <w:tcPr>
            <w:tcW w:w="2719" w:type="dxa"/>
            <w:noWrap w:val="0"/>
            <w:vAlign w:val="center"/>
          </w:tcPr>
          <w:p w14:paraId="2CF89B8D">
            <w:pPr>
              <w:spacing w:line="360" w:lineRule="auto"/>
              <w:jc w:val="center"/>
              <w:rPr>
                <w:rFonts w:ascii="宋体" w:hAnsi="宋体" w:cs="宋体"/>
                <w:color w:val="000000"/>
                <w:kern w:val="10"/>
                <w:sz w:val="24"/>
              </w:rPr>
            </w:pPr>
            <w:r>
              <w:rPr>
                <w:rFonts w:hint="eastAsia" w:ascii="宋体" w:hAnsi="宋体" w:cs="宋体"/>
                <w:color w:val="000000"/>
                <w:kern w:val="10"/>
                <w:sz w:val="24"/>
              </w:rPr>
              <w:t>报价方式</w:t>
            </w:r>
          </w:p>
        </w:tc>
        <w:tc>
          <w:tcPr>
            <w:tcW w:w="5714" w:type="dxa"/>
            <w:noWrap w:val="0"/>
            <w:vAlign w:val="center"/>
          </w:tcPr>
          <w:p w14:paraId="0CF370F6">
            <w:pPr>
              <w:snapToGrid w:val="0"/>
              <w:spacing w:line="360" w:lineRule="auto"/>
              <w:rPr>
                <w:rFonts w:ascii="宋体" w:hAnsi="宋体" w:cs="宋体"/>
                <w:color w:val="000000"/>
                <w:kern w:val="0"/>
                <w:sz w:val="24"/>
              </w:rPr>
            </w:pPr>
            <w:r>
              <w:rPr>
                <w:rFonts w:hint="eastAsia" w:ascii="宋体" w:hAnsi="宋体" w:cs="宋体"/>
                <w:color w:val="000000"/>
                <w:kern w:val="0"/>
                <w:sz w:val="24"/>
              </w:rPr>
              <w:t>1、本次磋商应以人民币报价。</w:t>
            </w:r>
          </w:p>
          <w:p w14:paraId="5BD90E40">
            <w:pPr>
              <w:snapToGrid w:val="0"/>
              <w:spacing w:line="360" w:lineRule="auto"/>
              <w:rPr>
                <w:rFonts w:ascii="宋体" w:hAnsi="宋体" w:cs="宋体"/>
                <w:color w:val="000000"/>
                <w:kern w:val="0"/>
                <w:sz w:val="24"/>
              </w:rPr>
            </w:pPr>
            <w:r>
              <w:rPr>
                <w:rFonts w:hint="eastAsia" w:ascii="宋体" w:hAnsi="宋体" w:cs="宋体"/>
                <w:color w:val="000000"/>
                <w:kern w:val="0"/>
                <w:sz w:val="24"/>
              </w:rPr>
              <w:t>2、本次磋商中，磋商响应文件中的报价为第一次报价，</w:t>
            </w:r>
            <w:r>
              <w:rPr>
                <w:rFonts w:hint="eastAsia"/>
                <w:color w:val="000000"/>
                <w:sz w:val="24"/>
              </w:rPr>
              <w:t>不得高于项目预算金额且不公开；</w:t>
            </w:r>
          </w:p>
          <w:p w14:paraId="66D34437">
            <w:pPr>
              <w:snapToGrid w:val="0"/>
              <w:spacing w:line="360" w:lineRule="auto"/>
              <w:rPr>
                <w:rFonts w:ascii="宋体" w:hAnsi="宋体" w:cs="宋体"/>
                <w:color w:val="000000"/>
                <w:kern w:val="0"/>
                <w:sz w:val="24"/>
              </w:rPr>
            </w:pPr>
            <w:r>
              <w:rPr>
                <w:rFonts w:hint="eastAsia" w:ascii="宋体" w:hAnsi="宋体" w:cs="宋体"/>
                <w:color w:val="000000"/>
                <w:kern w:val="0"/>
                <w:sz w:val="24"/>
              </w:rPr>
              <w:t>3、磋商投标人可以在磋商小组规定的时间内进行第二次报价，通过交易中心系统以电子形式递交，第二次报价为最终报价；</w:t>
            </w:r>
            <w:r>
              <w:rPr>
                <w:rFonts w:hint="eastAsia" w:ascii="宋体" w:hAnsi="宋体" w:cs="宋体"/>
                <w:bCs/>
                <w:color w:val="000000"/>
                <w:kern w:val="0"/>
                <w:sz w:val="24"/>
              </w:rPr>
              <w:t>第二轮报价不得高于第一轮报价。</w:t>
            </w:r>
          </w:p>
          <w:p w14:paraId="20C49B67">
            <w:pPr>
              <w:spacing w:line="360" w:lineRule="auto"/>
              <w:rPr>
                <w:rFonts w:ascii="宋体" w:hAnsi="宋体" w:cs="宋体"/>
                <w:color w:val="000000"/>
                <w:sz w:val="24"/>
              </w:rPr>
            </w:pPr>
            <w:r>
              <w:rPr>
                <w:rFonts w:hint="eastAsia" w:ascii="宋体" w:hAnsi="宋体" w:cs="宋体"/>
                <w:color w:val="000000"/>
                <w:kern w:val="0"/>
                <w:sz w:val="24"/>
              </w:rPr>
              <w:t>4、最后一轮报价超过磋商控制价的为无效报价。申请单位的最后一轮报价均超过磋商控制价，采购人不能支付的，本项目磋商废止。</w:t>
            </w:r>
          </w:p>
        </w:tc>
      </w:tr>
      <w:tr w14:paraId="726C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83867EE">
            <w:pPr>
              <w:spacing w:line="360" w:lineRule="auto"/>
              <w:jc w:val="center"/>
              <w:rPr>
                <w:rFonts w:hint="eastAsia" w:ascii="宋体" w:hAnsi="宋体" w:eastAsia="宋体" w:cs="宋体"/>
                <w:color w:val="000000"/>
                <w:kern w:val="10"/>
                <w:sz w:val="24"/>
                <w:lang w:eastAsia="zh-CN"/>
              </w:rPr>
            </w:pPr>
            <w:r>
              <w:rPr>
                <w:rFonts w:hint="eastAsia" w:ascii="宋体" w:hAnsi="宋体" w:cs="宋体"/>
                <w:color w:val="000000"/>
                <w:kern w:val="10"/>
                <w:sz w:val="24"/>
                <w:lang w:val="en-US" w:eastAsia="zh-CN"/>
              </w:rPr>
              <w:t>6</w:t>
            </w:r>
          </w:p>
        </w:tc>
        <w:tc>
          <w:tcPr>
            <w:tcW w:w="2719" w:type="dxa"/>
            <w:noWrap w:val="0"/>
            <w:vAlign w:val="center"/>
          </w:tcPr>
          <w:p w14:paraId="6FCB09EF">
            <w:pPr>
              <w:spacing w:line="360" w:lineRule="auto"/>
              <w:jc w:val="center"/>
              <w:rPr>
                <w:rFonts w:ascii="宋体" w:hAnsi="宋体" w:cs="宋体"/>
                <w:color w:val="000000"/>
                <w:kern w:val="10"/>
                <w:sz w:val="24"/>
              </w:rPr>
            </w:pPr>
            <w:r>
              <w:rPr>
                <w:rFonts w:hint="eastAsia" w:ascii="宋体" w:hAnsi="宋体" w:cs="宋体"/>
                <w:color w:val="000000"/>
                <w:kern w:val="10"/>
                <w:sz w:val="24"/>
              </w:rPr>
              <w:t>投标无效条款</w:t>
            </w:r>
          </w:p>
        </w:tc>
        <w:tc>
          <w:tcPr>
            <w:tcW w:w="5714" w:type="dxa"/>
            <w:noWrap w:val="0"/>
            <w:vAlign w:val="center"/>
          </w:tcPr>
          <w:p w14:paraId="3E9DD019">
            <w:pPr>
              <w:spacing w:line="360" w:lineRule="auto"/>
              <w:rPr>
                <w:rFonts w:ascii="宋体" w:hAnsi="宋体"/>
                <w:color w:val="000000"/>
                <w:sz w:val="24"/>
              </w:rPr>
            </w:pPr>
            <w:r>
              <w:rPr>
                <w:rFonts w:hint="eastAsia" w:ascii="宋体" w:hAnsi="宋体"/>
                <w:color w:val="000000"/>
                <w:sz w:val="24"/>
              </w:rPr>
              <w:t>有下列情形之一的，投标无效：</w:t>
            </w:r>
          </w:p>
          <w:p w14:paraId="23F8B480">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响应性文件未按照竞争性磋商文件规定要求签署、盖章的；</w:t>
            </w:r>
          </w:p>
          <w:p w14:paraId="0167F993">
            <w:pPr>
              <w:spacing w:line="360" w:lineRule="auto"/>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报价超过竞争性磋商文件中规定的预算金额或者最高限价的；</w:t>
            </w:r>
          </w:p>
          <w:p w14:paraId="14683AB0">
            <w:pPr>
              <w:spacing w:line="360" w:lineRule="auto"/>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响应性文件含有采购人不能接受的附加条件的；</w:t>
            </w:r>
          </w:p>
          <w:p w14:paraId="292DB1AC">
            <w:pPr>
              <w:spacing w:line="360" w:lineRule="auto"/>
              <w:rPr>
                <w:rFonts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提供的产品与其他投标人为同一品牌，被磋商小组根据竞争性磋商文件规定判定无效的；</w:t>
            </w:r>
          </w:p>
          <w:p w14:paraId="12C3B38F">
            <w:pPr>
              <w:spacing w:line="360" w:lineRule="auto"/>
              <w:rPr>
                <w:rFonts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拒绝接受磋商小组按竞争性磋商文件规定调整报价的；</w:t>
            </w:r>
          </w:p>
          <w:p w14:paraId="2A5D5DD6">
            <w:pPr>
              <w:spacing w:line="360" w:lineRule="auto"/>
              <w:rPr>
                <w:rFonts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磋商小组认为投标人的报价明显低于其他通过符合性审查投标人的报价，有可能影响产品质量或者不能诚信履约，且投标人在规定时间内不能证明其报价合理性的；</w:t>
            </w:r>
          </w:p>
          <w:p w14:paraId="70610D96">
            <w:pPr>
              <w:spacing w:line="360" w:lineRule="auto"/>
              <w:rPr>
                <w:rFonts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拒绝接受采购人延长磋商有效期要求的；</w:t>
            </w:r>
          </w:p>
          <w:p w14:paraId="4E0281C0">
            <w:pPr>
              <w:spacing w:line="360" w:lineRule="auto"/>
              <w:rPr>
                <w:rFonts w:ascii="宋体" w:hAnsi="宋体"/>
                <w:color w:val="000000"/>
                <w:sz w:val="24"/>
              </w:rPr>
            </w:pPr>
            <w:r>
              <w:rPr>
                <w:rFonts w:hint="eastAsia" w:ascii="宋体" w:hAnsi="宋体"/>
                <w:color w:val="000000"/>
                <w:sz w:val="24"/>
              </w:rPr>
              <w:t>(8)</w:t>
            </w:r>
            <w:r>
              <w:rPr>
                <w:rFonts w:hint="eastAsia" w:ascii="宋体" w:hAnsi="宋体"/>
                <w:color w:val="000000"/>
                <w:sz w:val="24"/>
              </w:rPr>
              <w:tab/>
            </w:r>
            <w:r>
              <w:rPr>
                <w:rFonts w:hint="eastAsia" w:ascii="宋体" w:hAnsi="宋体"/>
                <w:color w:val="000000"/>
                <w:sz w:val="24"/>
              </w:rPr>
              <w:t>响应性文件“文件制作机器码”、“文件创建标识码”一致的；</w:t>
            </w:r>
          </w:p>
          <w:p w14:paraId="7B1FA728">
            <w:pPr>
              <w:spacing w:line="360" w:lineRule="auto"/>
              <w:rPr>
                <w:rFonts w:ascii="宋体" w:hAnsi="宋体"/>
                <w:sz w:val="24"/>
              </w:rPr>
            </w:pPr>
            <w:r>
              <w:rPr>
                <w:rFonts w:hint="eastAsia" w:ascii="宋体" w:hAnsi="宋体"/>
                <w:color w:val="000000"/>
                <w:sz w:val="24"/>
              </w:rPr>
              <w:t>(9)</w:t>
            </w:r>
            <w:r>
              <w:rPr>
                <w:rFonts w:hint="eastAsia" w:ascii="宋体" w:hAnsi="宋体"/>
                <w:color w:val="000000"/>
                <w:sz w:val="24"/>
              </w:rPr>
              <w:tab/>
            </w:r>
            <w:r>
              <w:rPr>
                <w:rFonts w:hint="eastAsia" w:ascii="宋体" w:hAnsi="宋体"/>
                <w:color w:val="000000"/>
                <w:sz w:val="24"/>
              </w:rPr>
              <w:t>法律、法规和竞争性磋商文件规定的其他无效情形。</w:t>
            </w:r>
          </w:p>
        </w:tc>
      </w:tr>
      <w:tr w14:paraId="0BE0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E5E40D4">
            <w:pPr>
              <w:spacing w:line="360" w:lineRule="auto"/>
              <w:jc w:val="center"/>
              <w:rPr>
                <w:rFonts w:hint="eastAsia" w:ascii="宋体" w:hAnsi="宋体" w:eastAsia="宋体" w:cs="宋体"/>
                <w:color w:val="000000"/>
                <w:kern w:val="10"/>
                <w:sz w:val="24"/>
                <w:lang w:eastAsia="zh-CN"/>
              </w:rPr>
            </w:pPr>
            <w:r>
              <w:rPr>
                <w:rFonts w:hint="eastAsia" w:ascii="宋体" w:hAnsi="宋体" w:cs="宋体"/>
                <w:color w:val="000000"/>
                <w:kern w:val="10"/>
                <w:sz w:val="24"/>
                <w:lang w:val="en-US" w:eastAsia="zh-CN"/>
              </w:rPr>
              <w:t>7</w:t>
            </w:r>
          </w:p>
        </w:tc>
        <w:tc>
          <w:tcPr>
            <w:tcW w:w="2719" w:type="dxa"/>
            <w:noWrap w:val="0"/>
            <w:vAlign w:val="center"/>
          </w:tcPr>
          <w:p w14:paraId="7DCA3237">
            <w:pPr>
              <w:spacing w:line="360" w:lineRule="auto"/>
              <w:jc w:val="center"/>
              <w:rPr>
                <w:rFonts w:ascii="宋体" w:hAnsi="宋体" w:cs="宋体"/>
                <w:color w:val="000000"/>
                <w:kern w:val="10"/>
                <w:sz w:val="24"/>
              </w:rPr>
            </w:pPr>
            <w:r>
              <w:rPr>
                <w:rFonts w:hint="eastAsia" w:ascii="宋体" w:hAnsi="宋体" w:cs="宋体"/>
                <w:color w:val="000000"/>
                <w:sz w:val="24"/>
              </w:rPr>
              <w:t>政府采购政策</w:t>
            </w:r>
          </w:p>
        </w:tc>
        <w:tc>
          <w:tcPr>
            <w:tcW w:w="5714" w:type="dxa"/>
            <w:noWrap w:val="0"/>
            <w:vAlign w:val="center"/>
          </w:tcPr>
          <w:p w14:paraId="2000DDF3">
            <w:pPr>
              <w:spacing w:line="360" w:lineRule="auto"/>
              <w:rPr>
                <w:rFonts w:ascii="宋体" w:hAnsi="宋体" w:cs="宋体"/>
                <w:color w:val="000000"/>
                <w:kern w:val="10"/>
                <w:sz w:val="24"/>
              </w:rPr>
            </w:pPr>
            <w:r>
              <w:rPr>
                <w:rFonts w:hint="eastAsia" w:ascii="宋体" w:hAnsi="宋体" w:cs="宋体"/>
                <w:color w:val="000000"/>
                <w:kern w:val="10"/>
                <w:sz w:val="24"/>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23372E72">
            <w:pPr>
              <w:spacing w:line="360" w:lineRule="auto"/>
              <w:rPr>
                <w:rFonts w:ascii="宋体" w:hAnsi="宋体" w:cs="宋体"/>
                <w:color w:val="000000"/>
                <w:kern w:val="10"/>
                <w:sz w:val="24"/>
              </w:rPr>
            </w:pPr>
            <w:r>
              <w:rPr>
                <w:rFonts w:hint="eastAsia" w:ascii="宋体" w:hAnsi="宋体" w:cs="宋体"/>
                <w:color w:val="000000"/>
                <w:kern w:val="10"/>
                <w:sz w:val="24"/>
              </w:rPr>
              <w:t>2、关于计算机办公设备，必须执行国家版权局、信息产业部、财政部等部门规定，投标人所投货物必须是国家信息部、版权局、商务部等部门认可的预装正版操作系统软件的计算机产品。</w:t>
            </w:r>
          </w:p>
          <w:p w14:paraId="748B1FCB">
            <w:pPr>
              <w:spacing w:line="360" w:lineRule="auto"/>
              <w:rPr>
                <w:rFonts w:ascii="宋体" w:hAnsi="宋体" w:cs="宋体"/>
                <w:color w:val="000000"/>
                <w:kern w:val="10"/>
                <w:sz w:val="24"/>
              </w:rPr>
            </w:pPr>
            <w:r>
              <w:rPr>
                <w:rFonts w:hint="eastAsia" w:ascii="宋体" w:hAnsi="宋体" w:cs="宋体"/>
                <w:color w:val="000000"/>
                <w:kern w:val="10"/>
                <w:sz w:val="24"/>
              </w:rPr>
              <w:t>3、优先采购本国产品。采购进口产品应符合《中华人民共和国政府采购法》并依法办理论证、公示、审批手续。</w:t>
            </w:r>
          </w:p>
          <w:p w14:paraId="3B36EDAB">
            <w:pPr>
              <w:spacing w:line="360" w:lineRule="auto"/>
              <w:rPr>
                <w:rFonts w:ascii="宋体" w:hAnsi="宋体" w:cs="宋体"/>
                <w:color w:val="000000"/>
                <w:kern w:val="10"/>
                <w:sz w:val="24"/>
              </w:rPr>
            </w:pPr>
            <w:r>
              <w:rPr>
                <w:rFonts w:hint="eastAsia" w:ascii="宋体" w:hAnsi="宋体" w:cs="宋体"/>
                <w:color w:val="000000"/>
                <w:kern w:val="10"/>
                <w:sz w:val="24"/>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708DF125">
            <w:pPr>
              <w:spacing w:line="360" w:lineRule="auto"/>
              <w:rPr>
                <w:rFonts w:ascii="宋体" w:hAnsi="宋体" w:cs="宋体"/>
                <w:color w:val="000000"/>
                <w:kern w:val="10"/>
                <w:sz w:val="24"/>
              </w:rPr>
            </w:pPr>
            <w:r>
              <w:rPr>
                <w:rFonts w:hint="eastAsia" w:ascii="宋体" w:hAnsi="宋体" w:cs="宋体"/>
                <w:color w:val="000000"/>
                <w:kern w:val="10"/>
                <w:sz w:val="24"/>
              </w:rPr>
              <w:t xml:space="preserve">5、落实政府采购政策，对小型、微型企业、监狱企业及残疾人福利性单位产品价格给予 </w:t>
            </w:r>
            <w:r>
              <w:rPr>
                <w:rFonts w:hint="eastAsia" w:ascii="宋体" w:hAnsi="宋体" w:cs="宋体"/>
                <w:color w:val="000000"/>
                <w:kern w:val="10"/>
                <w:sz w:val="24"/>
                <w:lang w:val="en-US" w:eastAsia="zh-CN"/>
              </w:rPr>
              <w:t>20</w:t>
            </w:r>
            <w:r>
              <w:rPr>
                <w:rFonts w:hint="eastAsia" w:ascii="宋体" w:hAnsi="宋体" w:cs="宋体"/>
                <w:color w:val="000000"/>
                <w:kern w:val="10"/>
                <w:sz w:val="24"/>
              </w:rPr>
              <w:t>%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tc>
      </w:tr>
      <w:tr w14:paraId="7B56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1BD88F2">
            <w:pPr>
              <w:spacing w:line="360" w:lineRule="auto"/>
              <w:jc w:val="center"/>
              <w:rPr>
                <w:rFonts w:hint="eastAsia" w:ascii="宋体" w:hAnsi="宋体" w:eastAsia="宋体" w:cs="宋体"/>
                <w:color w:val="000000"/>
                <w:kern w:val="10"/>
                <w:sz w:val="24"/>
                <w:lang w:eastAsia="zh-CN"/>
              </w:rPr>
            </w:pPr>
            <w:r>
              <w:rPr>
                <w:rFonts w:hint="eastAsia" w:ascii="宋体" w:hAnsi="宋体" w:cs="宋体"/>
                <w:color w:val="000000"/>
                <w:kern w:val="10"/>
                <w:sz w:val="24"/>
                <w:lang w:val="en-US" w:eastAsia="zh-CN"/>
              </w:rPr>
              <w:t>8</w:t>
            </w:r>
          </w:p>
        </w:tc>
        <w:tc>
          <w:tcPr>
            <w:tcW w:w="2719" w:type="dxa"/>
            <w:noWrap w:val="0"/>
            <w:vAlign w:val="center"/>
          </w:tcPr>
          <w:p w14:paraId="530C47B8">
            <w:pPr>
              <w:spacing w:line="360" w:lineRule="auto"/>
              <w:jc w:val="center"/>
              <w:rPr>
                <w:rFonts w:ascii="宋体" w:hAnsi="宋体"/>
                <w:color w:val="000000"/>
                <w:kern w:val="0"/>
                <w:sz w:val="24"/>
              </w:rPr>
            </w:pPr>
            <w:r>
              <w:rPr>
                <w:rFonts w:hint="eastAsia" w:ascii="宋体" w:hAnsi="宋体"/>
                <w:color w:val="000000"/>
                <w:kern w:val="0"/>
                <w:sz w:val="24"/>
              </w:rPr>
              <w:t>电子化交易</w:t>
            </w:r>
          </w:p>
          <w:p w14:paraId="44648128">
            <w:pPr>
              <w:spacing w:line="360" w:lineRule="auto"/>
              <w:jc w:val="center"/>
              <w:rPr>
                <w:rFonts w:ascii="宋体" w:hAnsi="宋体"/>
                <w:color w:val="000000"/>
                <w:kern w:val="0"/>
                <w:sz w:val="24"/>
              </w:rPr>
            </w:pPr>
            <w:r>
              <w:rPr>
                <w:rFonts w:hint="eastAsia" w:ascii="宋体" w:hAnsi="宋体"/>
                <w:color w:val="000000"/>
                <w:kern w:val="0"/>
                <w:sz w:val="24"/>
              </w:rPr>
              <w:t>注意事项</w:t>
            </w:r>
          </w:p>
        </w:tc>
        <w:tc>
          <w:tcPr>
            <w:tcW w:w="5714" w:type="dxa"/>
            <w:noWrap w:val="0"/>
            <w:vAlign w:val="center"/>
          </w:tcPr>
          <w:p w14:paraId="556B62DE">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具体要求：本项目为电子化、无纸化交易项目，</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是</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color w:val="auto"/>
                <w:spacing w:val="1"/>
                <w:kern w:val="0"/>
                <w:sz w:val="24"/>
                <w:szCs w:val="24"/>
              </w:rPr>
              <w:t>通过中心</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制作系统制作，并经过签章和加密后生成的电子版</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w:t>
            </w:r>
          </w:p>
          <w:p w14:paraId="1689EE35">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具体制作文件请点击</w:t>
            </w:r>
            <w:r>
              <w:rPr>
                <w:rFonts w:hint="eastAsia" w:ascii="宋体" w:hAnsi="宋体" w:eastAsia="宋体" w:cs="宋体"/>
                <w:color w:val="auto"/>
                <w:spacing w:val="1"/>
                <w:kern w:val="0"/>
                <w:sz w:val="24"/>
                <w:szCs w:val="24"/>
                <w:lang w:val="en-US" w:eastAsia="zh-CN"/>
              </w:rPr>
              <w:t>http://gzjy.smx.gov.cn/bzzx/008002/moreinfo.html</w:t>
            </w:r>
            <w:r>
              <w:rPr>
                <w:rFonts w:hint="eastAsia" w:ascii="宋体" w:hAnsi="宋体" w:eastAsia="宋体" w:cs="宋体"/>
                <w:color w:val="auto"/>
                <w:spacing w:val="1"/>
                <w:kern w:val="0"/>
                <w:sz w:val="24"/>
                <w:szCs w:val="24"/>
              </w:rPr>
              <w:t>进行下载。</w:t>
            </w:r>
          </w:p>
          <w:p w14:paraId="15C440B2">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温馨提示：本项目为电子化、无纸化交易项目，为保证您能投标成功，请需仔细阅读以下条款。</w:t>
            </w:r>
          </w:p>
          <w:p w14:paraId="541A0A2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一、电子化投标</w:t>
            </w:r>
          </w:p>
          <w:p w14:paraId="5137A3B3">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（一）网上投标保证金的缴纳（如有）</w:t>
            </w:r>
          </w:p>
          <w:p w14:paraId="7E2D0044">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 xml:space="preserve">1、递交形式: </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color w:val="auto"/>
                <w:spacing w:val="1"/>
                <w:kern w:val="0"/>
                <w:sz w:val="24"/>
                <w:szCs w:val="24"/>
              </w:rPr>
              <w:t>的投标保证金必须通过</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基本账户以转账或电汇的形式缴纳（账户必须是已加入三门峡市公共资源交易</w:t>
            </w:r>
            <w:r>
              <w:rPr>
                <w:rFonts w:hint="eastAsia" w:ascii="宋体" w:hAnsi="宋体" w:eastAsia="宋体" w:cs="宋体"/>
                <w:color w:val="auto"/>
                <w:kern w:val="2"/>
                <w:sz w:val="24"/>
                <w:szCs w:val="24"/>
                <w:lang w:val="en-US" w:eastAsia="zh-CN" w:bidi="ar-SA"/>
              </w:rPr>
              <w:t>投标人投标人））</w:t>
            </w:r>
            <w:r>
              <w:rPr>
                <w:rFonts w:hint="eastAsia" w:ascii="宋体" w:hAnsi="宋体" w:eastAsia="宋体" w:cs="宋体"/>
                <w:color w:val="auto"/>
                <w:spacing w:val="1"/>
                <w:kern w:val="0"/>
                <w:sz w:val="24"/>
                <w:szCs w:val="24"/>
              </w:rPr>
              <w:t>或</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color w:val="auto"/>
                <w:spacing w:val="1"/>
                <w:kern w:val="0"/>
                <w:sz w:val="24"/>
                <w:szCs w:val="24"/>
                <w:lang w:eastAsia="zh-CN"/>
              </w:rPr>
              <w:t>主体库</w:t>
            </w:r>
            <w:r>
              <w:rPr>
                <w:rFonts w:hint="eastAsia" w:ascii="宋体" w:hAnsi="宋体" w:eastAsia="宋体" w:cs="宋体"/>
                <w:color w:val="auto"/>
                <w:spacing w:val="1"/>
                <w:kern w:val="0"/>
                <w:sz w:val="24"/>
                <w:szCs w:val="24"/>
              </w:rPr>
              <w:t>中的账户）。</w:t>
            </w:r>
          </w:p>
          <w:p w14:paraId="7EB0A21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3、</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color w:val="auto"/>
                <w:spacing w:val="1"/>
                <w:kern w:val="0"/>
                <w:sz w:val="24"/>
                <w:szCs w:val="24"/>
              </w:rPr>
              <w:t>在成功缴纳后，可以将银行回单制作在</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中，作为缴纳保证金的依据。</w:t>
            </w:r>
          </w:p>
          <w:p w14:paraId="4EAE8524">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4、</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应仔细阅读操作手册并充分考虑异地跨行转账到账时间等因素，因</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操作不当或银行到账时间等问题造成开标时间未到达指定账户影响投标的，由</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自行承担后果。</w:t>
            </w:r>
          </w:p>
          <w:p w14:paraId="4E811A1A">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5、未中标</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的投标保证金在项目结束后，将通过中心交易平台退还。</w:t>
            </w:r>
          </w:p>
          <w:p w14:paraId="4CA85B32">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（二）电子化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的签章</w:t>
            </w:r>
          </w:p>
          <w:p w14:paraId="2509D36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在生成电子化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后，应对电子化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进行签章，未进行签章的视为无效投标。</w:t>
            </w:r>
          </w:p>
          <w:p w14:paraId="0A33D71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2、</w:t>
            </w:r>
            <w:r>
              <w:rPr>
                <w:rFonts w:hint="eastAsia" w:ascii="宋体" w:hAnsi="宋体" w:eastAsia="宋体" w:cs="宋体"/>
                <w:color w:val="auto"/>
                <w:spacing w:val="1"/>
                <w:kern w:val="0"/>
                <w:sz w:val="24"/>
                <w:szCs w:val="24"/>
                <w:lang w:eastAsia="zh-CN"/>
              </w:rPr>
              <w:t>磋商文件</w:t>
            </w:r>
            <w:r>
              <w:rPr>
                <w:rFonts w:hint="eastAsia" w:ascii="宋体" w:hAnsi="宋体" w:eastAsia="宋体" w:cs="宋体"/>
                <w:color w:val="auto"/>
                <w:spacing w:val="1"/>
                <w:kern w:val="0"/>
                <w:sz w:val="24"/>
                <w:szCs w:val="24"/>
              </w:rPr>
              <w:t>中要求法定代表人或授权委托人签字或盖章的，</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在进行电子化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签章时，以签盖法定代表人签章为准。</w:t>
            </w:r>
          </w:p>
          <w:p w14:paraId="74E7D3F2">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（三）电子化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的格式及上传投标</w:t>
            </w:r>
          </w:p>
          <w:p w14:paraId="04A28C3F">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所上传的电子化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，应是通过中心</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制作系统制作的</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制作工具下载地址：</w:t>
            </w:r>
            <w:r>
              <w:rPr>
                <w:rFonts w:hint="eastAsia" w:ascii="宋体" w:hAnsi="宋体" w:eastAsia="宋体" w:cs="宋体"/>
                <w:color w:val="auto"/>
                <w:spacing w:val="1"/>
                <w:kern w:val="0"/>
                <w:sz w:val="24"/>
                <w:szCs w:val="24"/>
                <w:lang w:eastAsia="zh-CN"/>
              </w:rPr>
              <w:t>http://gzjy.smx.gov.cn/bzzx/008002/moreinfo.html</w:t>
            </w:r>
            <w:r>
              <w:rPr>
                <w:rFonts w:hint="eastAsia" w:ascii="宋体" w:hAnsi="宋体" w:eastAsia="宋体" w:cs="宋体"/>
                <w:color w:val="auto"/>
                <w:spacing w:val="1"/>
                <w:kern w:val="0"/>
                <w:sz w:val="24"/>
                <w:szCs w:val="24"/>
              </w:rPr>
              <w:t>），经过签章和加密后生成的电子版</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。其中包含用于</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上传的主文件（后缀为.smxtf）和用于应急补救的</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备份文件（后缀为.nsmxtf）。备份文件主要用于电子化开标出现技术问题后的补救，请</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随身携带。</w:t>
            </w:r>
          </w:p>
          <w:p w14:paraId="4DBCDFCE">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lang w:val="en-US" w:eastAsia="zh-CN"/>
              </w:rPr>
              <w:t>2</w:t>
            </w:r>
            <w:r>
              <w:rPr>
                <w:rFonts w:hint="eastAsia" w:ascii="宋体" w:hAnsi="宋体" w:eastAsia="宋体" w:cs="宋体"/>
                <w:color w:val="auto"/>
                <w:spacing w:val="1"/>
                <w:kern w:val="0"/>
                <w:sz w:val="24"/>
                <w:szCs w:val="24"/>
              </w:rPr>
              <w:t>、待所有</w:t>
            </w:r>
            <w:r>
              <w:rPr>
                <w:rFonts w:hint="eastAsia" w:ascii="宋体" w:hAnsi="宋体" w:eastAsia="宋体" w:cs="宋体"/>
                <w:color w:val="auto"/>
                <w:spacing w:val="1"/>
                <w:kern w:val="0"/>
                <w:sz w:val="24"/>
                <w:szCs w:val="24"/>
                <w:lang w:eastAsia="zh-CN"/>
              </w:rPr>
              <w:t>投标人投标文件</w:t>
            </w:r>
            <w:r>
              <w:rPr>
                <w:rFonts w:hint="eastAsia" w:ascii="宋体" w:hAnsi="宋体" w:eastAsia="宋体" w:cs="宋体"/>
                <w:color w:val="auto"/>
                <w:spacing w:val="1"/>
                <w:kern w:val="0"/>
                <w:sz w:val="24"/>
                <w:szCs w:val="24"/>
              </w:rPr>
              <w:t>解密完成后，由中介服务机构操作，对所有已解密</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进行唱标。</w:t>
            </w:r>
          </w:p>
          <w:p w14:paraId="6A4A049F">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应保证在开标期间电话、电脑、网络能够正常工作，</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因停电、电脑病毒、网络堵塞等原因，未在规定的解密时间内对</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进行解密的，其</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不予接收、唱标。</w:t>
            </w:r>
          </w:p>
          <w:p w14:paraId="47C8685C">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lang w:val="en-US" w:eastAsia="zh-CN"/>
              </w:rPr>
              <w:t>3</w:t>
            </w:r>
            <w:r>
              <w:rPr>
                <w:rFonts w:hint="eastAsia" w:ascii="宋体" w:hAnsi="宋体" w:eastAsia="宋体" w:cs="宋体"/>
                <w:color w:val="auto"/>
                <w:spacing w:val="1"/>
                <w:kern w:val="0"/>
                <w:sz w:val="24"/>
                <w:szCs w:val="24"/>
              </w:rPr>
              <w:t>、开标时</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可登录到交易系统中在开标解密栏中点击报价一览表查看自己的投标报价。如对自己的唱标内容有异议的，应在</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解密成功后10分钟内向中介服务机构电话质疑。中介服务机构应在监督人员的监督下进行免提通话接受</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的质疑并做好书面记录。</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未在规定时间内提出质疑的，视为认可唱标内容。</w:t>
            </w:r>
          </w:p>
          <w:p w14:paraId="4E97EE93">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lang w:val="en-US" w:eastAsia="zh-CN"/>
              </w:rPr>
              <w:t>4</w:t>
            </w:r>
            <w:r>
              <w:rPr>
                <w:rFonts w:hint="eastAsia" w:ascii="宋体" w:hAnsi="宋体" w:eastAsia="宋体" w:cs="宋体"/>
                <w:color w:val="auto"/>
                <w:spacing w:val="1"/>
                <w:kern w:val="0"/>
                <w:sz w:val="24"/>
                <w:szCs w:val="24"/>
              </w:rPr>
              <w:t>、评标时，评标委员会对电子化</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有质疑的，将通过电子化交易系统对</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发起质疑，并在监督人员的监督下，用免提模式致电需要答复的</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对质疑进行回复。</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的回复文件必须以经过</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和其法定代表人签章的PDF格式文件为准，并通过电子化交易系统提交至评标委员会。</w:t>
            </w:r>
          </w:p>
          <w:p w14:paraId="2C607A56">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lang w:val="en-US" w:eastAsia="zh-CN"/>
              </w:rPr>
              <w:t>5</w:t>
            </w:r>
            <w:r>
              <w:rPr>
                <w:rFonts w:hint="eastAsia" w:ascii="宋体" w:hAnsi="宋体" w:eastAsia="宋体" w:cs="宋体"/>
                <w:color w:val="auto"/>
                <w:spacing w:val="1"/>
                <w:kern w:val="0"/>
                <w:sz w:val="24"/>
                <w:szCs w:val="24"/>
              </w:rPr>
              <w:t>、如评标委员会对需要回复的</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连续三次致电未接通的，视为</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放弃回复，评标委员会将自行对需要回复的内容进行认定。</w:t>
            </w:r>
          </w:p>
          <w:p w14:paraId="0DF4F4C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二、相关证书原件的提交</w:t>
            </w:r>
          </w:p>
          <w:p w14:paraId="03FD4396">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本项目</w:t>
            </w:r>
            <w:r>
              <w:rPr>
                <w:rFonts w:hint="eastAsia" w:ascii="宋体" w:hAnsi="宋体" w:eastAsia="宋体" w:cs="宋体"/>
                <w:color w:val="auto"/>
                <w:spacing w:val="1"/>
                <w:kern w:val="0"/>
                <w:sz w:val="24"/>
                <w:szCs w:val="24"/>
                <w:lang w:val="en-US" w:eastAsia="zh-CN"/>
              </w:rPr>
              <w:t>招标</w:t>
            </w:r>
            <w:r>
              <w:rPr>
                <w:rFonts w:hint="eastAsia" w:ascii="宋体" w:hAnsi="宋体" w:eastAsia="宋体" w:cs="宋体"/>
                <w:color w:val="auto"/>
                <w:spacing w:val="1"/>
                <w:kern w:val="0"/>
                <w:sz w:val="24"/>
                <w:szCs w:val="24"/>
                <w:lang w:eastAsia="zh-CN"/>
              </w:rPr>
              <w:t>文件</w:t>
            </w:r>
            <w:r>
              <w:rPr>
                <w:rFonts w:hint="eastAsia" w:ascii="宋体" w:hAnsi="宋体" w:eastAsia="宋体" w:cs="宋体"/>
                <w:color w:val="auto"/>
                <w:spacing w:val="1"/>
                <w:kern w:val="0"/>
                <w:sz w:val="24"/>
                <w:szCs w:val="24"/>
              </w:rPr>
              <w:t>中要求</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提交相关资料原件的，</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需将原件扫描件制作到电子</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中，同时将该原件扫描件上传至三门峡市公共资源交易</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w:t>
            </w:r>
            <w:r>
              <w:rPr>
                <w:rFonts w:hint="eastAsia" w:ascii="宋体" w:hAnsi="宋体" w:eastAsia="宋体" w:cs="宋体"/>
                <w:color w:val="auto"/>
                <w:spacing w:val="1"/>
                <w:kern w:val="0"/>
                <w:sz w:val="24"/>
                <w:szCs w:val="24"/>
                <w:lang w:eastAsia="zh-CN"/>
              </w:rPr>
              <w:t>投标人主体库</w:t>
            </w:r>
            <w:r>
              <w:rPr>
                <w:rFonts w:hint="eastAsia" w:ascii="宋体" w:hAnsi="宋体" w:eastAsia="宋体" w:cs="宋体"/>
                <w:color w:val="auto"/>
                <w:spacing w:val="1"/>
                <w:kern w:val="0"/>
                <w:sz w:val="24"/>
                <w:szCs w:val="24"/>
              </w:rPr>
              <w:t>。评标委员会对原件的核验工作按以下条款进行：</w:t>
            </w:r>
          </w:p>
          <w:p w14:paraId="65F07A06">
            <w:pPr>
              <w:autoSpaceDE w:val="0"/>
              <w:autoSpaceDN w:val="0"/>
              <w:adjustRightInd w:val="0"/>
              <w:spacing w:line="420" w:lineRule="exact"/>
              <w:jc w:val="left"/>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rPr>
              <w:t>（一）评标时，评委先查阅</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中是否具有该资料的原件扫描件，再对照审查该资料原件是否已在三门峡市公共资源交易</w:t>
            </w:r>
            <w:r>
              <w:rPr>
                <w:rFonts w:hint="eastAsia" w:ascii="宋体" w:hAnsi="宋体" w:eastAsia="宋体" w:cs="宋体"/>
                <w:color w:val="auto"/>
                <w:spacing w:val="1"/>
                <w:kern w:val="0"/>
                <w:sz w:val="24"/>
                <w:szCs w:val="24"/>
                <w:lang w:eastAsia="zh-CN"/>
              </w:rPr>
              <w:t>投标人主体库</w:t>
            </w:r>
            <w:r>
              <w:rPr>
                <w:rFonts w:hint="eastAsia" w:ascii="宋体" w:hAnsi="宋体" w:eastAsia="宋体" w:cs="宋体"/>
                <w:color w:val="auto"/>
                <w:spacing w:val="1"/>
                <w:kern w:val="0"/>
                <w:sz w:val="24"/>
                <w:szCs w:val="24"/>
              </w:rPr>
              <w:t>中上传且内容一致。</w:t>
            </w:r>
            <w:r>
              <w:rPr>
                <w:rFonts w:hint="eastAsia" w:ascii="宋体" w:hAnsi="宋体" w:eastAsia="宋体" w:cs="宋体"/>
                <w:color w:val="auto"/>
                <w:spacing w:val="1"/>
                <w:kern w:val="0"/>
                <w:sz w:val="24"/>
                <w:szCs w:val="24"/>
                <w:lang w:eastAsia="zh-CN"/>
              </w:rPr>
              <w:t>投标文件</w:t>
            </w:r>
            <w:r>
              <w:rPr>
                <w:rFonts w:hint="eastAsia" w:ascii="宋体" w:hAnsi="宋体" w:eastAsia="宋体" w:cs="宋体"/>
                <w:color w:val="auto"/>
                <w:spacing w:val="1"/>
                <w:kern w:val="0"/>
                <w:sz w:val="24"/>
                <w:szCs w:val="24"/>
              </w:rPr>
              <w:t>中相关原件资料未在</w:t>
            </w:r>
            <w:r>
              <w:rPr>
                <w:rFonts w:hint="eastAsia" w:ascii="宋体" w:hAnsi="宋体" w:eastAsia="宋体" w:cs="宋体"/>
                <w:color w:val="auto"/>
                <w:spacing w:val="1"/>
                <w:kern w:val="0"/>
                <w:sz w:val="24"/>
                <w:szCs w:val="24"/>
                <w:lang w:eastAsia="zh-CN"/>
              </w:rPr>
              <w:t>主体库</w:t>
            </w:r>
            <w:r>
              <w:rPr>
                <w:rFonts w:hint="eastAsia" w:ascii="宋体" w:hAnsi="宋体" w:eastAsia="宋体" w:cs="宋体"/>
                <w:color w:val="auto"/>
                <w:spacing w:val="1"/>
                <w:kern w:val="0"/>
                <w:sz w:val="24"/>
                <w:szCs w:val="24"/>
              </w:rPr>
              <w:t>中上传或上传内容不一致的，</w:t>
            </w:r>
            <w:r>
              <w:rPr>
                <w:rFonts w:hint="eastAsia" w:ascii="宋体" w:hAnsi="宋体" w:eastAsia="宋体" w:cs="宋体"/>
                <w:color w:val="000000"/>
                <w:sz w:val="24"/>
                <w:szCs w:val="24"/>
              </w:rPr>
              <w:t>评审中资格审查、评审打分</w:t>
            </w:r>
            <w:r>
              <w:rPr>
                <w:rFonts w:hint="eastAsia" w:ascii="宋体" w:hAnsi="宋体" w:eastAsia="宋体" w:cs="宋体"/>
                <w:color w:val="000000"/>
                <w:sz w:val="24"/>
                <w:szCs w:val="24"/>
                <w:lang w:val="en-US" w:eastAsia="zh-CN"/>
              </w:rPr>
              <w:t>以投标文件</w:t>
            </w:r>
            <w:r>
              <w:rPr>
                <w:rFonts w:hint="eastAsia" w:ascii="宋体" w:hAnsi="宋体" w:eastAsia="宋体" w:cs="宋体"/>
                <w:color w:val="000000"/>
                <w:sz w:val="24"/>
                <w:szCs w:val="24"/>
              </w:rPr>
              <w:t>为准</w:t>
            </w:r>
            <w:r>
              <w:rPr>
                <w:rFonts w:hint="eastAsia" w:ascii="宋体" w:hAnsi="宋体" w:eastAsia="宋体" w:cs="宋体"/>
                <w:color w:val="auto"/>
                <w:spacing w:val="1"/>
                <w:kern w:val="0"/>
                <w:sz w:val="24"/>
                <w:szCs w:val="24"/>
              </w:rPr>
              <w:t>。</w:t>
            </w:r>
          </w:p>
          <w:p w14:paraId="4ACDC16B">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（二）项目评标结果公示时，将同时公示中标候选人</w:t>
            </w:r>
            <w:r>
              <w:rPr>
                <w:rFonts w:hint="eastAsia" w:ascii="宋体" w:hAnsi="宋体" w:eastAsia="宋体" w:cs="宋体"/>
                <w:color w:val="auto"/>
                <w:spacing w:val="1"/>
                <w:kern w:val="0"/>
                <w:sz w:val="24"/>
                <w:szCs w:val="24"/>
                <w:lang w:eastAsia="zh-CN"/>
              </w:rPr>
              <w:t>主体库</w:t>
            </w:r>
            <w:r>
              <w:rPr>
                <w:rFonts w:hint="eastAsia" w:ascii="宋体" w:hAnsi="宋体" w:eastAsia="宋体" w:cs="宋体"/>
                <w:color w:val="auto"/>
                <w:spacing w:val="1"/>
                <w:kern w:val="0"/>
                <w:sz w:val="24"/>
                <w:szCs w:val="24"/>
              </w:rPr>
              <w:t>信息，接受社会监督。</w:t>
            </w:r>
          </w:p>
          <w:p w14:paraId="1321FE4E">
            <w:pPr>
              <w:autoSpaceDE w:val="0"/>
              <w:autoSpaceDN w:val="0"/>
              <w:adjustRightInd w:val="0"/>
              <w:spacing w:line="420" w:lineRule="exact"/>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（三）</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需应仔细阅读操作手册，保证上传内容齐全，真实有效，原件扫描件清晰可辨。因</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上传原因导致应得分项而未得分或资格审查不合格等情况的，由</w:t>
            </w:r>
            <w:r>
              <w:rPr>
                <w:rFonts w:hint="eastAsia" w:ascii="宋体" w:hAnsi="宋体" w:eastAsia="宋体" w:cs="宋体"/>
                <w:color w:val="auto"/>
                <w:spacing w:val="1"/>
                <w:kern w:val="0"/>
                <w:sz w:val="24"/>
                <w:szCs w:val="24"/>
                <w:lang w:eastAsia="zh-CN"/>
              </w:rPr>
              <w:t>投标人</w:t>
            </w:r>
            <w:r>
              <w:rPr>
                <w:rFonts w:hint="eastAsia" w:ascii="宋体" w:hAnsi="宋体" w:eastAsia="宋体" w:cs="宋体"/>
                <w:color w:val="auto"/>
                <w:spacing w:val="1"/>
                <w:kern w:val="0"/>
                <w:sz w:val="24"/>
                <w:szCs w:val="24"/>
              </w:rPr>
              <w:t>自行承担责任。</w:t>
            </w:r>
          </w:p>
          <w:p w14:paraId="4BAC7BD0">
            <w:pPr>
              <w:autoSpaceDE w:val="0"/>
              <w:autoSpaceDN w:val="0"/>
              <w:adjustRightInd w:val="0"/>
              <w:spacing w:line="420" w:lineRule="exact"/>
              <w:jc w:val="left"/>
              <w:rPr>
                <w:rFonts w:hint="eastAsia" w:ascii="宋体" w:hAnsi="宋体" w:eastAsia="宋体" w:cs="宋体"/>
                <w:color w:val="auto"/>
                <w:spacing w:val="1"/>
                <w:kern w:val="0"/>
                <w:sz w:val="21"/>
                <w:szCs w:val="21"/>
                <w:lang w:val="en-US" w:eastAsia="zh-CN" w:bidi="ar-SA"/>
              </w:rPr>
            </w:pPr>
            <w:r>
              <w:rPr>
                <w:rFonts w:hint="eastAsia" w:ascii="宋体" w:hAnsi="宋体" w:eastAsia="宋体" w:cs="宋体"/>
                <w:b/>
                <w:bCs/>
                <w:color w:val="auto"/>
                <w:spacing w:val="1"/>
                <w:kern w:val="0"/>
                <w:sz w:val="24"/>
                <w:szCs w:val="24"/>
              </w:rPr>
              <w:t>提示：本项目为电子化、无纸化交易项目，为保证您能投标成功，请需仔细阅读以上条款。</w:t>
            </w:r>
          </w:p>
        </w:tc>
      </w:tr>
      <w:tr w14:paraId="244C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AB8C0F6">
            <w:pPr>
              <w:spacing w:line="360" w:lineRule="auto"/>
              <w:jc w:val="center"/>
              <w:rPr>
                <w:rFonts w:hint="eastAsia" w:ascii="宋体" w:hAnsi="宋体" w:eastAsia="宋体" w:cs="宋体"/>
                <w:color w:val="000000"/>
                <w:kern w:val="10"/>
                <w:sz w:val="24"/>
                <w:lang w:eastAsia="zh-CN"/>
              </w:rPr>
            </w:pPr>
            <w:r>
              <w:rPr>
                <w:rFonts w:hint="eastAsia" w:ascii="宋体" w:hAnsi="宋体" w:cs="宋体"/>
                <w:color w:val="000000"/>
                <w:kern w:val="10"/>
                <w:sz w:val="24"/>
                <w:lang w:val="en-US" w:eastAsia="zh-CN"/>
              </w:rPr>
              <w:t>9</w:t>
            </w:r>
          </w:p>
        </w:tc>
        <w:tc>
          <w:tcPr>
            <w:tcW w:w="2719" w:type="dxa"/>
            <w:noWrap w:val="0"/>
            <w:vAlign w:val="center"/>
          </w:tcPr>
          <w:p w14:paraId="4088A02E">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c>
          <w:tcPr>
            <w:tcW w:w="5714" w:type="dxa"/>
            <w:noWrap w:val="0"/>
            <w:vAlign w:val="center"/>
          </w:tcPr>
          <w:p w14:paraId="5F8CA48B">
            <w:pPr>
              <w:snapToGrid w:val="0"/>
              <w:spacing w:line="360" w:lineRule="auto"/>
              <w:textAlignment w:val="auto"/>
              <w:rPr>
                <w:rFonts w:hint="eastAsia" w:ascii="宋体" w:hAnsi="宋体" w:eastAsia="宋体" w:cs="Times New Roman"/>
                <w:spacing w:val="5"/>
                <w:kern w:val="2"/>
                <w:sz w:val="24"/>
                <w:szCs w:val="20"/>
                <w:lang w:eastAsia="zh-CN"/>
              </w:rPr>
            </w:pPr>
            <w:r>
              <w:rPr>
                <w:rFonts w:hint="eastAsia" w:ascii="宋体" w:hAnsi="宋体" w:eastAsia="宋体" w:cs="Times New Roman"/>
                <w:spacing w:val="5"/>
                <w:kern w:val="2"/>
                <w:sz w:val="24"/>
                <w:szCs w:val="20"/>
                <w:lang w:val="en-US" w:eastAsia="zh-CN"/>
              </w:rPr>
              <w:t>1、招标代理服务收费参照豫招协[2023]002号河南省招标投标协会关于印发《河南省招标代理服务收费指导意见》规定的收费标准收取中标服务费</w:t>
            </w:r>
            <w:r>
              <w:rPr>
                <w:rFonts w:hint="eastAsia" w:ascii="宋体" w:hAnsi="宋体" w:eastAsia="宋体" w:cs="Times New Roman"/>
                <w:spacing w:val="5"/>
                <w:kern w:val="2"/>
                <w:sz w:val="24"/>
                <w:szCs w:val="20"/>
              </w:rPr>
              <w:t>，领取中标通知书时一次性支付</w:t>
            </w:r>
            <w:r>
              <w:rPr>
                <w:rFonts w:hint="eastAsia" w:ascii="宋体" w:hAnsi="宋体" w:eastAsia="宋体" w:cs="Times New Roman"/>
                <w:spacing w:val="5"/>
                <w:kern w:val="2"/>
                <w:sz w:val="24"/>
                <w:szCs w:val="20"/>
                <w:lang w:eastAsia="zh-CN"/>
              </w:rPr>
              <w:t>。</w:t>
            </w:r>
          </w:p>
          <w:p w14:paraId="22ACB411">
            <w:pPr>
              <w:snapToGrid w:val="0"/>
              <w:spacing w:line="360" w:lineRule="auto"/>
              <w:textAlignment w:val="auto"/>
              <w:rPr>
                <w:rFonts w:hint="eastAsia" w:ascii="宋体" w:hAnsi="宋体" w:eastAsia="宋体" w:cs="Times New Roman"/>
                <w:spacing w:val="5"/>
                <w:kern w:val="2"/>
                <w:sz w:val="24"/>
                <w:szCs w:val="20"/>
                <w:lang w:eastAsia="zh-CN"/>
              </w:rPr>
            </w:pPr>
            <w:r>
              <w:rPr>
                <w:rFonts w:hint="eastAsia" w:ascii="宋体" w:hAnsi="宋体" w:eastAsia="宋体" w:cs="Times New Roman"/>
                <w:spacing w:val="5"/>
                <w:kern w:val="2"/>
                <w:sz w:val="24"/>
                <w:szCs w:val="20"/>
                <w:lang w:eastAsia="zh-CN"/>
              </w:rPr>
              <w:t>收取方式：现金或转账均可</w:t>
            </w:r>
          </w:p>
          <w:p w14:paraId="41D66294">
            <w:pPr>
              <w:spacing w:line="360" w:lineRule="auto"/>
              <w:jc w:val="left"/>
              <w:rPr>
                <w:rFonts w:hint="eastAsia" w:ascii="宋体" w:hAnsi="宋体" w:eastAsia="宋体" w:cs="Times New Roman"/>
                <w:spacing w:val="5"/>
                <w:sz w:val="24"/>
                <w:szCs w:val="20"/>
                <w:lang w:val="en-US" w:eastAsia="zh-CN"/>
              </w:rPr>
            </w:pPr>
            <w:r>
              <w:rPr>
                <w:rFonts w:hint="eastAsia" w:ascii="宋体" w:hAnsi="宋体" w:eastAsia="宋体" w:cs="Times New Roman"/>
                <w:spacing w:val="5"/>
                <w:sz w:val="24"/>
                <w:szCs w:val="20"/>
                <w:lang w:val="en-US" w:eastAsia="zh-CN"/>
              </w:rPr>
              <w:t>收款单位：天寻国际工程咨询有限公司灵宝分公司</w:t>
            </w:r>
          </w:p>
          <w:p w14:paraId="23104CB6">
            <w:pPr>
              <w:spacing w:line="360" w:lineRule="auto"/>
              <w:jc w:val="left"/>
              <w:rPr>
                <w:rFonts w:hint="eastAsia" w:ascii="宋体" w:hAnsi="宋体" w:eastAsia="宋体" w:cs="Times New Roman"/>
                <w:spacing w:val="5"/>
                <w:sz w:val="24"/>
                <w:szCs w:val="20"/>
                <w:lang w:val="en-US" w:eastAsia="zh-CN"/>
              </w:rPr>
            </w:pPr>
            <w:r>
              <w:rPr>
                <w:rFonts w:hint="eastAsia" w:ascii="宋体" w:hAnsi="宋体" w:eastAsia="宋体" w:cs="Times New Roman"/>
                <w:spacing w:val="5"/>
                <w:sz w:val="24"/>
                <w:szCs w:val="20"/>
                <w:lang w:val="en-US" w:eastAsia="zh-CN"/>
              </w:rPr>
              <w:t>开  户行：中国银行灵宝支行</w:t>
            </w:r>
          </w:p>
          <w:p w14:paraId="5396BA63">
            <w:pPr>
              <w:spacing w:line="360" w:lineRule="auto"/>
              <w:rPr>
                <w:rFonts w:hint="eastAsia" w:ascii="宋体" w:hAnsi="宋体"/>
                <w:color w:val="000000"/>
                <w:sz w:val="24"/>
              </w:rPr>
            </w:pPr>
            <w:r>
              <w:rPr>
                <w:rFonts w:hint="eastAsia" w:ascii="宋体" w:hAnsi="宋体" w:eastAsia="宋体" w:cs="Times New Roman"/>
                <w:spacing w:val="5"/>
                <w:sz w:val="24"/>
                <w:szCs w:val="20"/>
                <w:lang w:val="en-US" w:eastAsia="zh-CN"/>
              </w:rPr>
              <w:t>账     号：255988511153</w:t>
            </w:r>
            <w:r>
              <w:rPr>
                <w:rFonts w:hint="eastAsia" w:ascii="宋体" w:hAnsi="宋体"/>
                <w:color w:val="000000"/>
                <w:sz w:val="24"/>
              </w:rPr>
              <w:t>2</w:t>
            </w:r>
          </w:p>
          <w:p w14:paraId="4E7FCA6F">
            <w:pPr>
              <w:spacing w:line="360" w:lineRule="auto"/>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本项目采用全过程电子化投标，投标人需用 CA 在电子平台上传电子响应性文件，开标时不再递交纸质响应性文件，中标单位领取中标通知书时提交</w:t>
            </w:r>
            <w:r>
              <w:rPr>
                <w:rFonts w:hint="eastAsia" w:ascii="宋体" w:hAnsi="宋体"/>
                <w:color w:val="000000"/>
                <w:sz w:val="24"/>
                <w:lang w:eastAsia="zh-CN"/>
              </w:rPr>
              <w:t>叁</w:t>
            </w:r>
            <w:r>
              <w:rPr>
                <w:rFonts w:hint="eastAsia" w:ascii="宋体" w:hAnsi="宋体"/>
                <w:color w:val="000000"/>
                <w:sz w:val="24"/>
              </w:rPr>
              <w:t>套纸质响应性文件及电子版一份；</w:t>
            </w:r>
          </w:p>
          <w:p w14:paraId="415BC7F8">
            <w:pPr>
              <w:spacing w:line="360" w:lineRule="auto"/>
              <w:rPr>
                <w:rFonts w:ascii="宋体" w:hAnsi="宋体"/>
                <w:sz w:val="24"/>
              </w:rPr>
            </w:pPr>
            <w:r>
              <w:rPr>
                <w:rFonts w:hint="eastAsia" w:ascii="宋体" w:hAnsi="宋体"/>
                <w:color w:val="000000"/>
                <w:sz w:val="24"/>
                <w:lang w:val="en-US" w:eastAsia="zh-CN"/>
              </w:rPr>
              <w:t>3、</w:t>
            </w:r>
            <w:r>
              <w:rPr>
                <w:rFonts w:hint="eastAsia" w:ascii="宋体" w:hAnsi="宋体"/>
                <w:color w:val="000000"/>
                <w:sz w:val="24"/>
              </w:rPr>
              <w:t>竞争性磋商文件的最终解释权归采购人</w:t>
            </w:r>
          </w:p>
        </w:tc>
      </w:tr>
    </w:tbl>
    <w:p w14:paraId="5F211386">
      <w:pPr>
        <w:rPr>
          <w:rFonts w:ascii="宋体" w:hAnsi="宋体" w:cs="宋体"/>
          <w:color w:val="000000"/>
          <w:kern w:val="10"/>
          <w:sz w:val="24"/>
        </w:rPr>
      </w:pPr>
    </w:p>
    <w:p w14:paraId="5907972A">
      <w:pPr>
        <w:spacing w:line="360" w:lineRule="auto"/>
        <w:ind w:firstLine="560" w:firstLineChars="200"/>
        <w:rPr>
          <w:rFonts w:ascii="宋体" w:hAnsi="宋体" w:cs="宋体"/>
          <w:color w:val="000000"/>
          <w:kern w:val="10"/>
          <w:sz w:val="28"/>
          <w:szCs w:val="28"/>
        </w:rPr>
      </w:pPr>
      <w:bookmarkStart w:id="25" w:name="_Toc516499646"/>
      <w:bookmarkStart w:id="26" w:name="_Toc18842"/>
      <w:bookmarkStart w:id="27" w:name="_Toc9231"/>
      <w:bookmarkStart w:id="28" w:name="_Toc15368"/>
      <w:bookmarkStart w:id="29" w:name="_Toc5115"/>
    </w:p>
    <w:p w14:paraId="50985F0C">
      <w:pPr>
        <w:spacing w:line="360" w:lineRule="auto"/>
        <w:ind w:firstLine="560" w:firstLineChars="200"/>
        <w:rPr>
          <w:rFonts w:ascii="宋体" w:hAnsi="宋体" w:cs="宋体"/>
          <w:color w:val="000000"/>
          <w:kern w:val="10"/>
          <w:sz w:val="28"/>
          <w:szCs w:val="28"/>
        </w:rPr>
      </w:pPr>
    </w:p>
    <w:p w14:paraId="196B5D90">
      <w:pPr>
        <w:spacing w:line="360" w:lineRule="auto"/>
        <w:ind w:firstLine="560" w:firstLineChars="200"/>
        <w:rPr>
          <w:rFonts w:ascii="宋体" w:hAnsi="宋体" w:cs="宋体"/>
          <w:color w:val="000000"/>
          <w:kern w:val="10"/>
          <w:sz w:val="28"/>
          <w:szCs w:val="28"/>
        </w:rPr>
      </w:pPr>
    </w:p>
    <w:p w14:paraId="7CB8837D">
      <w:pPr>
        <w:spacing w:line="360" w:lineRule="auto"/>
        <w:ind w:firstLine="560" w:firstLineChars="200"/>
        <w:rPr>
          <w:rFonts w:ascii="宋体" w:hAnsi="宋体" w:cs="宋体"/>
          <w:color w:val="000000"/>
          <w:kern w:val="10"/>
          <w:sz w:val="28"/>
          <w:szCs w:val="28"/>
        </w:rPr>
      </w:pPr>
    </w:p>
    <w:p w14:paraId="0255EF5B">
      <w:pPr>
        <w:spacing w:line="360" w:lineRule="auto"/>
        <w:ind w:firstLine="560" w:firstLineChars="200"/>
        <w:rPr>
          <w:rFonts w:ascii="宋体" w:hAnsi="宋体" w:cs="宋体"/>
          <w:color w:val="000000"/>
          <w:kern w:val="10"/>
          <w:sz w:val="28"/>
          <w:szCs w:val="28"/>
        </w:rPr>
      </w:pPr>
    </w:p>
    <w:p w14:paraId="5A957E97">
      <w:pPr>
        <w:spacing w:line="360" w:lineRule="auto"/>
        <w:ind w:firstLine="560" w:firstLineChars="200"/>
        <w:rPr>
          <w:rFonts w:ascii="宋体" w:hAnsi="宋体" w:cs="宋体"/>
          <w:color w:val="000000"/>
          <w:kern w:val="10"/>
          <w:sz w:val="28"/>
          <w:szCs w:val="28"/>
        </w:rPr>
      </w:pPr>
    </w:p>
    <w:p w14:paraId="2CD8911D">
      <w:pPr>
        <w:spacing w:line="360" w:lineRule="auto"/>
        <w:ind w:firstLine="560" w:firstLineChars="200"/>
        <w:rPr>
          <w:rFonts w:ascii="宋体" w:hAnsi="宋体" w:cs="宋体"/>
          <w:color w:val="000000"/>
          <w:kern w:val="10"/>
          <w:sz w:val="28"/>
          <w:szCs w:val="28"/>
        </w:rPr>
      </w:pPr>
    </w:p>
    <w:p w14:paraId="6C6A3826">
      <w:pPr>
        <w:spacing w:line="360" w:lineRule="auto"/>
        <w:ind w:firstLine="560" w:firstLineChars="200"/>
        <w:rPr>
          <w:rFonts w:ascii="宋体" w:hAnsi="宋体" w:cs="宋体"/>
          <w:color w:val="000000"/>
          <w:kern w:val="10"/>
          <w:sz w:val="28"/>
          <w:szCs w:val="28"/>
        </w:rPr>
      </w:pPr>
    </w:p>
    <w:p w14:paraId="0E969C1D">
      <w:pPr>
        <w:spacing w:line="360" w:lineRule="auto"/>
        <w:ind w:firstLine="560" w:firstLineChars="200"/>
        <w:rPr>
          <w:rFonts w:ascii="宋体" w:hAnsi="宋体" w:cs="宋体"/>
          <w:color w:val="000000"/>
          <w:kern w:val="10"/>
          <w:sz w:val="28"/>
          <w:szCs w:val="28"/>
        </w:rPr>
      </w:pPr>
    </w:p>
    <w:p w14:paraId="6219B305">
      <w:pPr>
        <w:spacing w:line="360" w:lineRule="auto"/>
        <w:ind w:firstLine="560" w:firstLineChars="200"/>
        <w:rPr>
          <w:rFonts w:hint="eastAsia" w:ascii="宋体" w:hAnsi="宋体" w:cs="宋体"/>
          <w:color w:val="000000"/>
          <w:kern w:val="10"/>
          <w:sz w:val="28"/>
          <w:szCs w:val="28"/>
        </w:rPr>
      </w:pPr>
    </w:p>
    <w:p w14:paraId="1511855A">
      <w:pPr>
        <w:spacing w:line="360" w:lineRule="auto"/>
        <w:ind w:firstLine="560" w:firstLineChars="200"/>
        <w:rPr>
          <w:rFonts w:ascii="宋体" w:hAnsi="宋体" w:cs="宋体"/>
          <w:color w:val="000000"/>
          <w:kern w:val="10"/>
          <w:sz w:val="28"/>
          <w:szCs w:val="28"/>
        </w:rPr>
      </w:pPr>
      <w:r>
        <w:rPr>
          <w:rFonts w:hint="eastAsia" w:ascii="宋体" w:hAnsi="宋体" w:cs="宋体"/>
          <w:color w:val="000000"/>
          <w:kern w:val="10"/>
          <w:sz w:val="28"/>
          <w:szCs w:val="28"/>
        </w:rPr>
        <w:t>1、总则</w:t>
      </w:r>
      <w:bookmarkEnd w:id="25"/>
    </w:p>
    <w:p w14:paraId="2E8C1DE4">
      <w:pPr>
        <w:spacing w:line="360" w:lineRule="auto"/>
        <w:ind w:firstLine="480" w:firstLineChars="200"/>
        <w:rPr>
          <w:rFonts w:ascii="宋体" w:hAnsi="宋体"/>
          <w:color w:val="000000"/>
          <w:sz w:val="24"/>
        </w:rPr>
      </w:pPr>
      <w:bookmarkStart w:id="30" w:name="_Toc152045531"/>
      <w:bookmarkStart w:id="31" w:name="_Toc144974499"/>
      <w:bookmarkStart w:id="32" w:name="_Toc152042307"/>
      <w:bookmarkStart w:id="33" w:name="_Toc179632548"/>
      <w:r>
        <w:rPr>
          <w:rFonts w:hint="eastAsia" w:ascii="宋体" w:hAnsi="宋体"/>
          <w:color w:val="000000"/>
          <w:sz w:val="24"/>
        </w:rPr>
        <w:t>1.1 项目概况</w:t>
      </w:r>
    </w:p>
    <w:p w14:paraId="72C157BB">
      <w:pPr>
        <w:spacing w:line="360" w:lineRule="auto"/>
        <w:ind w:firstLine="480" w:firstLineChars="200"/>
        <w:rPr>
          <w:rFonts w:ascii="宋体" w:hAnsi="宋体"/>
          <w:color w:val="000000"/>
          <w:sz w:val="24"/>
        </w:rPr>
      </w:pPr>
      <w:r>
        <w:rPr>
          <w:rFonts w:hint="eastAsia" w:ascii="宋体" w:hAnsi="宋体"/>
          <w:color w:val="000000"/>
          <w:sz w:val="24"/>
        </w:rPr>
        <w:t>1.1.1 根据</w:t>
      </w:r>
      <w:r>
        <w:rPr>
          <w:rFonts w:ascii="宋体" w:hAnsi="宋体"/>
          <w:color w:val="000000"/>
          <w:sz w:val="24"/>
        </w:rPr>
        <w:t>根据《中华人民共和国政府采购法》等有关法律、法规和规章的规定，本招标项目已具备</w:t>
      </w:r>
      <w:r>
        <w:rPr>
          <w:rFonts w:hint="eastAsia" w:ascii="宋体" w:hAnsi="宋体"/>
          <w:color w:val="000000"/>
          <w:sz w:val="24"/>
        </w:rPr>
        <w:t>磋商</w:t>
      </w:r>
      <w:r>
        <w:rPr>
          <w:rFonts w:ascii="宋体" w:hAnsi="宋体"/>
          <w:color w:val="000000"/>
          <w:sz w:val="24"/>
        </w:rPr>
        <w:t>条件，现对本项目进行</w:t>
      </w:r>
      <w:r>
        <w:rPr>
          <w:rFonts w:hint="eastAsia" w:ascii="宋体" w:hAnsi="宋体"/>
          <w:color w:val="000000"/>
          <w:sz w:val="24"/>
        </w:rPr>
        <w:t>磋商。</w:t>
      </w:r>
    </w:p>
    <w:p w14:paraId="0363AA10">
      <w:pPr>
        <w:spacing w:line="360" w:lineRule="auto"/>
        <w:ind w:firstLine="480" w:firstLineChars="200"/>
        <w:rPr>
          <w:rFonts w:ascii="宋体" w:hAnsi="宋体"/>
          <w:color w:val="000000"/>
          <w:sz w:val="24"/>
        </w:rPr>
      </w:pPr>
      <w:r>
        <w:rPr>
          <w:rFonts w:hint="eastAsia" w:ascii="宋体" w:hAnsi="宋体"/>
          <w:color w:val="000000"/>
          <w:sz w:val="24"/>
        </w:rPr>
        <w:t>1.1.2 本项目采购人：见投标人须知前附表。</w:t>
      </w:r>
    </w:p>
    <w:p w14:paraId="557EB859">
      <w:pPr>
        <w:spacing w:line="360" w:lineRule="auto"/>
        <w:ind w:firstLine="480" w:firstLineChars="200"/>
        <w:rPr>
          <w:rFonts w:ascii="宋体" w:hAnsi="宋体"/>
          <w:color w:val="000000"/>
          <w:sz w:val="24"/>
        </w:rPr>
      </w:pPr>
      <w:r>
        <w:rPr>
          <w:rFonts w:hint="eastAsia" w:ascii="宋体" w:hAnsi="宋体"/>
          <w:color w:val="000000"/>
          <w:sz w:val="24"/>
        </w:rPr>
        <w:t>1.1.3 本项目招标代理机构：见投标人须知前附表。</w:t>
      </w:r>
    </w:p>
    <w:p w14:paraId="4474C2B9">
      <w:pPr>
        <w:spacing w:line="360" w:lineRule="auto"/>
        <w:ind w:firstLine="480" w:firstLineChars="200"/>
        <w:rPr>
          <w:rFonts w:ascii="宋体" w:hAnsi="宋体"/>
          <w:color w:val="000000"/>
          <w:sz w:val="24"/>
        </w:rPr>
      </w:pPr>
      <w:r>
        <w:rPr>
          <w:rFonts w:hint="eastAsia" w:ascii="宋体" w:hAnsi="宋体"/>
          <w:color w:val="000000"/>
          <w:sz w:val="24"/>
        </w:rPr>
        <w:t>1.1.4 本项目名称：见投标人须知前附表。</w:t>
      </w:r>
    </w:p>
    <w:bookmarkEnd w:id="30"/>
    <w:bookmarkEnd w:id="31"/>
    <w:bookmarkEnd w:id="32"/>
    <w:bookmarkEnd w:id="33"/>
    <w:p w14:paraId="36D17D5B">
      <w:pPr>
        <w:spacing w:line="360" w:lineRule="auto"/>
        <w:ind w:firstLine="480" w:firstLineChars="200"/>
        <w:rPr>
          <w:rFonts w:ascii="宋体" w:hAnsi="宋体"/>
          <w:color w:val="000000"/>
          <w:sz w:val="24"/>
        </w:rPr>
      </w:pPr>
      <w:r>
        <w:rPr>
          <w:rFonts w:hint="eastAsia" w:ascii="宋体" w:hAnsi="宋体"/>
          <w:color w:val="000000"/>
          <w:sz w:val="24"/>
        </w:rPr>
        <w:t>1.2 资金来源和落实情况</w:t>
      </w:r>
    </w:p>
    <w:p w14:paraId="29055D2D">
      <w:pPr>
        <w:spacing w:line="360" w:lineRule="auto"/>
        <w:ind w:firstLine="480" w:firstLineChars="200"/>
        <w:rPr>
          <w:rFonts w:ascii="宋体" w:hAnsi="宋体"/>
          <w:color w:val="000000"/>
          <w:sz w:val="24"/>
        </w:rPr>
      </w:pPr>
      <w:r>
        <w:rPr>
          <w:rFonts w:hint="eastAsia" w:ascii="宋体" w:hAnsi="宋体"/>
          <w:color w:val="000000"/>
          <w:sz w:val="24"/>
        </w:rPr>
        <w:t>1.2.1 本项目的资金来源：见投标人须知前附表。</w:t>
      </w:r>
    </w:p>
    <w:p w14:paraId="65F5E95C">
      <w:pPr>
        <w:spacing w:line="360" w:lineRule="auto"/>
        <w:ind w:firstLine="480" w:firstLineChars="200"/>
        <w:rPr>
          <w:rFonts w:ascii="宋体" w:hAnsi="宋体"/>
          <w:color w:val="000000"/>
          <w:sz w:val="24"/>
        </w:rPr>
      </w:pPr>
      <w:r>
        <w:rPr>
          <w:rFonts w:hint="eastAsia" w:ascii="宋体" w:hAnsi="宋体"/>
          <w:color w:val="000000"/>
          <w:sz w:val="24"/>
        </w:rPr>
        <w:t>1.2.2 本项目的出资比例：见投标人须知前附表。</w:t>
      </w:r>
    </w:p>
    <w:p w14:paraId="12B658B0">
      <w:pPr>
        <w:spacing w:line="360" w:lineRule="auto"/>
        <w:ind w:firstLine="480" w:firstLineChars="200"/>
        <w:rPr>
          <w:rFonts w:ascii="宋体" w:hAnsi="宋体"/>
          <w:color w:val="000000"/>
          <w:sz w:val="24"/>
        </w:rPr>
      </w:pPr>
      <w:r>
        <w:rPr>
          <w:rFonts w:hint="eastAsia" w:ascii="宋体" w:hAnsi="宋体"/>
          <w:color w:val="000000"/>
          <w:sz w:val="24"/>
        </w:rPr>
        <w:t>1.2.3 本项目的资金落实情况：见投标人须知前附表。</w:t>
      </w:r>
    </w:p>
    <w:p w14:paraId="72A4D950">
      <w:pPr>
        <w:spacing w:line="360" w:lineRule="auto"/>
        <w:ind w:firstLine="480" w:firstLineChars="200"/>
        <w:rPr>
          <w:rFonts w:ascii="宋体" w:hAnsi="宋体"/>
          <w:color w:val="000000"/>
          <w:sz w:val="24"/>
        </w:rPr>
      </w:pPr>
      <w:bookmarkStart w:id="34" w:name="_Toc144974500"/>
      <w:bookmarkStart w:id="35" w:name="_Toc152042308"/>
      <w:bookmarkStart w:id="36" w:name="_Toc179632549"/>
      <w:bookmarkStart w:id="37" w:name="_Toc152045532"/>
      <w:r>
        <w:rPr>
          <w:rFonts w:hint="eastAsia" w:ascii="宋体" w:hAnsi="宋体"/>
          <w:color w:val="000000"/>
          <w:sz w:val="24"/>
        </w:rPr>
        <w:t>1.3 服务范围、服务要求、服务周期、服务地点和质量标准</w:t>
      </w:r>
    </w:p>
    <w:p w14:paraId="7FB291D8">
      <w:pPr>
        <w:spacing w:line="360" w:lineRule="auto"/>
        <w:ind w:firstLine="480" w:firstLineChars="200"/>
        <w:rPr>
          <w:rFonts w:ascii="宋体" w:hAnsi="宋体"/>
          <w:color w:val="000000"/>
          <w:sz w:val="24"/>
        </w:rPr>
      </w:pPr>
      <w:r>
        <w:rPr>
          <w:rFonts w:hint="eastAsia" w:ascii="宋体" w:hAnsi="宋体"/>
          <w:color w:val="000000"/>
          <w:sz w:val="24"/>
        </w:rPr>
        <w:t>1.3.1 本项目服务范围：见投标人须知前附表。</w:t>
      </w:r>
    </w:p>
    <w:p w14:paraId="7E21AD8F">
      <w:pPr>
        <w:spacing w:line="360" w:lineRule="auto"/>
        <w:ind w:firstLine="480" w:firstLineChars="200"/>
        <w:rPr>
          <w:rFonts w:ascii="宋体" w:hAnsi="宋体"/>
          <w:color w:val="000000"/>
          <w:sz w:val="24"/>
        </w:rPr>
      </w:pPr>
      <w:r>
        <w:rPr>
          <w:rFonts w:hint="eastAsia" w:ascii="宋体" w:hAnsi="宋体"/>
          <w:color w:val="000000"/>
          <w:sz w:val="24"/>
        </w:rPr>
        <w:t>1.3.2 本项目的质量标准：见投标人须知前附表</w:t>
      </w:r>
    </w:p>
    <w:p w14:paraId="7ED2C1D1">
      <w:pPr>
        <w:spacing w:line="360" w:lineRule="auto"/>
        <w:ind w:firstLine="480" w:firstLineChars="200"/>
        <w:rPr>
          <w:rFonts w:ascii="宋体" w:hAnsi="宋体"/>
          <w:color w:val="000000"/>
          <w:sz w:val="24"/>
        </w:rPr>
      </w:pPr>
      <w:r>
        <w:rPr>
          <w:rFonts w:hint="eastAsia" w:ascii="宋体" w:hAnsi="宋体"/>
          <w:color w:val="000000"/>
          <w:sz w:val="24"/>
        </w:rPr>
        <w:t>1.3.3 本项目的服务周期：见投标人须知前附表。</w:t>
      </w:r>
    </w:p>
    <w:p w14:paraId="46BF911D">
      <w:pPr>
        <w:spacing w:line="360" w:lineRule="auto"/>
        <w:ind w:firstLine="480" w:firstLineChars="200"/>
        <w:rPr>
          <w:rFonts w:ascii="宋体" w:hAnsi="宋体"/>
          <w:color w:val="000000"/>
          <w:sz w:val="24"/>
        </w:rPr>
      </w:pPr>
      <w:r>
        <w:rPr>
          <w:rFonts w:hint="eastAsia" w:ascii="宋体" w:hAnsi="宋体"/>
          <w:color w:val="000000"/>
          <w:sz w:val="24"/>
        </w:rPr>
        <w:t>1.3.4 本项目服务地点：见投标人须知前附表。</w:t>
      </w:r>
    </w:p>
    <w:bookmarkEnd w:id="34"/>
    <w:bookmarkEnd w:id="35"/>
    <w:bookmarkEnd w:id="36"/>
    <w:bookmarkEnd w:id="37"/>
    <w:p w14:paraId="6DCF431A">
      <w:pPr>
        <w:spacing w:line="360" w:lineRule="auto"/>
        <w:ind w:firstLine="480" w:firstLineChars="200"/>
        <w:rPr>
          <w:rFonts w:ascii="宋体" w:hAnsi="宋体"/>
          <w:color w:val="000000"/>
          <w:sz w:val="24"/>
        </w:rPr>
      </w:pPr>
      <w:bookmarkStart w:id="38" w:name="_Toc179632550"/>
      <w:bookmarkStart w:id="39" w:name="_Toc152042309"/>
      <w:bookmarkStart w:id="40" w:name="_Toc144974501"/>
      <w:bookmarkStart w:id="41" w:name="_Toc152045533"/>
      <w:r>
        <w:rPr>
          <w:rFonts w:hint="eastAsia" w:ascii="宋体" w:hAnsi="宋体"/>
          <w:color w:val="000000"/>
          <w:sz w:val="24"/>
        </w:rPr>
        <w:t>1.4 投标人资格要求</w:t>
      </w:r>
      <w:bookmarkEnd w:id="38"/>
      <w:bookmarkEnd w:id="39"/>
      <w:bookmarkEnd w:id="40"/>
      <w:bookmarkEnd w:id="41"/>
      <w:r>
        <w:rPr>
          <w:rFonts w:hint="eastAsia" w:ascii="宋体" w:hAnsi="宋体"/>
          <w:color w:val="000000"/>
          <w:sz w:val="24"/>
        </w:rPr>
        <w:t>：见投标人须知前附表。</w:t>
      </w:r>
    </w:p>
    <w:p w14:paraId="59B8D3DC">
      <w:pPr>
        <w:spacing w:line="360" w:lineRule="auto"/>
        <w:ind w:firstLine="480" w:firstLineChars="200"/>
        <w:rPr>
          <w:rFonts w:ascii="宋体" w:hAnsi="宋体"/>
          <w:color w:val="000000"/>
          <w:sz w:val="24"/>
        </w:rPr>
      </w:pPr>
      <w:bookmarkStart w:id="42" w:name="_Toc152042311"/>
      <w:bookmarkStart w:id="43" w:name="_Toc144974503"/>
      <w:bookmarkStart w:id="44" w:name="_Toc152045535"/>
      <w:bookmarkStart w:id="45" w:name="_Toc179632552"/>
      <w:r>
        <w:rPr>
          <w:rFonts w:hint="eastAsia" w:ascii="宋体" w:hAnsi="宋体"/>
          <w:color w:val="000000"/>
          <w:sz w:val="24"/>
        </w:rPr>
        <w:t>1.5 费用承担</w:t>
      </w:r>
      <w:bookmarkEnd w:id="42"/>
      <w:bookmarkEnd w:id="43"/>
      <w:bookmarkEnd w:id="44"/>
      <w:bookmarkEnd w:id="45"/>
    </w:p>
    <w:p w14:paraId="2296D833">
      <w:pPr>
        <w:spacing w:line="360" w:lineRule="auto"/>
        <w:ind w:firstLine="480" w:firstLineChars="200"/>
        <w:rPr>
          <w:rFonts w:ascii="宋体" w:hAnsi="宋体"/>
          <w:color w:val="000000"/>
          <w:sz w:val="24"/>
        </w:rPr>
      </w:pPr>
      <w:r>
        <w:rPr>
          <w:rFonts w:hint="eastAsia" w:ascii="宋体" w:hAnsi="宋体"/>
          <w:color w:val="000000"/>
          <w:sz w:val="24"/>
        </w:rPr>
        <w:t>投标人准备和参加投标活动发生的费用自理。</w:t>
      </w:r>
    </w:p>
    <w:p w14:paraId="798D08E9">
      <w:pPr>
        <w:spacing w:line="360" w:lineRule="auto"/>
        <w:ind w:firstLine="480" w:firstLineChars="200"/>
        <w:rPr>
          <w:rFonts w:ascii="宋体" w:hAnsi="宋体"/>
          <w:color w:val="000000"/>
          <w:sz w:val="24"/>
        </w:rPr>
      </w:pPr>
      <w:r>
        <w:rPr>
          <w:rFonts w:hint="eastAsia" w:ascii="宋体" w:hAnsi="宋体"/>
          <w:color w:val="000000"/>
          <w:sz w:val="24"/>
        </w:rPr>
        <w:t>1.6 保密</w:t>
      </w:r>
    </w:p>
    <w:p w14:paraId="7469ACF7">
      <w:pPr>
        <w:spacing w:line="360" w:lineRule="auto"/>
        <w:ind w:firstLine="480" w:firstLineChars="200"/>
        <w:rPr>
          <w:rFonts w:ascii="宋体" w:hAnsi="宋体"/>
          <w:color w:val="000000"/>
          <w:sz w:val="24"/>
        </w:rPr>
      </w:pPr>
      <w:r>
        <w:rPr>
          <w:rFonts w:hint="eastAsia" w:ascii="宋体" w:hAnsi="宋体"/>
          <w:color w:val="000000"/>
          <w:sz w:val="24"/>
        </w:rPr>
        <w:t>参与招标投标活动的各方应对竞争性磋商文件和响应性文件中的商业和技术等秘密保密，违者应对由此造成的后果承担法律责任。</w:t>
      </w:r>
    </w:p>
    <w:p w14:paraId="5F804A05">
      <w:pPr>
        <w:spacing w:line="360" w:lineRule="auto"/>
        <w:ind w:firstLine="480" w:firstLineChars="200"/>
        <w:rPr>
          <w:rFonts w:ascii="宋体" w:hAnsi="宋体"/>
          <w:color w:val="000000"/>
          <w:sz w:val="24"/>
        </w:rPr>
      </w:pPr>
      <w:r>
        <w:rPr>
          <w:rFonts w:hint="eastAsia" w:ascii="宋体" w:hAnsi="宋体"/>
          <w:color w:val="000000"/>
          <w:sz w:val="24"/>
        </w:rPr>
        <w:t>1.7 语言文字</w:t>
      </w:r>
    </w:p>
    <w:p w14:paraId="31777629">
      <w:pPr>
        <w:spacing w:line="360" w:lineRule="auto"/>
        <w:ind w:firstLine="480" w:firstLineChars="200"/>
        <w:rPr>
          <w:rFonts w:ascii="宋体" w:hAnsi="宋体"/>
          <w:color w:val="000000"/>
          <w:sz w:val="24"/>
        </w:rPr>
      </w:pPr>
      <w:r>
        <w:rPr>
          <w:rFonts w:hint="eastAsia" w:ascii="宋体" w:hAnsi="宋体"/>
          <w:color w:val="000000"/>
          <w:sz w:val="24"/>
        </w:rPr>
        <w:t>除专用术语外，与招标投标有关的语言均使用中文。专用术语应附有中文注释。</w:t>
      </w:r>
    </w:p>
    <w:p w14:paraId="31A8ED47">
      <w:pPr>
        <w:spacing w:line="360" w:lineRule="auto"/>
        <w:ind w:firstLine="480" w:firstLineChars="200"/>
        <w:rPr>
          <w:rFonts w:ascii="宋体" w:hAnsi="宋体"/>
          <w:color w:val="000000"/>
          <w:sz w:val="24"/>
        </w:rPr>
      </w:pPr>
      <w:r>
        <w:rPr>
          <w:rFonts w:hint="eastAsia" w:ascii="宋体" w:hAnsi="宋体"/>
          <w:color w:val="000000"/>
          <w:sz w:val="24"/>
        </w:rPr>
        <w:t>1.8计量单位 </w:t>
      </w:r>
    </w:p>
    <w:p w14:paraId="25177AD5">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 </w:t>
      </w:r>
    </w:p>
    <w:p w14:paraId="4B6B1B0D">
      <w:pPr>
        <w:spacing w:line="360" w:lineRule="auto"/>
        <w:ind w:firstLine="480" w:firstLineChars="200"/>
        <w:rPr>
          <w:rFonts w:ascii="宋体" w:hAnsi="宋体"/>
          <w:color w:val="000000"/>
          <w:sz w:val="24"/>
        </w:rPr>
      </w:pPr>
      <w:r>
        <w:rPr>
          <w:rFonts w:hint="eastAsia" w:ascii="宋体" w:hAnsi="宋体"/>
          <w:color w:val="000000"/>
          <w:sz w:val="24"/>
        </w:rPr>
        <w:t>1.9踏勘现场 </w:t>
      </w:r>
    </w:p>
    <w:p w14:paraId="1F857CED">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3B341B49">
      <w:pPr>
        <w:spacing w:line="360" w:lineRule="auto"/>
        <w:ind w:firstLine="480" w:firstLineChars="200"/>
        <w:rPr>
          <w:rFonts w:ascii="宋体" w:hAnsi="宋体"/>
          <w:color w:val="000000"/>
          <w:sz w:val="24"/>
        </w:rPr>
      </w:pPr>
      <w:r>
        <w:rPr>
          <w:rFonts w:hint="eastAsia" w:ascii="宋体" w:hAnsi="宋体"/>
          <w:color w:val="000000"/>
          <w:sz w:val="24"/>
        </w:rPr>
        <w:t>1.10投标预备会 </w:t>
      </w:r>
    </w:p>
    <w:p w14:paraId="2A6BC090">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 </w:t>
      </w:r>
    </w:p>
    <w:p w14:paraId="50EA83DA">
      <w:pPr>
        <w:spacing w:line="360" w:lineRule="auto"/>
        <w:ind w:firstLine="480" w:firstLineChars="200"/>
        <w:rPr>
          <w:rFonts w:ascii="宋体" w:hAnsi="宋体"/>
          <w:color w:val="000000"/>
          <w:sz w:val="24"/>
        </w:rPr>
      </w:pPr>
      <w:r>
        <w:rPr>
          <w:rFonts w:hint="eastAsia" w:ascii="宋体" w:hAnsi="宋体"/>
          <w:color w:val="000000"/>
          <w:sz w:val="24"/>
        </w:rPr>
        <w:t>1.11分包 </w:t>
      </w:r>
    </w:p>
    <w:p w14:paraId="226F2CC8">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 </w:t>
      </w:r>
    </w:p>
    <w:p w14:paraId="4FD3BC47">
      <w:pPr>
        <w:spacing w:line="360" w:lineRule="auto"/>
        <w:ind w:firstLine="480" w:firstLineChars="200"/>
        <w:rPr>
          <w:rFonts w:ascii="宋体" w:hAnsi="宋体"/>
          <w:color w:val="000000"/>
          <w:sz w:val="24"/>
        </w:rPr>
      </w:pPr>
      <w:r>
        <w:rPr>
          <w:rFonts w:hint="eastAsia" w:ascii="宋体" w:hAnsi="宋体"/>
          <w:color w:val="000000"/>
          <w:sz w:val="24"/>
        </w:rPr>
        <w:t>1.12偏离 </w:t>
      </w:r>
    </w:p>
    <w:p w14:paraId="1075133D">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 </w:t>
      </w:r>
    </w:p>
    <w:p w14:paraId="41734D6F">
      <w:pPr>
        <w:spacing w:line="360" w:lineRule="auto"/>
        <w:ind w:firstLine="480" w:firstLineChars="200"/>
        <w:rPr>
          <w:rFonts w:hint="eastAsia" w:ascii="宋体" w:hAnsi="宋体"/>
          <w:color w:val="000000"/>
          <w:sz w:val="24"/>
        </w:rPr>
      </w:pPr>
      <w:bookmarkStart w:id="46" w:name="_Toc516499647"/>
      <w:r>
        <w:rPr>
          <w:rFonts w:hint="eastAsia" w:ascii="宋体" w:hAnsi="宋体"/>
          <w:color w:val="000000"/>
          <w:sz w:val="24"/>
        </w:rPr>
        <w:t>2、竞争性磋商文件</w:t>
      </w:r>
      <w:bookmarkEnd w:id="46"/>
    </w:p>
    <w:p w14:paraId="613A902C">
      <w:pPr>
        <w:spacing w:line="360" w:lineRule="auto"/>
        <w:ind w:firstLine="480" w:firstLineChars="200"/>
        <w:rPr>
          <w:rFonts w:ascii="宋体" w:hAnsi="宋体"/>
          <w:color w:val="000000"/>
          <w:sz w:val="24"/>
        </w:rPr>
      </w:pPr>
      <w:r>
        <w:rPr>
          <w:rFonts w:hint="eastAsia" w:ascii="宋体" w:hAnsi="宋体"/>
          <w:color w:val="000000"/>
          <w:sz w:val="24"/>
        </w:rPr>
        <w:t>2.1 竞争性磋商文件的组成</w:t>
      </w:r>
    </w:p>
    <w:p w14:paraId="3F52535C">
      <w:pPr>
        <w:spacing w:line="360" w:lineRule="auto"/>
        <w:ind w:firstLine="480" w:firstLineChars="200"/>
        <w:rPr>
          <w:rFonts w:ascii="宋体" w:hAnsi="宋体"/>
          <w:color w:val="000000"/>
          <w:sz w:val="24"/>
        </w:rPr>
      </w:pPr>
      <w:r>
        <w:rPr>
          <w:rFonts w:hint="eastAsia" w:ascii="宋体" w:hAnsi="宋体"/>
          <w:color w:val="000000"/>
          <w:sz w:val="24"/>
        </w:rPr>
        <w:t>本竞争性磋商文件包括：</w:t>
      </w:r>
    </w:p>
    <w:p w14:paraId="0851251E">
      <w:pPr>
        <w:spacing w:line="360" w:lineRule="auto"/>
        <w:ind w:firstLine="480" w:firstLineChars="200"/>
        <w:rPr>
          <w:rFonts w:ascii="宋体" w:hAnsi="宋体"/>
          <w:color w:val="000000"/>
          <w:sz w:val="24"/>
        </w:rPr>
      </w:pPr>
      <w:r>
        <w:rPr>
          <w:rFonts w:hint="eastAsia" w:ascii="宋体" w:hAnsi="宋体"/>
          <w:color w:val="000000"/>
          <w:sz w:val="24"/>
        </w:rPr>
        <w:t>（1）竞争性磋商公告</w:t>
      </w:r>
    </w:p>
    <w:p w14:paraId="6F6F5104">
      <w:pPr>
        <w:spacing w:line="360" w:lineRule="auto"/>
        <w:ind w:firstLine="480" w:firstLineChars="200"/>
        <w:rPr>
          <w:rFonts w:ascii="宋体" w:hAnsi="宋体"/>
          <w:color w:val="000000"/>
          <w:sz w:val="24"/>
        </w:rPr>
      </w:pPr>
      <w:r>
        <w:rPr>
          <w:rFonts w:hint="eastAsia" w:ascii="宋体" w:hAnsi="宋体"/>
          <w:color w:val="000000"/>
          <w:sz w:val="24"/>
        </w:rPr>
        <w:t>（2）投标人须知</w:t>
      </w:r>
    </w:p>
    <w:p w14:paraId="4D2B0DF4">
      <w:pPr>
        <w:spacing w:line="360" w:lineRule="auto"/>
        <w:ind w:firstLine="480" w:firstLineChars="200"/>
        <w:rPr>
          <w:rFonts w:ascii="宋体" w:hAnsi="宋体"/>
          <w:color w:val="000000"/>
          <w:sz w:val="24"/>
        </w:rPr>
      </w:pPr>
      <w:r>
        <w:rPr>
          <w:rFonts w:hint="eastAsia" w:ascii="宋体" w:hAnsi="宋体"/>
          <w:color w:val="000000"/>
          <w:sz w:val="24"/>
        </w:rPr>
        <w:t>（3）采购内容要求</w:t>
      </w:r>
    </w:p>
    <w:p w14:paraId="501F063D">
      <w:pPr>
        <w:spacing w:line="360" w:lineRule="auto"/>
        <w:ind w:firstLine="480" w:firstLineChars="200"/>
        <w:rPr>
          <w:rFonts w:ascii="宋体" w:hAnsi="宋体"/>
          <w:color w:val="000000"/>
          <w:sz w:val="24"/>
        </w:rPr>
      </w:pPr>
      <w:r>
        <w:rPr>
          <w:rFonts w:hint="eastAsia" w:ascii="宋体" w:hAnsi="宋体"/>
          <w:color w:val="000000"/>
          <w:sz w:val="24"/>
        </w:rPr>
        <w:t>（4）</w:t>
      </w:r>
      <w:r>
        <w:fldChar w:fldCharType="begin"/>
      </w:r>
      <w:r>
        <w:instrText xml:space="preserve"> HYPERLINK \l "_Toc4944" </w:instrText>
      </w:r>
      <w:r>
        <w:fldChar w:fldCharType="separate"/>
      </w:r>
      <w:r>
        <w:rPr>
          <w:rFonts w:hint="eastAsia" w:ascii="宋体" w:hAnsi="宋体"/>
          <w:color w:val="000000"/>
          <w:sz w:val="24"/>
        </w:rPr>
        <w:t>评标办法（综合评估法）</w:t>
      </w:r>
      <w:r>
        <w:rPr>
          <w:rFonts w:hint="eastAsia" w:ascii="宋体" w:hAnsi="宋体"/>
          <w:color w:val="000000"/>
          <w:sz w:val="24"/>
        </w:rPr>
        <w:fldChar w:fldCharType="end"/>
      </w:r>
    </w:p>
    <w:p w14:paraId="0DEBB20C">
      <w:pPr>
        <w:spacing w:line="360" w:lineRule="auto"/>
        <w:ind w:firstLine="480" w:firstLineChars="200"/>
        <w:rPr>
          <w:rFonts w:ascii="宋体" w:hAnsi="宋体"/>
          <w:color w:val="000000"/>
          <w:sz w:val="24"/>
        </w:rPr>
      </w:pPr>
      <w:r>
        <w:rPr>
          <w:rFonts w:hint="eastAsia" w:ascii="宋体" w:hAnsi="宋体"/>
          <w:color w:val="000000"/>
          <w:sz w:val="24"/>
        </w:rPr>
        <w:t>（5）</w:t>
      </w:r>
      <w:r>
        <w:fldChar w:fldCharType="begin"/>
      </w:r>
      <w:r>
        <w:instrText xml:space="preserve"> HYPERLINK \l "_Toc32230" </w:instrText>
      </w:r>
      <w:r>
        <w:fldChar w:fldCharType="separate"/>
      </w:r>
      <w:r>
        <w:rPr>
          <w:rFonts w:hint="eastAsia" w:ascii="宋体" w:hAnsi="宋体"/>
          <w:color w:val="000000"/>
          <w:sz w:val="24"/>
        </w:rPr>
        <w:t>合同文本格式</w:t>
      </w:r>
      <w:r>
        <w:rPr>
          <w:rFonts w:hint="eastAsia" w:ascii="宋体" w:hAnsi="宋体"/>
          <w:color w:val="000000"/>
          <w:sz w:val="24"/>
        </w:rPr>
        <w:fldChar w:fldCharType="end"/>
      </w:r>
    </w:p>
    <w:p w14:paraId="0424A1A1">
      <w:pPr>
        <w:spacing w:line="360" w:lineRule="auto"/>
        <w:ind w:firstLine="480" w:firstLineChars="200"/>
        <w:rPr>
          <w:rFonts w:ascii="宋体" w:hAnsi="宋体"/>
          <w:color w:val="000000"/>
          <w:sz w:val="24"/>
        </w:rPr>
      </w:pPr>
      <w:r>
        <w:rPr>
          <w:rFonts w:hint="eastAsia" w:ascii="宋体" w:hAnsi="宋体"/>
          <w:color w:val="000000"/>
          <w:sz w:val="24"/>
        </w:rPr>
        <w:t>（6）</w:t>
      </w:r>
      <w:r>
        <w:fldChar w:fldCharType="begin"/>
      </w:r>
      <w:r>
        <w:instrText xml:space="preserve"> HYPERLINK \l "_Toc29907" </w:instrText>
      </w:r>
      <w:r>
        <w:fldChar w:fldCharType="separate"/>
      </w:r>
      <w:r>
        <w:rPr>
          <w:rFonts w:hint="eastAsia" w:ascii="宋体" w:hAnsi="宋体"/>
          <w:color w:val="000000"/>
          <w:sz w:val="24"/>
        </w:rPr>
        <w:t>响应性文件格式</w:t>
      </w:r>
      <w:r>
        <w:rPr>
          <w:rFonts w:hint="eastAsia" w:ascii="宋体" w:hAnsi="宋体"/>
          <w:color w:val="000000"/>
          <w:sz w:val="24"/>
        </w:rPr>
        <w:fldChar w:fldCharType="end"/>
      </w:r>
    </w:p>
    <w:p w14:paraId="06D8885D">
      <w:pPr>
        <w:spacing w:line="360" w:lineRule="auto"/>
        <w:ind w:firstLine="480" w:firstLineChars="200"/>
        <w:rPr>
          <w:rFonts w:ascii="宋体" w:hAnsi="宋体"/>
          <w:color w:val="000000"/>
          <w:sz w:val="24"/>
        </w:rPr>
      </w:pPr>
      <w:r>
        <w:rPr>
          <w:rFonts w:hint="eastAsia" w:ascii="宋体" w:hAnsi="宋体"/>
          <w:color w:val="000000"/>
          <w:sz w:val="24"/>
        </w:rPr>
        <w:t>根据本章第2.2款和第2.3 款对竞争性磋商文件所作的澄清、修改，构成竞争性磋商文件的组成部分。</w:t>
      </w:r>
    </w:p>
    <w:p w14:paraId="0134802B">
      <w:pPr>
        <w:spacing w:line="360" w:lineRule="auto"/>
        <w:ind w:firstLine="480" w:firstLineChars="200"/>
        <w:rPr>
          <w:rFonts w:ascii="宋体" w:hAnsi="宋体"/>
          <w:color w:val="000000"/>
          <w:sz w:val="24"/>
        </w:rPr>
      </w:pPr>
      <w:r>
        <w:rPr>
          <w:rFonts w:hint="eastAsia" w:ascii="宋体" w:hAnsi="宋体"/>
          <w:color w:val="000000"/>
          <w:sz w:val="24"/>
        </w:rPr>
        <w:t>2.2 竞争性磋商文件的澄清</w:t>
      </w:r>
    </w:p>
    <w:p w14:paraId="59A8AA6D">
      <w:pPr>
        <w:spacing w:line="360" w:lineRule="auto"/>
        <w:ind w:firstLine="480" w:firstLineChars="200"/>
        <w:rPr>
          <w:rFonts w:ascii="宋体" w:hAnsi="宋体"/>
          <w:color w:val="000000"/>
          <w:sz w:val="24"/>
        </w:rPr>
      </w:pPr>
      <w:r>
        <w:rPr>
          <w:rFonts w:hint="eastAsia" w:ascii="宋体" w:hAnsi="宋体"/>
          <w:color w:val="000000"/>
          <w:sz w:val="24"/>
        </w:rPr>
        <w:t>投标人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14:paraId="5D4AE1DD">
      <w:pPr>
        <w:spacing w:line="360" w:lineRule="auto"/>
        <w:ind w:firstLine="480" w:firstLineChars="200"/>
        <w:rPr>
          <w:rFonts w:ascii="宋体" w:hAnsi="宋体"/>
          <w:color w:val="000000"/>
          <w:sz w:val="24"/>
        </w:rPr>
      </w:pPr>
      <w:r>
        <w:rPr>
          <w:rFonts w:hint="eastAsia" w:ascii="宋体" w:hAnsi="宋体"/>
          <w:color w:val="000000"/>
          <w:sz w:val="24"/>
        </w:rPr>
        <w:t>2.3 竞争性磋商文件的修改</w:t>
      </w:r>
    </w:p>
    <w:p w14:paraId="129211CD">
      <w:pPr>
        <w:spacing w:line="360" w:lineRule="auto"/>
        <w:ind w:firstLine="482" w:firstLineChars="200"/>
        <w:rPr>
          <w:rFonts w:ascii="宋体" w:hAnsi="宋体"/>
          <w:b/>
          <w:bCs/>
          <w:color w:val="000000"/>
          <w:sz w:val="24"/>
        </w:rPr>
      </w:pPr>
      <w:bookmarkStart w:id="47" w:name="_Toc516499648"/>
      <w:r>
        <w:rPr>
          <w:rFonts w:ascii="宋体" w:hAnsi="宋体"/>
          <w:b/>
          <w:bCs/>
          <w:color w:val="000000"/>
          <w:sz w:val="24"/>
        </w:rPr>
        <w:t>2.3.1 在投标截止时间5天前，采购人可以修改竞争性磋商文件，并以变更公告形式通知所有已购买竞争性竞争性磋商文件的投标人</w:t>
      </w:r>
      <w:r>
        <w:rPr>
          <w:rFonts w:hint="eastAsia" w:ascii="宋体" w:hAnsi="宋体"/>
          <w:b/>
          <w:bCs/>
          <w:color w:val="000000"/>
          <w:sz w:val="24"/>
        </w:rPr>
        <w:t>。</w:t>
      </w:r>
    </w:p>
    <w:p w14:paraId="3C7D0745">
      <w:pPr>
        <w:spacing w:line="360" w:lineRule="auto"/>
        <w:ind w:firstLine="482" w:firstLineChars="200"/>
        <w:rPr>
          <w:rFonts w:ascii="宋体" w:hAnsi="宋体"/>
          <w:b/>
          <w:bCs/>
          <w:color w:val="000000"/>
          <w:sz w:val="24"/>
        </w:rPr>
      </w:pPr>
      <w:r>
        <w:rPr>
          <w:rFonts w:ascii="宋体" w:hAnsi="宋体"/>
          <w:b/>
          <w:bCs/>
          <w:color w:val="000000"/>
          <w:sz w:val="24"/>
        </w:rPr>
        <w:t>2.3.2如果修改竞争性竞争性磋商文件，会在三门峡市公共资源交易中心网发布变更公告，不再发纸质的变更信息。提醒投标人随时注意网上发布的信息。如因投标人自身原因未看到信息，因此造成的一切后果由投标人自行承担。</w:t>
      </w:r>
    </w:p>
    <w:p w14:paraId="285062D1">
      <w:pPr>
        <w:spacing w:line="360" w:lineRule="auto"/>
        <w:ind w:firstLine="482" w:firstLineChars="200"/>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3.3为使投标人在准备竞争性竞争性磋商文件时有合理的时间考虑竞争性竞争性磋商文件的修改，招标代理机构可酌情推迟投标截止时间和开标时间，但应当至少在投标截止时间三个日历</w:t>
      </w:r>
      <w:r>
        <w:rPr>
          <w:rFonts w:hint="eastAsia" w:ascii="宋体" w:hAnsi="宋体"/>
          <w:b/>
          <w:bCs/>
          <w:color w:val="000000"/>
          <w:sz w:val="24"/>
        </w:rPr>
        <w:t>天</w:t>
      </w:r>
      <w:r>
        <w:rPr>
          <w:rFonts w:ascii="宋体" w:hAnsi="宋体"/>
          <w:b/>
          <w:bCs/>
          <w:color w:val="000000"/>
          <w:sz w:val="24"/>
        </w:rPr>
        <w:t>前将变更时间以发布变更公告的形式通知所有投标人。该修改内容为竞争性竞争性磋商文件的组成部分。在此情况下，采购人和投标人受投标截止期制约的所有权利和义务均应延长至新的截止日期。</w:t>
      </w:r>
    </w:p>
    <w:p w14:paraId="4CD1FE63">
      <w:pPr>
        <w:spacing w:line="360" w:lineRule="auto"/>
        <w:ind w:firstLine="480" w:firstLineChars="200"/>
        <w:rPr>
          <w:rFonts w:hint="eastAsia" w:ascii="宋体" w:hAnsi="宋体"/>
          <w:color w:val="000000"/>
          <w:sz w:val="24"/>
        </w:rPr>
      </w:pPr>
      <w:r>
        <w:rPr>
          <w:rFonts w:hint="eastAsia" w:ascii="宋体" w:hAnsi="宋体"/>
          <w:color w:val="000000"/>
          <w:sz w:val="24"/>
        </w:rPr>
        <w:t>3、响应性文件</w:t>
      </w:r>
      <w:bookmarkEnd w:id="47"/>
    </w:p>
    <w:p w14:paraId="4F72D6BF">
      <w:pPr>
        <w:spacing w:line="360" w:lineRule="auto"/>
        <w:ind w:firstLine="480" w:firstLineChars="200"/>
        <w:rPr>
          <w:rFonts w:ascii="宋体" w:hAnsi="宋体"/>
          <w:color w:val="000000"/>
          <w:sz w:val="24"/>
        </w:rPr>
      </w:pPr>
      <w:r>
        <w:rPr>
          <w:rFonts w:hint="eastAsia" w:ascii="宋体" w:hAnsi="宋体"/>
          <w:color w:val="000000"/>
          <w:sz w:val="24"/>
        </w:rPr>
        <w:t>3.1 响应性文件的组成</w:t>
      </w:r>
    </w:p>
    <w:p w14:paraId="5859831E">
      <w:pPr>
        <w:spacing w:line="360" w:lineRule="auto"/>
        <w:ind w:firstLine="480" w:firstLineChars="200"/>
        <w:rPr>
          <w:rFonts w:ascii="宋体" w:hAnsi="宋体"/>
          <w:color w:val="000000"/>
          <w:sz w:val="24"/>
        </w:rPr>
      </w:pPr>
      <w:r>
        <w:rPr>
          <w:rFonts w:hint="eastAsia" w:ascii="宋体" w:hAnsi="宋体"/>
          <w:color w:val="000000"/>
          <w:sz w:val="24"/>
        </w:rPr>
        <w:t>3.1.1响应性文件应包括下列内容：</w:t>
      </w:r>
    </w:p>
    <w:p w14:paraId="56B46A5B">
      <w:pPr>
        <w:spacing w:line="360" w:lineRule="auto"/>
        <w:ind w:firstLine="480" w:firstLineChars="200"/>
        <w:rPr>
          <w:rFonts w:ascii="宋体" w:hAnsi="宋体"/>
          <w:color w:val="000000"/>
          <w:sz w:val="24"/>
        </w:rPr>
      </w:pPr>
      <w:r>
        <w:rPr>
          <w:rFonts w:hint="eastAsia" w:ascii="宋体" w:hAnsi="宋体"/>
          <w:color w:val="000000"/>
          <w:sz w:val="24"/>
        </w:rPr>
        <w:t>一、投标函</w:t>
      </w:r>
    </w:p>
    <w:p w14:paraId="194170CE">
      <w:pPr>
        <w:spacing w:line="360" w:lineRule="auto"/>
        <w:ind w:firstLine="480" w:firstLineChars="200"/>
        <w:rPr>
          <w:rFonts w:ascii="宋体" w:hAnsi="宋体"/>
          <w:color w:val="000000"/>
          <w:sz w:val="24"/>
        </w:rPr>
      </w:pPr>
      <w:r>
        <w:rPr>
          <w:rFonts w:hint="eastAsia" w:ascii="宋体" w:hAnsi="宋体"/>
          <w:color w:val="000000"/>
          <w:sz w:val="24"/>
        </w:rPr>
        <w:t>二、法定代表人身份证明及授权委托书</w:t>
      </w:r>
    </w:p>
    <w:p w14:paraId="6AB50B95">
      <w:pPr>
        <w:spacing w:line="360" w:lineRule="auto"/>
        <w:ind w:firstLine="480" w:firstLineChars="200"/>
        <w:rPr>
          <w:rFonts w:ascii="宋体" w:hAnsi="宋体"/>
          <w:color w:val="000000"/>
          <w:sz w:val="24"/>
        </w:rPr>
      </w:pPr>
      <w:r>
        <w:rPr>
          <w:rFonts w:hint="eastAsia" w:ascii="宋体" w:hAnsi="宋体"/>
          <w:color w:val="000000"/>
          <w:sz w:val="24"/>
        </w:rPr>
        <w:t>三、投标承诺函</w:t>
      </w:r>
    </w:p>
    <w:p w14:paraId="7B984F2C">
      <w:pPr>
        <w:spacing w:line="360" w:lineRule="auto"/>
        <w:ind w:firstLine="480" w:firstLineChars="200"/>
        <w:rPr>
          <w:rFonts w:ascii="宋体" w:hAnsi="宋体"/>
          <w:color w:val="000000"/>
          <w:sz w:val="24"/>
        </w:rPr>
      </w:pPr>
      <w:r>
        <w:rPr>
          <w:rFonts w:hint="eastAsia" w:ascii="宋体" w:hAnsi="宋体"/>
          <w:color w:val="000000"/>
          <w:sz w:val="24"/>
        </w:rPr>
        <w:t xml:space="preserve">四、报价一览表 </w:t>
      </w:r>
    </w:p>
    <w:p w14:paraId="6D9FA651">
      <w:pPr>
        <w:spacing w:line="360" w:lineRule="auto"/>
        <w:ind w:firstLine="480" w:firstLineChars="200"/>
        <w:rPr>
          <w:rFonts w:ascii="宋体" w:hAnsi="宋体"/>
          <w:color w:val="000000"/>
          <w:sz w:val="24"/>
        </w:rPr>
      </w:pPr>
      <w:r>
        <w:rPr>
          <w:rFonts w:hint="eastAsia" w:ascii="宋体" w:hAnsi="宋体"/>
          <w:color w:val="000000"/>
          <w:sz w:val="24"/>
        </w:rPr>
        <w:t>五、实施方案及技术方案</w:t>
      </w:r>
    </w:p>
    <w:p w14:paraId="2AD0CA83">
      <w:pPr>
        <w:spacing w:line="360" w:lineRule="auto"/>
        <w:ind w:firstLine="480" w:firstLineChars="200"/>
        <w:rPr>
          <w:rFonts w:ascii="宋体" w:hAnsi="宋体"/>
          <w:color w:val="000000"/>
          <w:sz w:val="24"/>
        </w:rPr>
      </w:pPr>
      <w:r>
        <w:rPr>
          <w:rFonts w:hint="eastAsia" w:ascii="宋体" w:hAnsi="宋体"/>
          <w:color w:val="000000"/>
          <w:sz w:val="24"/>
        </w:rPr>
        <w:t>六、质保及售后服务承诺</w:t>
      </w:r>
    </w:p>
    <w:p w14:paraId="73FDCC4F">
      <w:pPr>
        <w:spacing w:line="360" w:lineRule="auto"/>
        <w:ind w:firstLine="480" w:firstLineChars="200"/>
        <w:rPr>
          <w:rFonts w:ascii="宋体" w:hAnsi="宋体"/>
          <w:color w:val="000000"/>
          <w:sz w:val="24"/>
        </w:rPr>
      </w:pPr>
      <w:r>
        <w:rPr>
          <w:rFonts w:hint="eastAsia" w:ascii="宋体" w:hAnsi="宋体"/>
          <w:color w:val="000000"/>
          <w:sz w:val="24"/>
        </w:rPr>
        <w:t>七、中小微企业声明函</w:t>
      </w:r>
    </w:p>
    <w:p w14:paraId="41D08A15">
      <w:pPr>
        <w:spacing w:line="360" w:lineRule="auto"/>
        <w:ind w:firstLine="480" w:firstLineChars="200"/>
        <w:rPr>
          <w:rFonts w:ascii="宋体" w:hAnsi="宋体"/>
          <w:color w:val="000000"/>
          <w:sz w:val="24"/>
        </w:rPr>
      </w:pPr>
      <w:r>
        <w:rPr>
          <w:rFonts w:hint="eastAsia" w:ascii="宋体" w:hAnsi="宋体"/>
          <w:color w:val="000000"/>
          <w:sz w:val="24"/>
        </w:rPr>
        <w:t>八、监狱企业证明材料</w:t>
      </w:r>
    </w:p>
    <w:p w14:paraId="64702CA5">
      <w:pPr>
        <w:spacing w:line="360" w:lineRule="auto"/>
        <w:ind w:firstLine="480" w:firstLineChars="200"/>
        <w:rPr>
          <w:rFonts w:ascii="宋体" w:hAnsi="宋体"/>
          <w:color w:val="000000"/>
          <w:sz w:val="24"/>
        </w:rPr>
      </w:pPr>
      <w:r>
        <w:rPr>
          <w:rFonts w:hint="eastAsia" w:ascii="宋体" w:hAnsi="宋体"/>
          <w:color w:val="000000"/>
          <w:sz w:val="24"/>
        </w:rPr>
        <w:t>九、资格审查资料</w:t>
      </w:r>
    </w:p>
    <w:p w14:paraId="05E2CB15">
      <w:pPr>
        <w:spacing w:line="360" w:lineRule="auto"/>
        <w:ind w:firstLine="480" w:firstLineChars="200"/>
        <w:rPr>
          <w:rFonts w:ascii="宋体" w:hAnsi="宋体"/>
          <w:color w:val="000000"/>
          <w:sz w:val="24"/>
        </w:rPr>
      </w:pPr>
      <w:r>
        <w:rPr>
          <w:rFonts w:hint="eastAsia" w:ascii="宋体" w:hAnsi="宋体"/>
          <w:color w:val="000000"/>
          <w:sz w:val="24"/>
        </w:rPr>
        <w:t>十、其他材料</w:t>
      </w:r>
    </w:p>
    <w:p w14:paraId="216B5CC4">
      <w:pPr>
        <w:spacing w:line="360" w:lineRule="auto"/>
        <w:ind w:firstLine="480" w:firstLineChars="200"/>
        <w:rPr>
          <w:rFonts w:ascii="宋体" w:hAnsi="宋体"/>
          <w:color w:val="000000"/>
          <w:sz w:val="24"/>
        </w:rPr>
      </w:pPr>
      <w:r>
        <w:rPr>
          <w:rFonts w:hint="eastAsia" w:ascii="宋体" w:hAnsi="宋体"/>
          <w:color w:val="000000"/>
          <w:sz w:val="24"/>
        </w:rPr>
        <w:t>3.2 投标报价</w:t>
      </w:r>
    </w:p>
    <w:p w14:paraId="7C2A2AED">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3.2.1</w:t>
      </w:r>
      <w:r>
        <w:rPr>
          <w:rFonts w:hint="eastAsia" w:ascii="宋体" w:hAnsi="宋体"/>
          <w:color w:val="000000"/>
          <w:sz w:val="24"/>
        </w:rPr>
        <w:t>本项目的磋商报价采用本须知前附表所规定的方式进行报价</w:t>
      </w:r>
      <w:r>
        <w:rPr>
          <w:rFonts w:hint="eastAsia" w:ascii="宋体" w:hAnsi="宋体" w:cs="宋体"/>
          <w:color w:val="000000"/>
          <w:sz w:val="24"/>
        </w:rPr>
        <w:t>。</w:t>
      </w:r>
    </w:p>
    <w:p w14:paraId="009FA5E0">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3.2.2参考相关收费标准结合投标单位自身情况自主报价，但不得低于本企业成本。</w:t>
      </w:r>
    </w:p>
    <w:p w14:paraId="47CD52E4">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3.2.3各投标人应根据磋商文件的要求，进行合理投标报价。所报价格应包含磋商文件所要求的可能发生的招标范围内的工作费、顾问费及现场咨询服务费（后续服务费）等所有费用。</w:t>
      </w:r>
    </w:p>
    <w:p w14:paraId="7FD021F6">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3.2.4投标的报价及合同所有款项的支付均以人民币计算。</w:t>
      </w:r>
    </w:p>
    <w:p w14:paraId="48C2F6C0">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3.2.5应当由投标人完成的而投标人在报价组成中没有详细列出的工作内容，其报价均视为包含在报价组成已列出的项目之中，采购人不另行支付。</w:t>
      </w:r>
    </w:p>
    <w:p w14:paraId="475032BE">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3.2.6</w:t>
      </w:r>
      <w:r>
        <w:rPr>
          <w:rFonts w:hint="eastAsia" w:ascii="宋体" w:hAnsi="宋体" w:cs="宋体"/>
          <w:b/>
          <w:color w:val="000000"/>
          <w:sz w:val="24"/>
        </w:rPr>
        <w:t>本次磋商允许投标人有二次报价，</w:t>
      </w:r>
      <w:r>
        <w:rPr>
          <w:rFonts w:hint="eastAsia" w:ascii="宋体" w:hAnsi="宋体"/>
          <w:b/>
          <w:bCs/>
          <w:color w:val="000000"/>
          <w:sz w:val="24"/>
        </w:rPr>
        <w:t>投标人响应性文件中的报价作为第一次报价，不得高于项目预算金额且不公开；第二轮报价不得高于第一轮报价</w:t>
      </w:r>
      <w:r>
        <w:rPr>
          <w:rFonts w:ascii="宋体" w:hAnsi="宋体"/>
          <w:b/>
          <w:bCs/>
          <w:color w:val="000000"/>
          <w:sz w:val="24"/>
        </w:rPr>
        <w:t>,</w:t>
      </w:r>
      <w:r>
        <w:rPr>
          <w:rFonts w:hint="eastAsia" w:ascii="宋体" w:hAnsi="宋体" w:cs="宋体"/>
          <w:b/>
          <w:color w:val="000000"/>
          <w:sz w:val="24"/>
        </w:rPr>
        <w:t>最后一次报价为最终报价，</w:t>
      </w:r>
      <w:r>
        <w:rPr>
          <w:rFonts w:hint="eastAsia" w:ascii="宋体" w:hAnsi="宋体"/>
          <w:b/>
          <w:bCs/>
          <w:color w:val="000000"/>
          <w:sz w:val="24"/>
        </w:rPr>
        <w:t>成交价以最终报价为准。</w:t>
      </w:r>
      <w:r>
        <w:rPr>
          <w:rFonts w:hint="eastAsia" w:ascii="宋体" w:hAnsi="宋体" w:cs="宋体"/>
          <w:b/>
          <w:color w:val="000000"/>
          <w:sz w:val="24"/>
        </w:rPr>
        <w:t>最终报价是投标人响应文件的有效组成部分</w:t>
      </w:r>
      <w:r>
        <w:rPr>
          <w:rFonts w:hint="eastAsia" w:ascii="宋体" w:hAnsi="宋体" w:cs="宋体"/>
          <w:color w:val="000000"/>
          <w:sz w:val="24"/>
        </w:rPr>
        <w:t>。</w:t>
      </w:r>
    </w:p>
    <w:p w14:paraId="2D75BCAD">
      <w:pPr>
        <w:spacing w:line="360" w:lineRule="auto"/>
        <w:ind w:firstLine="480" w:firstLineChars="200"/>
        <w:rPr>
          <w:rFonts w:ascii="宋体" w:hAnsi="宋体"/>
          <w:b/>
          <w:bCs/>
          <w:color w:val="000000"/>
          <w:sz w:val="24"/>
        </w:rPr>
      </w:pPr>
      <w:r>
        <w:rPr>
          <w:rFonts w:hint="eastAsia" w:ascii="宋体" w:hAnsi="宋体" w:cs="宋体"/>
          <w:color w:val="000000"/>
          <w:sz w:val="24"/>
        </w:rPr>
        <w:t>3.2.7投标人的磋商报价不得高于磋商控制价，否则为废标</w:t>
      </w:r>
    </w:p>
    <w:p w14:paraId="69C5B2E2">
      <w:pPr>
        <w:spacing w:line="360" w:lineRule="auto"/>
        <w:ind w:firstLine="480" w:firstLineChars="200"/>
        <w:rPr>
          <w:rFonts w:ascii="宋体" w:hAnsi="宋体"/>
          <w:color w:val="000000"/>
          <w:sz w:val="24"/>
        </w:rPr>
      </w:pPr>
      <w:r>
        <w:rPr>
          <w:rFonts w:hint="eastAsia" w:ascii="宋体" w:hAnsi="宋体"/>
          <w:color w:val="000000"/>
          <w:sz w:val="24"/>
        </w:rPr>
        <w:t>3.3 磋商有效期</w:t>
      </w:r>
    </w:p>
    <w:p w14:paraId="5B015D98">
      <w:pPr>
        <w:tabs>
          <w:tab w:val="left" w:pos="100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3.3.1自磋商截止时间起，磋商有效期为60日历天。在磋商有效期内，投标人不得要求撤销或修改其响应文件。</w:t>
      </w:r>
    </w:p>
    <w:p w14:paraId="3D5B4A38">
      <w:pPr>
        <w:tabs>
          <w:tab w:val="left" w:pos="78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3.3.2出现特殊情况需要延长磋商有效期的，采购人以书面形式通知所有投标人延长磋商有效期。投标人同意延长的，应相应延长其磋商保证金的有效期，但不得要求或被允许修改或撤销其响应文件；投标人拒绝延长的，其投标失效。</w:t>
      </w:r>
    </w:p>
    <w:p w14:paraId="0324A3F7">
      <w:pPr>
        <w:spacing w:line="360" w:lineRule="auto"/>
        <w:ind w:firstLine="480" w:firstLineChars="200"/>
        <w:rPr>
          <w:rFonts w:ascii="宋体" w:hAnsi="宋体"/>
          <w:color w:val="000000"/>
          <w:sz w:val="24"/>
        </w:rPr>
      </w:pPr>
      <w:r>
        <w:rPr>
          <w:rFonts w:hint="eastAsia" w:ascii="宋体" w:hAnsi="宋体"/>
          <w:color w:val="000000"/>
          <w:sz w:val="24"/>
        </w:rPr>
        <w:t>3.4磋商保证金</w:t>
      </w:r>
    </w:p>
    <w:p w14:paraId="6072A3CD">
      <w:pPr>
        <w:spacing w:line="360" w:lineRule="auto"/>
        <w:ind w:firstLine="480" w:firstLineChars="200"/>
        <w:rPr>
          <w:rFonts w:ascii="宋体" w:hAnsi="宋体"/>
          <w:color w:val="000000"/>
          <w:sz w:val="24"/>
        </w:rPr>
      </w:pPr>
      <w:r>
        <w:rPr>
          <w:rFonts w:hint="eastAsia" w:ascii="宋体" w:hAnsi="宋体"/>
          <w:color w:val="000000"/>
          <w:sz w:val="24"/>
        </w:rPr>
        <w:t>按照《河南省财政厅关于优化政府采购营商环境有关问题的通知》（豫财购[2019]4号文）的要求本项目不再收取磋商保证金。</w:t>
      </w:r>
    </w:p>
    <w:p w14:paraId="2475C389">
      <w:pPr>
        <w:spacing w:line="360" w:lineRule="auto"/>
        <w:ind w:firstLine="480" w:firstLineChars="200"/>
        <w:rPr>
          <w:rFonts w:ascii="宋体" w:hAnsi="宋体"/>
          <w:color w:val="000000"/>
          <w:sz w:val="24"/>
        </w:rPr>
      </w:pPr>
      <w:r>
        <w:rPr>
          <w:rFonts w:hint="eastAsia" w:ascii="宋体" w:hAnsi="宋体"/>
          <w:color w:val="000000"/>
          <w:sz w:val="24"/>
        </w:rPr>
        <w:t>3.5 资格审查资料</w:t>
      </w:r>
    </w:p>
    <w:p w14:paraId="030082E6">
      <w:pPr>
        <w:spacing w:line="360" w:lineRule="auto"/>
        <w:ind w:firstLine="480" w:firstLineChars="200"/>
        <w:rPr>
          <w:rFonts w:ascii="宋体" w:hAnsi="宋体"/>
          <w:color w:val="000000"/>
          <w:sz w:val="24"/>
        </w:rPr>
      </w:pPr>
      <w:r>
        <w:rPr>
          <w:rFonts w:hint="eastAsia" w:ascii="宋体" w:hAnsi="宋体"/>
          <w:color w:val="000000"/>
          <w:sz w:val="24"/>
        </w:rPr>
        <w:t>见投标人须知前附表1.4.1投标人资格要求</w:t>
      </w:r>
    </w:p>
    <w:p w14:paraId="0C5191EC">
      <w:pPr>
        <w:spacing w:line="360" w:lineRule="auto"/>
        <w:ind w:firstLine="480" w:firstLineChars="200"/>
        <w:rPr>
          <w:rFonts w:ascii="宋体" w:hAnsi="宋体"/>
          <w:color w:val="000000"/>
          <w:sz w:val="24"/>
        </w:rPr>
      </w:pPr>
      <w:r>
        <w:rPr>
          <w:rFonts w:hint="eastAsia" w:ascii="宋体" w:hAnsi="宋体"/>
          <w:color w:val="000000"/>
          <w:sz w:val="24"/>
        </w:rPr>
        <w:t>3.6 备选投标方案</w:t>
      </w:r>
    </w:p>
    <w:p w14:paraId="3D3C20C2">
      <w:pPr>
        <w:spacing w:line="360" w:lineRule="auto"/>
        <w:ind w:firstLine="480" w:firstLineChars="200"/>
        <w:rPr>
          <w:rFonts w:ascii="宋体" w:hAnsi="宋体"/>
          <w:color w:val="000000"/>
          <w:sz w:val="24"/>
        </w:rPr>
      </w:pPr>
      <w:r>
        <w:rPr>
          <w:rFonts w:hint="eastAsia" w:ascii="宋体" w:hAnsi="宋体"/>
          <w:color w:val="00000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14:paraId="242692C8">
      <w:pPr>
        <w:spacing w:line="360" w:lineRule="auto"/>
        <w:ind w:firstLine="480" w:firstLineChars="200"/>
        <w:rPr>
          <w:rFonts w:ascii="宋体" w:hAnsi="宋体"/>
          <w:color w:val="000000"/>
          <w:sz w:val="24"/>
        </w:rPr>
      </w:pPr>
      <w:r>
        <w:rPr>
          <w:rFonts w:hint="eastAsia" w:ascii="宋体" w:hAnsi="宋体"/>
          <w:color w:val="000000"/>
          <w:sz w:val="24"/>
        </w:rPr>
        <w:t>3.7响应性文件的编制</w:t>
      </w:r>
    </w:p>
    <w:p w14:paraId="56220CBA">
      <w:pPr>
        <w:spacing w:line="360" w:lineRule="auto"/>
        <w:ind w:firstLine="480" w:firstLineChars="200"/>
        <w:rPr>
          <w:rFonts w:ascii="宋体" w:hAnsi="宋体"/>
          <w:color w:val="000000"/>
          <w:sz w:val="24"/>
        </w:rPr>
      </w:pPr>
      <w:r>
        <w:rPr>
          <w:rFonts w:hint="eastAsia" w:ascii="宋体" w:hAnsi="宋体"/>
          <w:color w:val="000000"/>
          <w:sz w:val="24"/>
        </w:rPr>
        <w:t>3.7.1响应性文件应按第六章“响应性文件格式”进行编写，如有必要，可以增加附页，作为响应性文件的组成部分。</w:t>
      </w:r>
    </w:p>
    <w:p w14:paraId="2E08C21A">
      <w:pPr>
        <w:spacing w:line="360" w:lineRule="auto"/>
        <w:ind w:firstLine="480" w:firstLineChars="200"/>
        <w:rPr>
          <w:rFonts w:ascii="宋体" w:hAnsi="宋体"/>
          <w:color w:val="000000"/>
          <w:sz w:val="24"/>
        </w:rPr>
      </w:pPr>
      <w:r>
        <w:rPr>
          <w:rFonts w:hint="eastAsia" w:ascii="宋体" w:hAnsi="宋体"/>
          <w:color w:val="000000"/>
          <w:sz w:val="24"/>
        </w:rPr>
        <w:t>3.7.2响应性文件应当对竞争性磋商文件有关服务周期、磋商有效期、质量标准、招标范围、响应性文件的编制等实质性内容作出响应。响应性文件不响应本竞争性磋商文件的实质性要求和条件的，其投标将被拒绝。</w:t>
      </w:r>
    </w:p>
    <w:p w14:paraId="21E2CA27">
      <w:pPr>
        <w:spacing w:line="360" w:lineRule="auto"/>
        <w:ind w:firstLine="480" w:firstLineChars="200"/>
        <w:rPr>
          <w:rFonts w:ascii="宋体" w:hAnsi="宋体"/>
          <w:color w:val="000000"/>
          <w:sz w:val="24"/>
        </w:rPr>
      </w:pPr>
      <w:r>
        <w:rPr>
          <w:rFonts w:hint="eastAsia" w:ascii="宋体" w:hAnsi="宋体"/>
          <w:color w:val="000000"/>
          <w:sz w:val="24"/>
        </w:rPr>
        <w:t>3.7.3竞争性磋商文件中要求投标人盖章的，以签盖单位章为准；</w:t>
      </w:r>
      <w:r>
        <w:rPr>
          <w:rFonts w:ascii="宋体" w:hAnsi="宋体"/>
          <w:color w:val="000000"/>
          <w:sz w:val="24"/>
        </w:rPr>
        <w:t>要求法定代表人或授权委托人签字或盖章的，以签盖法定代表人电子签章为准。</w:t>
      </w:r>
    </w:p>
    <w:p w14:paraId="3DF53FC4">
      <w:pPr>
        <w:spacing w:line="360" w:lineRule="auto"/>
        <w:ind w:firstLine="480" w:firstLineChars="200"/>
        <w:rPr>
          <w:rFonts w:hint="eastAsia" w:ascii="宋体" w:hAnsi="宋体"/>
          <w:color w:val="000000"/>
          <w:sz w:val="24"/>
        </w:rPr>
      </w:pPr>
      <w:bookmarkStart w:id="48" w:name="_Toc516499649"/>
      <w:r>
        <w:rPr>
          <w:rFonts w:hint="eastAsia" w:ascii="宋体" w:hAnsi="宋体"/>
          <w:color w:val="000000"/>
          <w:sz w:val="24"/>
        </w:rPr>
        <w:t>4、投标</w:t>
      </w:r>
      <w:bookmarkEnd w:id="48"/>
    </w:p>
    <w:p w14:paraId="6B45E3CD">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4.1电子响应性文件的递交</w:t>
      </w:r>
    </w:p>
    <w:p w14:paraId="136023FC">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4.1.1 投标人应在规定的投标截止时间前递交响应性文件。</w:t>
      </w:r>
    </w:p>
    <w:p w14:paraId="63F81AA7">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4.1.2 投标人递交响应性文件的地点：见投标人须知前附表。</w:t>
      </w:r>
    </w:p>
    <w:p w14:paraId="6AD3CACB">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4.1.3 逾期送达的或者未送达指定地点的响应性文件，采购人不予受理。</w:t>
      </w:r>
    </w:p>
    <w:p w14:paraId="5A0E3C17">
      <w:pPr>
        <w:spacing w:line="360" w:lineRule="auto"/>
        <w:ind w:firstLine="480" w:firstLineChars="200"/>
        <w:rPr>
          <w:rFonts w:ascii="宋体" w:hAnsi="宋体" w:cs="宋体"/>
          <w:color w:val="000000"/>
          <w:sz w:val="24"/>
          <w:szCs w:val="22"/>
        </w:rPr>
      </w:pPr>
      <w:r>
        <w:rPr>
          <w:rFonts w:ascii="宋体" w:hAnsi="宋体" w:cs="宋体"/>
          <w:color w:val="000000"/>
          <w:sz w:val="24"/>
          <w:szCs w:val="22"/>
        </w:rPr>
        <w:t>5．磋商</w:t>
      </w:r>
    </w:p>
    <w:p w14:paraId="38685789">
      <w:pPr>
        <w:spacing w:line="360" w:lineRule="auto"/>
        <w:ind w:firstLine="480" w:firstLineChars="200"/>
        <w:rPr>
          <w:rFonts w:ascii="宋体" w:hAnsi="宋体" w:cs="宋体"/>
          <w:color w:val="000000"/>
          <w:sz w:val="24"/>
          <w:szCs w:val="22"/>
        </w:rPr>
      </w:pPr>
      <w:r>
        <w:rPr>
          <w:rFonts w:ascii="宋体" w:hAnsi="宋体" w:cs="宋体"/>
          <w:color w:val="000000"/>
          <w:sz w:val="24"/>
          <w:szCs w:val="22"/>
        </w:rPr>
        <w:t>5.1 磋商时间和地点</w:t>
      </w:r>
    </w:p>
    <w:p w14:paraId="462DBC78">
      <w:pPr>
        <w:spacing w:line="360" w:lineRule="auto"/>
        <w:ind w:firstLine="480" w:firstLineChars="200"/>
        <w:rPr>
          <w:rFonts w:ascii="宋体" w:hAnsi="宋体" w:cs="宋体"/>
          <w:color w:val="000000"/>
          <w:sz w:val="24"/>
          <w:szCs w:val="22"/>
        </w:rPr>
      </w:pPr>
      <w:r>
        <w:rPr>
          <w:rFonts w:ascii="宋体" w:hAnsi="宋体" w:cs="宋体"/>
          <w:color w:val="000000"/>
          <w:sz w:val="24"/>
          <w:szCs w:val="22"/>
        </w:rPr>
        <w:t>见投标人须知前附表。</w:t>
      </w:r>
    </w:p>
    <w:p w14:paraId="417949D1">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 磋商程序</w:t>
      </w:r>
    </w:p>
    <w:p w14:paraId="7040BD9F">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5.2.1采购人按须知前附表规定的时间和地点磋商；</w:t>
      </w:r>
    </w:p>
    <w:p w14:paraId="2C985F1C">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5.2.2</w:t>
      </w:r>
      <w:r>
        <w:rPr>
          <w:rFonts w:hint="eastAsia" w:ascii="宋体" w:hAnsi="宋体" w:cs="宋体"/>
          <w:color w:val="000000"/>
          <w:sz w:val="24"/>
          <w:szCs w:val="22"/>
        </w:rPr>
        <w:t>电子化项目开标操作流程</w:t>
      </w:r>
    </w:p>
    <w:p w14:paraId="75D4FDC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s="宋体"/>
          <w:color w:val="000000"/>
          <w:sz w:val="24"/>
          <w:szCs w:val="22"/>
        </w:rPr>
        <w:t>）,在线准时参加开标活动并进行响应性文件解密等</w:t>
      </w:r>
    </w:p>
    <w:p w14:paraId="4151375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2</w:t>
      </w:r>
      <w:r>
        <w:rPr>
          <w:rFonts w:hint="eastAsia" w:ascii="宋体" w:hAnsi="宋体" w:cs="宋体"/>
          <w:color w:val="000000"/>
          <w:sz w:val="24"/>
          <w:szCs w:val="22"/>
        </w:rPr>
        <w:t>）电子化响应性文件采用一次加密方式。开标时，由投标人使用CA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527077B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3</w:t>
      </w:r>
      <w:r>
        <w:rPr>
          <w:rFonts w:hint="eastAsia" w:ascii="宋体" w:hAnsi="宋体" w:cs="宋体"/>
          <w:color w:val="000000"/>
          <w:sz w:val="24"/>
          <w:szCs w:val="22"/>
        </w:rPr>
        <w:t>）电子化响应性文件解密异常的处理</w:t>
      </w:r>
    </w:p>
    <w:p w14:paraId="794F9E4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如出现投标人的电子响应性文件无法解密等异常情况，投标人应及时致电中介服务机构说明。响应性文件异常，按以下步骤进行处理：</w:t>
      </w:r>
    </w:p>
    <w:p w14:paraId="57DA79E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w:t>
      </w:r>
      <w:r>
        <w:rPr>
          <w:rFonts w:hint="eastAsia" w:ascii="宋体" w:hAnsi="宋体" w:cs="宋体"/>
          <w:color w:val="000000"/>
          <w:sz w:val="24"/>
          <w:szCs w:val="22"/>
        </w:rPr>
        <w:t>首先由技术人员进行问题排查。</w:t>
      </w:r>
    </w:p>
    <w:p w14:paraId="1DFEE6C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w:t>
      </w:r>
      <w:r>
        <w:rPr>
          <w:rFonts w:hint="eastAsia" w:ascii="宋体" w:hAnsi="宋体" w:cs="宋体"/>
          <w:color w:val="000000"/>
          <w:sz w:val="24"/>
          <w:szCs w:val="22"/>
        </w:rPr>
        <w:t>经技术人员排查后，是投标人文件自身问题导致响应性文件无法解密的，该响应性文件将不予接收、解密和唱标。开标会议继续进行。</w:t>
      </w:r>
    </w:p>
    <w:p w14:paraId="68CF926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w:t>
      </w:r>
      <w:r>
        <w:rPr>
          <w:rFonts w:hint="eastAsia" w:ascii="宋体" w:hAnsi="宋体" w:cs="宋体"/>
          <w:color w:val="000000"/>
          <w:sz w:val="24"/>
          <w:szCs w:val="22"/>
        </w:rPr>
        <w:t>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3D2E569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4</w:t>
      </w:r>
      <w:r>
        <w:rPr>
          <w:rFonts w:hint="eastAsia" w:ascii="宋体" w:hAnsi="宋体" w:cs="宋体"/>
          <w:color w:val="000000"/>
          <w:sz w:val="24"/>
          <w:szCs w:val="22"/>
        </w:rPr>
        <w:t>）待所有投标人响应性文件解密完成后，由中介服务机构操作，对所有已解密响应性文件进行唱标。</w:t>
      </w:r>
    </w:p>
    <w:p w14:paraId="6965230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投标人应保证在开标期间电话、电脑、网络能够正常工作，投标人因停电、电脑病毒、网络堵塞等原因，未在规定的解密时间内对响应性文件进行解密的，其响应性文件不予接收、唱标。</w:t>
      </w:r>
    </w:p>
    <w:p w14:paraId="15C2254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5</w:t>
      </w:r>
      <w:r>
        <w:rPr>
          <w:rFonts w:hint="eastAsia" w:ascii="宋体" w:hAnsi="宋体" w:cs="宋体"/>
          <w:color w:val="000000"/>
          <w:sz w:val="24"/>
          <w:szCs w:val="22"/>
        </w:rPr>
        <w:t>）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A7353A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6</w:t>
      </w:r>
      <w:r>
        <w:rPr>
          <w:rFonts w:hint="eastAsia" w:ascii="宋体" w:hAnsi="宋体" w:cs="宋体"/>
          <w:color w:val="000000"/>
          <w:sz w:val="24"/>
          <w:szCs w:val="22"/>
        </w:rPr>
        <w:t>）评标时，磋商小组对电子化响应性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14:paraId="4A55EC1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7</w:t>
      </w:r>
      <w:r>
        <w:rPr>
          <w:rFonts w:hint="eastAsia" w:ascii="宋体" w:hAnsi="宋体" w:cs="宋体"/>
          <w:color w:val="000000"/>
          <w:sz w:val="24"/>
          <w:szCs w:val="22"/>
        </w:rPr>
        <w:t>）如磋商小组对需要回复的投标人连续三次致电未接通的，视为投标人放弃回复，磋商小组将自行对需要回复的内容进行认定。</w:t>
      </w:r>
    </w:p>
    <w:p w14:paraId="1157202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5.</w:t>
      </w:r>
      <w:r>
        <w:rPr>
          <w:rFonts w:ascii="宋体" w:hAnsi="宋体" w:cs="宋体"/>
          <w:color w:val="000000"/>
          <w:sz w:val="24"/>
          <w:szCs w:val="22"/>
        </w:rPr>
        <w:t>2.3响应性文件有下列情况之一的,采购人将不予接收：</w:t>
      </w:r>
    </w:p>
    <w:p w14:paraId="55D6A3EA">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5.2.3.1响应性文件递交截止时间后上传的；</w:t>
      </w:r>
    </w:p>
    <w:p w14:paraId="1FAE8E99">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5.2.4按照响应性文件上传顺序进行解密；</w:t>
      </w:r>
    </w:p>
    <w:p w14:paraId="0BBB974C">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5.2.5经确认无误后，按照报送时间顺序确定磋商顺序；</w:t>
      </w:r>
    </w:p>
    <w:p w14:paraId="2003BB8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6.</w:t>
      </w:r>
      <w:r>
        <w:rPr>
          <w:rFonts w:ascii="宋体" w:hAnsi="宋体" w:cs="宋体"/>
          <w:color w:val="000000"/>
          <w:sz w:val="24"/>
          <w:szCs w:val="22"/>
        </w:rPr>
        <w:t>磋商细则</w:t>
      </w:r>
    </w:p>
    <w:p w14:paraId="493C8266">
      <w:pPr>
        <w:spacing w:line="360" w:lineRule="auto"/>
        <w:ind w:firstLine="480" w:firstLineChars="200"/>
        <w:rPr>
          <w:rFonts w:ascii="宋体" w:hAnsi="宋体" w:cs="宋体"/>
          <w:color w:val="000000"/>
          <w:sz w:val="24"/>
          <w:szCs w:val="22"/>
        </w:rPr>
      </w:pPr>
      <w:r>
        <w:rPr>
          <w:rFonts w:ascii="宋体" w:hAnsi="宋体" w:cs="宋体"/>
          <w:color w:val="000000"/>
          <w:sz w:val="24"/>
          <w:szCs w:val="22"/>
        </w:rPr>
        <w:t>6.1采购人按照上传响应性文件时间的顺序，决定磋商顺序；</w:t>
      </w:r>
    </w:p>
    <w:p w14:paraId="21FC0DAB">
      <w:pPr>
        <w:spacing w:line="360" w:lineRule="auto"/>
        <w:ind w:firstLine="480" w:firstLineChars="200"/>
        <w:rPr>
          <w:rFonts w:ascii="宋体" w:hAnsi="宋体" w:cs="宋体"/>
          <w:color w:val="000000"/>
          <w:sz w:val="24"/>
          <w:szCs w:val="22"/>
        </w:rPr>
      </w:pPr>
      <w:r>
        <w:rPr>
          <w:rFonts w:ascii="宋体" w:hAnsi="宋体" w:cs="宋体"/>
          <w:color w:val="000000"/>
          <w:sz w:val="24"/>
          <w:szCs w:val="22"/>
        </w:rPr>
        <w:t>6.2磋商小组所有成员在指定时间和地点与各投标人单独进行磋商。每位投标人有3-5分钟时间回答磋商小组以交易中心系统电子形式的提问。在磋商中，磋商的任何一方不得透露与磋商有关的其他投标人的技术资料、价格和其他信息。竞争性磋商文件有实质性变动的，磋商小组应当以三门峡公共资源交易中心系统电子形式通知所有参加磋商的投标人。</w:t>
      </w:r>
    </w:p>
    <w:p w14:paraId="53B12EEE">
      <w:pPr>
        <w:spacing w:line="360" w:lineRule="auto"/>
        <w:ind w:firstLine="480" w:firstLineChars="200"/>
        <w:rPr>
          <w:rFonts w:ascii="宋体" w:hAnsi="宋体" w:cs="宋体"/>
          <w:color w:val="000000"/>
          <w:sz w:val="24"/>
          <w:szCs w:val="22"/>
        </w:rPr>
      </w:pPr>
      <w:r>
        <w:rPr>
          <w:rFonts w:ascii="宋体" w:hAnsi="宋体" w:cs="宋体"/>
          <w:color w:val="000000"/>
          <w:sz w:val="24"/>
          <w:szCs w:val="22"/>
        </w:rPr>
        <w:t>6.3本次磋商中，响应性文件中的报价为第一次报价。</w:t>
      </w:r>
    </w:p>
    <w:p w14:paraId="05115A33">
      <w:pPr>
        <w:spacing w:line="360" w:lineRule="auto"/>
        <w:ind w:firstLine="480" w:firstLineChars="200"/>
        <w:rPr>
          <w:rFonts w:ascii="宋体" w:hAnsi="宋体" w:cs="宋体"/>
          <w:color w:val="000000"/>
          <w:sz w:val="24"/>
          <w:szCs w:val="22"/>
        </w:rPr>
      </w:pPr>
      <w:r>
        <w:rPr>
          <w:rFonts w:ascii="宋体" w:hAnsi="宋体" w:cs="宋体"/>
          <w:color w:val="000000"/>
          <w:sz w:val="24"/>
          <w:szCs w:val="22"/>
        </w:rPr>
        <w:t>6.4投标人可以在磋商小组规定的时间内进行第二次报价，通过交易中心系统以电子形式递交，</w:t>
      </w:r>
      <w:r>
        <w:rPr>
          <w:rFonts w:hint="eastAsia" w:ascii="宋体" w:hAnsi="宋体" w:cs="宋体"/>
          <w:color w:val="000000"/>
          <w:sz w:val="24"/>
          <w:szCs w:val="22"/>
        </w:rPr>
        <w:t>第二轮报价不得高于第一轮报价，</w:t>
      </w:r>
      <w:r>
        <w:rPr>
          <w:rFonts w:ascii="宋体" w:hAnsi="宋体" w:cs="宋体"/>
          <w:color w:val="000000"/>
          <w:sz w:val="24"/>
          <w:szCs w:val="22"/>
        </w:rPr>
        <w:t>成交价以最终报价为准。</w:t>
      </w:r>
      <w:r>
        <w:rPr>
          <w:rFonts w:hint="eastAsia" w:ascii="宋体" w:hAnsi="宋体" w:cs="宋体"/>
          <w:color w:val="000000"/>
          <w:sz w:val="24"/>
          <w:szCs w:val="22"/>
        </w:rPr>
        <w:t>磋商过程中，磋商小组可以根据磋商情况调整磋商轮次。</w:t>
      </w:r>
    </w:p>
    <w:p w14:paraId="36AD96CE">
      <w:pPr>
        <w:spacing w:line="360" w:lineRule="auto"/>
        <w:ind w:firstLine="480" w:firstLineChars="200"/>
        <w:rPr>
          <w:rFonts w:ascii="宋体" w:hAnsi="宋体" w:cs="宋体"/>
          <w:color w:val="000000"/>
          <w:sz w:val="24"/>
          <w:szCs w:val="22"/>
        </w:rPr>
      </w:pPr>
      <w:r>
        <w:rPr>
          <w:rFonts w:ascii="宋体" w:hAnsi="宋体" w:cs="宋体"/>
          <w:color w:val="000000"/>
          <w:sz w:val="24"/>
          <w:szCs w:val="22"/>
        </w:rPr>
        <w:t>6.5本项目采用综合评分法，磋商小组成员综合评审各投标人提交的响应性文件，按总得分由高到低的顺序推荐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名中标候选人，并编写评审报告。</w:t>
      </w:r>
    </w:p>
    <w:p w14:paraId="3B31B395">
      <w:pPr>
        <w:spacing w:line="360" w:lineRule="auto"/>
        <w:ind w:firstLine="480" w:firstLineChars="200"/>
        <w:rPr>
          <w:rFonts w:hint="eastAsia" w:ascii="宋体" w:hAnsi="宋体" w:eastAsia="宋体" w:cs="宋体"/>
          <w:color w:val="000000"/>
          <w:sz w:val="24"/>
          <w:szCs w:val="22"/>
          <w:lang w:val="en-US" w:eastAsia="zh-CN"/>
        </w:rPr>
      </w:pPr>
      <w:r>
        <w:rPr>
          <w:rFonts w:ascii="宋体" w:hAnsi="宋体" w:cs="宋体"/>
          <w:color w:val="000000"/>
          <w:sz w:val="24"/>
          <w:szCs w:val="22"/>
        </w:rPr>
        <w:t>7、磋商</w:t>
      </w:r>
      <w:r>
        <w:rPr>
          <w:rFonts w:hint="eastAsia" w:ascii="宋体" w:hAnsi="宋体" w:cs="宋体"/>
          <w:color w:val="000000"/>
          <w:sz w:val="24"/>
          <w:szCs w:val="22"/>
          <w:lang w:val="en-US" w:eastAsia="zh-CN"/>
        </w:rPr>
        <w:t>小组</w:t>
      </w:r>
    </w:p>
    <w:p w14:paraId="627E0ACF">
      <w:pPr>
        <w:spacing w:line="360" w:lineRule="auto"/>
        <w:ind w:firstLine="480" w:firstLineChars="200"/>
        <w:rPr>
          <w:rFonts w:ascii="宋体" w:hAnsi="宋体" w:cs="宋体"/>
          <w:color w:val="000000"/>
          <w:sz w:val="24"/>
          <w:szCs w:val="22"/>
        </w:rPr>
      </w:pPr>
      <w:r>
        <w:rPr>
          <w:rFonts w:ascii="宋体" w:hAnsi="宋体" w:cs="宋体"/>
          <w:color w:val="000000"/>
          <w:sz w:val="24"/>
          <w:szCs w:val="22"/>
        </w:rPr>
        <w:t>7.1磋商小组由采购人依法组建，负责磋商。根据《政府采购竞争性磋商采购方式管理办法》的规定，磋商小组应当履行以下义务：</w:t>
      </w:r>
    </w:p>
    <w:p w14:paraId="187263E3">
      <w:pPr>
        <w:spacing w:line="360" w:lineRule="auto"/>
        <w:ind w:firstLine="480" w:firstLineChars="200"/>
        <w:rPr>
          <w:rFonts w:ascii="宋体" w:hAnsi="宋体" w:cs="宋体"/>
          <w:color w:val="000000"/>
          <w:sz w:val="24"/>
          <w:szCs w:val="22"/>
        </w:rPr>
      </w:pPr>
      <w:r>
        <w:rPr>
          <w:rFonts w:ascii="宋体" w:hAnsi="宋体" w:cs="宋体"/>
          <w:color w:val="000000"/>
          <w:sz w:val="24"/>
          <w:szCs w:val="22"/>
        </w:rPr>
        <w:t>（一）遵纪守法，客观、公正、</w:t>
      </w:r>
      <w:r>
        <w:rPr>
          <w:rFonts w:hint="eastAsia" w:ascii="宋体" w:hAnsi="宋体" w:cs="宋体"/>
          <w:color w:val="000000"/>
          <w:sz w:val="24"/>
          <w:szCs w:val="22"/>
        </w:rPr>
        <w:t>廉洁</w:t>
      </w:r>
      <w:r>
        <w:rPr>
          <w:rFonts w:ascii="宋体" w:hAnsi="宋体" w:cs="宋体"/>
          <w:color w:val="000000"/>
          <w:sz w:val="24"/>
          <w:szCs w:val="22"/>
        </w:rPr>
        <w:t xml:space="preserve">地履行职责； </w:t>
      </w:r>
    </w:p>
    <w:p w14:paraId="753E5205">
      <w:pPr>
        <w:spacing w:line="360" w:lineRule="auto"/>
        <w:ind w:firstLine="480" w:firstLineChars="200"/>
        <w:rPr>
          <w:rFonts w:ascii="宋体" w:hAnsi="宋体" w:cs="宋体"/>
          <w:color w:val="000000"/>
          <w:sz w:val="24"/>
          <w:szCs w:val="22"/>
        </w:rPr>
      </w:pPr>
      <w:r>
        <w:rPr>
          <w:rFonts w:ascii="宋体" w:hAnsi="宋体" w:cs="宋体"/>
          <w:color w:val="000000"/>
          <w:sz w:val="24"/>
          <w:szCs w:val="22"/>
        </w:rPr>
        <w:t>根据竞争性磋商文件的规定独立进行评审，对个人的评审意见承担法律责任；磋商小组将综合分析、评审投标人的各项指标，而不以单项指标的优劣评定出成交候选</w:t>
      </w:r>
      <w:r>
        <w:rPr>
          <w:rFonts w:hint="eastAsia" w:ascii="宋体" w:hAnsi="宋体" w:cs="宋体"/>
          <w:color w:val="000000"/>
          <w:sz w:val="24"/>
          <w:szCs w:val="22"/>
        </w:rPr>
        <w:t>人</w:t>
      </w:r>
      <w:r>
        <w:rPr>
          <w:rFonts w:ascii="宋体" w:hAnsi="宋体" w:cs="宋体"/>
          <w:color w:val="000000"/>
          <w:sz w:val="24"/>
          <w:szCs w:val="22"/>
        </w:rPr>
        <w:t>或成交</w:t>
      </w:r>
      <w:r>
        <w:rPr>
          <w:rFonts w:hint="eastAsia" w:ascii="宋体" w:hAnsi="宋体" w:cs="宋体"/>
          <w:color w:val="000000"/>
          <w:sz w:val="24"/>
          <w:szCs w:val="22"/>
        </w:rPr>
        <w:t>人</w:t>
      </w:r>
      <w:r>
        <w:rPr>
          <w:rFonts w:ascii="宋体" w:hAnsi="宋体" w:cs="宋体"/>
          <w:color w:val="000000"/>
          <w:sz w:val="24"/>
          <w:szCs w:val="22"/>
        </w:rPr>
        <w:t>。</w:t>
      </w:r>
    </w:p>
    <w:p w14:paraId="42833EBF">
      <w:pPr>
        <w:spacing w:line="360" w:lineRule="auto"/>
        <w:ind w:firstLine="480" w:firstLineChars="200"/>
        <w:rPr>
          <w:rFonts w:ascii="宋体" w:hAnsi="宋体" w:cs="宋体"/>
          <w:color w:val="000000"/>
          <w:sz w:val="24"/>
          <w:szCs w:val="22"/>
        </w:rPr>
      </w:pPr>
      <w:r>
        <w:rPr>
          <w:rFonts w:ascii="宋体" w:hAnsi="宋体" w:cs="宋体"/>
          <w:color w:val="000000"/>
          <w:sz w:val="24"/>
          <w:szCs w:val="22"/>
        </w:rPr>
        <w:t>参与磋商报告的起草；</w:t>
      </w:r>
    </w:p>
    <w:p w14:paraId="416AD656">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配合采购人、代理机构答复投标人提出的质疑；</w:t>
      </w:r>
    </w:p>
    <w:p w14:paraId="27093635">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配合财政部门的投诉处理和监督检查工作。</w:t>
      </w:r>
    </w:p>
    <w:p w14:paraId="2673EA3E">
      <w:pPr>
        <w:spacing w:line="360" w:lineRule="auto"/>
        <w:ind w:firstLine="480" w:firstLineChars="200"/>
        <w:rPr>
          <w:rFonts w:ascii="宋体" w:hAnsi="宋体" w:cs="宋体"/>
          <w:color w:val="000000"/>
          <w:sz w:val="24"/>
          <w:szCs w:val="22"/>
        </w:rPr>
      </w:pPr>
      <w:r>
        <w:rPr>
          <w:rFonts w:ascii="宋体" w:hAnsi="宋体" w:cs="宋体"/>
          <w:color w:val="000000"/>
          <w:sz w:val="24"/>
          <w:szCs w:val="22"/>
        </w:rPr>
        <w:t>7.2磋商小组由有关技术、经济方面的专家组成。磋商小组人数及技术、经济专家的确定方式见投标人须知前附表。</w:t>
      </w:r>
    </w:p>
    <w:p w14:paraId="097FF38B">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 磋商原则</w:t>
      </w:r>
    </w:p>
    <w:p w14:paraId="35BA8F99">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7.3.1严格按照竞争性磋商文件中的所有相关规定；按照“</w:t>
      </w:r>
      <w:r>
        <w:rPr>
          <w:rFonts w:hint="eastAsia" w:ascii="宋体" w:hAnsi="宋体" w:cs="宋体"/>
          <w:color w:val="000000"/>
          <w:sz w:val="24"/>
          <w:szCs w:val="22"/>
        </w:rPr>
        <w:t>客观、公正、审慎</w:t>
      </w:r>
      <w:r>
        <w:rPr>
          <w:rFonts w:ascii="宋体" w:hAnsi="宋体" w:cs="宋体"/>
          <w:color w:val="000000"/>
          <w:sz w:val="24"/>
          <w:szCs w:val="22"/>
        </w:rPr>
        <w:t>” 的原则进行磋商。</w:t>
      </w:r>
    </w:p>
    <w:p w14:paraId="088F3F72">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7.3.2反对不正当竞争。</w:t>
      </w:r>
    </w:p>
    <w:p w14:paraId="2EC8BB8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8、</w:t>
      </w:r>
      <w:r>
        <w:rPr>
          <w:rFonts w:ascii="宋体" w:hAnsi="宋体" w:cs="宋体"/>
          <w:color w:val="000000"/>
          <w:sz w:val="24"/>
          <w:szCs w:val="22"/>
        </w:rPr>
        <w:t>磋商过程的保密</w:t>
      </w:r>
    </w:p>
    <w:p w14:paraId="302BE053">
      <w:pPr>
        <w:spacing w:line="360" w:lineRule="auto"/>
        <w:ind w:firstLine="480" w:firstLineChars="200"/>
        <w:rPr>
          <w:rFonts w:ascii="宋体" w:hAnsi="宋体" w:cs="宋体"/>
          <w:color w:val="000000"/>
          <w:sz w:val="24"/>
          <w:szCs w:val="22"/>
        </w:rPr>
      </w:pPr>
      <w:r>
        <w:rPr>
          <w:rFonts w:ascii="宋体" w:hAnsi="宋体" w:cs="宋体"/>
          <w:color w:val="000000"/>
          <w:sz w:val="24"/>
          <w:szCs w:val="22"/>
        </w:rPr>
        <w:t>8.1响应性文件的审查、澄清、评价和比较的有关资料以及中标候选人的推荐情况，与评标有关的其他任何情况均应严格保密。</w:t>
      </w:r>
    </w:p>
    <w:p w14:paraId="547E4BE3">
      <w:pPr>
        <w:spacing w:line="360" w:lineRule="auto"/>
        <w:ind w:firstLine="480" w:firstLineChars="200"/>
        <w:rPr>
          <w:rFonts w:ascii="宋体" w:hAnsi="宋体" w:cs="宋体"/>
          <w:color w:val="000000"/>
          <w:sz w:val="24"/>
          <w:szCs w:val="22"/>
        </w:rPr>
      </w:pPr>
      <w:r>
        <w:rPr>
          <w:rFonts w:ascii="宋体" w:hAnsi="宋体" w:cs="宋体"/>
          <w:color w:val="000000"/>
          <w:sz w:val="24"/>
          <w:szCs w:val="22"/>
        </w:rPr>
        <w:t>8.2在响应性文件的评审和比较、中标候选人推荐以及授予合同的过程中，投标人向采购人和磋商小组施加影响的任何行为，都将会导致其投标被拒绝。</w:t>
      </w:r>
    </w:p>
    <w:p w14:paraId="4839EDC3">
      <w:pPr>
        <w:spacing w:line="360" w:lineRule="auto"/>
        <w:ind w:firstLine="480" w:firstLineChars="200"/>
        <w:rPr>
          <w:rFonts w:ascii="宋体" w:hAnsi="宋体" w:cs="宋体"/>
          <w:color w:val="000000"/>
          <w:sz w:val="24"/>
          <w:szCs w:val="22"/>
        </w:rPr>
      </w:pPr>
      <w:r>
        <w:rPr>
          <w:rFonts w:ascii="宋体" w:hAnsi="宋体" w:cs="宋体"/>
          <w:color w:val="000000"/>
          <w:sz w:val="24"/>
          <w:szCs w:val="22"/>
        </w:rPr>
        <w:t>8.3采购人不对未中标人就评标过程以及未能中标原因作出任何解释。未中标人不得向磋商小组成员和其他有关人员索问评标过程的情况和资料。</w:t>
      </w:r>
    </w:p>
    <w:p w14:paraId="7113314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9、</w:t>
      </w:r>
      <w:r>
        <w:rPr>
          <w:rFonts w:ascii="宋体" w:hAnsi="宋体" w:cs="宋体"/>
          <w:color w:val="000000"/>
          <w:sz w:val="24"/>
          <w:szCs w:val="22"/>
        </w:rPr>
        <w:t>响应性文件的澄清</w:t>
      </w:r>
    </w:p>
    <w:p w14:paraId="09C65FA4">
      <w:pPr>
        <w:spacing w:line="360" w:lineRule="auto"/>
        <w:ind w:firstLine="480" w:firstLineChars="200"/>
        <w:rPr>
          <w:rFonts w:ascii="宋体" w:hAnsi="宋体" w:cs="宋体"/>
          <w:color w:val="000000"/>
          <w:sz w:val="24"/>
          <w:szCs w:val="22"/>
        </w:rPr>
      </w:pPr>
      <w:r>
        <w:rPr>
          <w:rFonts w:ascii="宋体" w:hAnsi="宋体" w:cs="宋体"/>
          <w:color w:val="000000"/>
          <w:sz w:val="24"/>
          <w:szCs w:val="22"/>
        </w:rPr>
        <w:t>磋商小组可以以书面形式要求投标人对其响应性文件中含义不明确的内容作必要的澄清或说明。投标人应采用书面形式进行澄清和说明，但不得超出响应性文件的范围或者改变响应性文件实质性内容。凡属于磋商小组在磋商发现的计算错误并进行核实的修改不在此列。</w:t>
      </w:r>
    </w:p>
    <w:p w14:paraId="74DCD75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10、</w:t>
      </w:r>
      <w:r>
        <w:rPr>
          <w:rFonts w:ascii="宋体" w:hAnsi="宋体" w:cs="宋体"/>
          <w:color w:val="000000"/>
          <w:sz w:val="24"/>
          <w:szCs w:val="22"/>
        </w:rPr>
        <w:t>响应性文件的初步评审</w:t>
      </w:r>
    </w:p>
    <w:p w14:paraId="4B6A5166">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10.1根据初步评审要求经审查有效的响应性文件，才能提交磋商小组进行评审。</w:t>
      </w:r>
    </w:p>
    <w:p w14:paraId="02E51785">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10.2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投标人的义务方面造成重大的限制，纠正这些差异或保留，将会对其他实质上响应竞争性磋商文件要求的投标人的竞争地位产生不公正的影响。</w:t>
      </w:r>
    </w:p>
    <w:p w14:paraId="23A2B80C">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10.3如果响应性文件实质上不响应竞争性磋商文件的要求，采购人将予以拒绝，并且不允许投标人通过修改或撤消其不符合要求的差异或保留，使之成为具有响应性的投标。</w:t>
      </w:r>
    </w:p>
    <w:p w14:paraId="3E16B22E">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11.响应性文件计算错误的修正</w:t>
      </w:r>
    </w:p>
    <w:p w14:paraId="2D53B0F0">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11.1磋商小组将对确定为实质上响应竞争性磋商文件要求的响应性文件进行校核，看其是否有计算或表达上的错误，修正错误的原则如下：</w:t>
      </w:r>
    </w:p>
    <w:p w14:paraId="16A3F564">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11.1.1如果数字表示的金额和用文字表示的金额不一致时，应以文字表示的金额为准；</w:t>
      </w:r>
    </w:p>
    <w:p w14:paraId="473C13F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11.</w:t>
      </w:r>
      <w:r>
        <w:rPr>
          <w:rFonts w:ascii="宋体" w:hAnsi="宋体" w:cs="宋体"/>
          <w:color w:val="000000"/>
          <w:sz w:val="24"/>
          <w:szCs w:val="22"/>
        </w:rPr>
        <w:t>1.2当单价与数量的乘积与合价不一致时，以单价为准，除非磋商小组认为单价有明显的小数点错误，此时应以标出的合价为准，并修改单价。</w:t>
      </w:r>
    </w:p>
    <w:p w14:paraId="41BD7E11">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11.2按上述修正错误的原则及方法调整或修正响应性文件的投标报价，投标人同意后，调整后的投标报价对投标人起约束作用。如果投标人不接受修正后的报价，则磋商小组对其不再进行评审。</w:t>
      </w:r>
    </w:p>
    <w:p w14:paraId="27685D8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w:t>
      </w:r>
      <w:r>
        <w:rPr>
          <w:rFonts w:ascii="宋体" w:hAnsi="宋体" w:cs="宋体"/>
          <w:color w:val="000000"/>
          <w:sz w:val="24"/>
          <w:szCs w:val="22"/>
        </w:rPr>
        <w:t>响应性文件的评审、比较和否决</w:t>
      </w:r>
    </w:p>
    <w:p w14:paraId="36C38402">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12.1磋商小组仅对在实质上响应竞争性磋商文件要求的响应性文件进行评估和比较。</w:t>
      </w:r>
    </w:p>
    <w:p w14:paraId="61EA28F8">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12.2在磋商过程中，磋商小组发现投标人的投标报价明显低于其他投标人的报价，并有可能低于其企业成本的，则磋商小组可以以书面形式要求该投标人作出书面说明并提供相关证明材料。投标人不能合理说明或不能提供相关证明材料的，磋商小组对其响应性文件不再进行评审。</w:t>
      </w:r>
    </w:p>
    <w:p w14:paraId="1EAFA9BB">
      <w:pPr>
        <w:spacing w:line="360" w:lineRule="auto"/>
        <w:ind w:firstLine="480" w:firstLineChars="200"/>
        <w:rPr>
          <w:rFonts w:ascii="宋体" w:hAnsi="宋体" w:cs="宋体"/>
          <w:snapToGrid w:val="0"/>
          <w:color w:val="000000"/>
          <w:kern w:val="0"/>
          <w:sz w:val="24"/>
          <w:szCs w:val="22"/>
          <w:shd w:val="clear" w:color="auto" w:fill="FFFFFF"/>
        </w:rPr>
      </w:pPr>
      <w:r>
        <w:rPr>
          <w:rFonts w:ascii="宋体" w:hAnsi="宋体" w:cs="宋体"/>
          <w:color w:val="000000"/>
          <w:sz w:val="24"/>
          <w:szCs w:val="22"/>
        </w:rPr>
        <w:t>12.</w:t>
      </w:r>
      <w:r>
        <w:rPr>
          <w:rFonts w:hint="eastAsia" w:ascii="宋体" w:hAnsi="宋体" w:cs="宋体"/>
          <w:color w:val="000000"/>
          <w:sz w:val="24"/>
          <w:szCs w:val="22"/>
        </w:rPr>
        <w:t>3.1</w:t>
      </w:r>
      <w:r>
        <w:rPr>
          <w:rFonts w:hint="eastAsia" w:ascii="宋体" w:hAnsi="宋体" w:cs="宋体"/>
          <w:snapToGrid w:val="0"/>
          <w:color w:val="000000"/>
          <w:kern w:val="0"/>
          <w:sz w:val="24"/>
          <w:szCs w:val="22"/>
          <w:shd w:val="clear" w:color="auto" w:fill="FFFFFF"/>
        </w:rPr>
        <w:t>磋商小组应当要求所有实质性响应的投标人在规定时间内提交最后报价，提交最后报价的投标人不得少于3家。</w:t>
      </w:r>
    </w:p>
    <w:p w14:paraId="3572F0A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12.3.2</w:t>
      </w:r>
      <w:r>
        <w:rPr>
          <w:rFonts w:ascii="宋体" w:hAnsi="宋体" w:cs="宋体"/>
          <w:color w:val="000000"/>
          <w:sz w:val="24"/>
          <w:szCs w:val="22"/>
        </w:rPr>
        <w:t>出现下列情形之一的，</w:t>
      </w:r>
      <w:r>
        <w:rPr>
          <w:rFonts w:hint="eastAsia" w:ascii="宋体" w:hAnsi="宋体" w:cs="宋体"/>
          <w:color w:val="000000"/>
          <w:sz w:val="24"/>
          <w:szCs w:val="22"/>
        </w:rPr>
        <w:t>采购人</w:t>
      </w:r>
      <w:r>
        <w:rPr>
          <w:rFonts w:ascii="宋体" w:hAnsi="宋体" w:cs="宋体"/>
          <w:color w:val="000000"/>
          <w:sz w:val="24"/>
          <w:szCs w:val="22"/>
        </w:rPr>
        <w:t>或者招标代理机构应当终止竞争性磋商活动，发布项目终止公告并说明原因，重新开展</w:t>
      </w:r>
      <w:r>
        <w:rPr>
          <w:rFonts w:hint="eastAsia" w:ascii="宋体" w:hAnsi="宋体" w:cs="宋体"/>
          <w:color w:val="000000"/>
          <w:sz w:val="24"/>
          <w:szCs w:val="22"/>
        </w:rPr>
        <w:t>招标</w:t>
      </w:r>
      <w:r>
        <w:rPr>
          <w:rFonts w:ascii="宋体" w:hAnsi="宋体" w:cs="宋体"/>
          <w:color w:val="000000"/>
          <w:sz w:val="24"/>
          <w:szCs w:val="22"/>
        </w:rPr>
        <w:t>活动：</w:t>
      </w:r>
    </w:p>
    <w:p w14:paraId="444E0D0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（一）因情况变化，不再符合规定的竞争性磋商采购方式适用情形的；</w:t>
      </w:r>
    </w:p>
    <w:p w14:paraId="748A984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（二）出现影响采购公正的违法、违规行为的；</w:t>
      </w:r>
    </w:p>
    <w:p w14:paraId="41F8420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（三）除《政府采购竞争性磋商采购方式管理暂行办法》第二十一条第三款规定的情形外，在采购过程中符合要求的投标人或者报价未超过采购预算的投标人不足</w:t>
      </w:r>
      <w:r>
        <w:rPr>
          <w:rFonts w:ascii="宋体" w:hAnsi="宋体" w:cs="宋体"/>
          <w:color w:val="000000"/>
          <w:sz w:val="24"/>
          <w:szCs w:val="22"/>
        </w:rPr>
        <w:t>3家的。</w:t>
      </w:r>
    </w:p>
    <w:p w14:paraId="2D3449AE">
      <w:pPr>
        <w:spacing w:line="480" w:lineRule="exact"/>
        <w:ind w:firstLine="480" w:firstLineChars="200"/>
        <w:rPr>
          <w:rFonts w:ascii="宋体" w:hAnsi="宋体" w:cs="宋体"/>
          <w:bCs/>
          <w:color w:val="000000"/>
          <w:sz w:val="24"/>
        </w:rPr>
      </w:pPr>
      <w:r>
        <w:rPr>
          <w:rFonts w:hint="eastAsia" w:ascii="宋体" w:hAnsi="宋体" w:cs="宋体"/>
          <w:bCs/>
          <w:color w:val="000000"/>
          <w:sz w:val="24"/>
        </w:rPr>
        <w:t>13、成交原则</w:t>
      </w:r>
    </w:p>
    <w:p w14:paraId="670C9B9A">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根据综合评分情况，按照评审得分由高到低顺序推荐3名供应商，并编写评审报告并在报告上签字。评审得分相同的，按照最后报价由低到高的顺序推荐。评审得分且最后报价相同的，按照技术指标优劣顺序推荐。</w:t>
      </w:r>
    </w:p>
    <w:p w14:paraId="44C73462">
      <w:pPr>
        <w:spacing w:line="480" w:lineRule="exact"/>
        <w:ind w:firstLine="480" w:firstLineChars="200"/>
        <w:rPr>
          <w:rFonts w:ascii="宋体" w:hAnsi="宋体" w:cs="宋体"/>
          <w:bCs/>
          <w:color w:val="000000"/>
          <w:sz w:val="24"/>
        </w:rPr>
      </w:pPr>
      <w:r>
        <w:rPr>
          <w:rFonts w:hint="eastAsia" w:ascii="宋体" w:hAnsi="宋体" w:cs="宋体"/>
          <w:bCs/>
          <w:color w:val="000000"/>
          <w:sz w:val="24"/>
        </w:rPr>
        <w:t>14、评审报告</w:t>
      </w:r>
    </w:p>
    <w:p w14:paraId="48870865">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磋商小组组应当根据评审记录和评审结果编写评审报告，其主要内容包括：</w:t>
      </w:r>
    </w:p>
    <w:p w14:paraId="0058884D">
      <w:pPr>
        <w:spacing w:line="480" w:lineRule="exact"/>
        <w:ind w:firstLine="480" w:firstLineChars="200"/>
        <w:rPr>
          <w:rFonts w:ascii="宋体" w:hAnsi="宋体" w:cs="宋体"/>
          <w:bCs/>
          <w:color w:val="000000"/>
          <w:sz w:val="24"/>
        </w:rPr>
      </w:pPr>
      <w:r>
        <w:rPr>
          <w:rFonts w:hint="eastAsia" w:ascii="宋体" w:hAnsi="宋体" w:cs="宋体"/>
          <w:bCs/>
          <w:color w:val="000000"/>
          <w:sz w:val="24"/>
        </w:rPr>
        <w:t>14.1招标活动的具体方式和相关情况，以及参加招标活动的投标人名单；</w:t>
      </w:r>
    </w:p>
    <w:p w14:paraId="47B3A195">
      <w:pPr>
        <w:spacing w:line="480" w:lineRule="exact"/>
        <w:ind w:firstLine="480" w:firstLineChars="200"/>
        <w:rPr>
          <w:rFonts w:ascii="宋体" w:hAnsi="宋体" w:cs="宋体"/>
          <w:bCs/>
          <w:color w:val="000000"/>
          <w:sz w:val="24"/>
        </w:rPr>
      </w:pPr>
      <w:r>
        <w:rPr>
          <w:rFonts w:hint="eastAsia" w:ascii="宋体" w:hAnsi="宋体" w:cs="宋体"/>
          <w:bCs/>
          <w:color w:val="000000"/>
          <w:sz w:val="24"/>
        </w:rPr>
        <w:t>14.2评审日期和地点，磋商小组成员名单；</w:t>
      </w:r>
    </w:p>
    <w:p w14:paraId="67C5C998">
      <w:pPr>
        <w:spacing w:line="480" w:lineRule="exact"/>
        <w:ind w:firstLine="480" w:firstLineChars="200"/>
        <w:rPr>
          <w:rFonts w:ascii="宋体" w:hAnsi="宋体" w:cs="宋体"/>
          <w:bCs/>
          <w:color w:val="000000"/>
          <w:sz w:val="24"/>
        </w:rPr>
      </w:pPr>
      <w:r>
        <w:rPr>
          <w:rFonts w:hint="eastAsia" w:ascii="宋体" w:hAnsi="宋体" w:cs="宋体"/>
          <w:bCs/>
          <w:color w:val="000000"/>
          <w:sz w:val="24"/>
        </w:rPr>
        <w:t>14.3评审情况记录和说明，包括对供应商的资格审查情况、响应文件评审情况、磋商情况、报价情况等；</w:t>
      </w:r>
    </w:p>
    <w:p w14:paraId="4FF58D06">
      <w:pPr>
        <w:spacing w:line="480" w:lineRule="exact"/>
        <w:ind w:firstLine="480" w:firstLineChars="200"/>
        <w:rPr>
          <w:rFonts w:ascii="宋体" w:hAnsi="宋体" w:cs="宋体"/>
          <w:bCs/>
          <w:color w:val="000000"/>
          <w:sz w:val="24"/>
        </w:rPr>
      </w:pPr>
      <w:r>
        <w:rPr>
          <w:rFonts w:hint="eastAsia" w:ascii="宋体" w:hAnsi="宋体" w:cs="宋体"/>
          <w:bCs/>
          <w:color w:val="000000"/>
          <w:sz w:val="24"/>
        </w:rPr>
        <w:t>14.4提出的成交候选人的名单及理由。</w:t>
      </w:r>
    </w:p>
    <w:p w14:paraId="68F13653">
      <w:pPr>
        <w:spacing w:line="360" w:lineRule="auto"/>
        <w:ind w:firstLine="480" w:firstLineChars="200"/>
        <w:rPr>
          <w:rFonts w:ascii="宋体" w:hAnsi="宋体" w:cs="宋体"/>
          <w:color w:val="000000"/>
          <w:sz w:val="24"/>
          <w:szCs w:val="22"/>
        </w:rPr>
      </w:pPr>
      <w:r>
        <w:rPr>
          <w:rFonts w:hint="eastAsia" w:ascii="宋体" w:hAnsi="宋体" w:cs="宋体"/>
          <w:bCs/>
          <w:color w:val="000000"/>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color w:val="000000"/>
          <w:sz w:val="24"/>
          <w:szCs w:val="22"/>
        </w:rPr>
        <w:t>。</w:t>
      </w:r>
    </w:p>
    <w:p w14:paraId="56465EC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15、确定成交人</w:t>
      </w:r>
    </w:p>
    <w:p w14:paraId="6D5EA61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15.1招标代理机构应当在磋商结束后2个工作日内将评审报告送采购人。采购人应当在收到评审报告后5个工作日内，按照磋商评审报告中推荐的成交候选人顺序确定成交人，并将结果发布网上。</w:t>
      </w:r>
    </w:p>
    <w:p w14:paraId="02402F5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15.2采购人也可以授权磋商小组直接确定成交供应商。磋商小组直接确定成交供应商的应在磋商文件中写明。</w:t>
      </w:r>
    </w:p>
    <w:p w14:paraId="09EE551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16、成交结果公告</w:t>
      </w:r>
    </w:p>
    <w:p w14:paraId="2B9EB0B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16.1采购人应当在成交人确定后2个工作日内，在公告发布的同一媒介上发布成交结果，同时向成交供应商发出成交通知书，并将磋商文件随成交结果同时公告，公告期限1个工作日。</w:t>
      </w:r>
    </w:p>
    <w:p w14:paraId="76DCDCE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2038F68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17、合同授予</w:t>
      </w:r>
    </w:p>
    <w:p w14:paraId="7577D0A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17.1成交结果公示的同时，采购人以书面形式向成交人发出成交通知书。</w:t>
      </w:r>
    </w:p>
    <w:p w14:paraId="6CDAD8F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17.2供应商的最后一轮报价为成交价，成交价即为合同价。</w:t>
      </w:r>
    </w:p>
    <w:p w14:paraId="1248057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17.3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18C869B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17.4在签订合同过程中，如发现成交供应商以他人名义磋商或者以其他方式弄虚作假，骗取成交的，采购人有权取消其成交资格。</w:t>
      </w:r>
    </w:p>
    <w:p w14:paraId="612D05D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18、履约保证金</w:t>
      </w:r>
    </w:p>
    <w:p w14:paraId="2408B79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见投标人须知前附表。</w:t>
      </w:r>
    </w:p>
    <w:p w14:paraId="7831C1B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19、合同授予</w:t>
      </w:r>
    </w:p>
    <w:p w14:paraId="4EF5CB6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19.1 成交供应商在收到成交通知书后15日内应与采购人签订承包合同。</w:t>
      </w:r>
    </w:p>
    <w:p w14:paraId="7942645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竞争性磋商文件成交供应商的响应性文件及其相关澄清、补遗文件等，均为签订合同的依据。</w:t>
      </w:r>
    </w:p>
    <w:p w14:paraId="1456C56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19.2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7E08591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19.3在签订合同过程中，如发现成交供应商以他人名义磋商或者以其他方式弄虚作假，骗取成交的，采购人有权取消其成交资格。</w:t>
      </w:r>
    </w:p>
    <w:p w14:paraId="681869E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20、纪律和监督</w:t>
      </w:r>
    </w:p>
    <w:p w14:paraId="013FC39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20.1对采购人的纪律要求</w:t>
      </w:r>
    </w:p>
    <w:p w14:paraId="6B92788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采购人不得泄漏竞争性磋商中应当保密的情况和资料，不得与供应商串通损害国家利益、社会公共利益或者他人合法权益。</w:t>
      </w:r>
    </w:p>
    <w:p w14:paraId="7028A75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20.2对供应商的纪律要求</w:t>
      </w:r>
    </w:p>
    <w:p w14:paraId="76D160E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供应商不得相互串通或者与采购人串通，不得向采购人或者磋商小组成员行贿谋取成交，不得以他人名义磋商或者以其他方式弄虚作假骗取成交；供应商不得以任何方式干扰、影响磋商工作。</w:t>
      </w:r>
    </w:p>
    <w:p w14:paraId="493B607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20.3对磋商小组成员的纪律要求</w:t>
      </w:r>
    </w:p>
    <w:p w14:paraId="767C564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685950B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20.4对与磋商活动有关的工作人员的纪律要求</w:t>
      </w:r>
    </w:p>
    <w:p w14:paraId="4D60A5E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137A535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20.5投诉</w:t>
      </w:r>
    </w:p>
    <w:p w14:paraId="09B2903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供应商和其他利害关系人认为本次竞争性磋商违反法律、法规和规章规定的，有权向有关行政监督部门投诉。</w:t>
      </w:r>
    </w:p>
    <w:p w14:paraId="7BB4FA7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21、质疑程序及处理 </w:t>
      </w:r>
    </w:p>
    <w:p w14:paraId="022C2BC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21.1若供应商认为其磋商未获公平评审或磋商文件、采购过程和成交结果使自己的合法权益受到损害，可以在知道或者应知其权益受到损害之日起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 </w:t>
      </w:r>
    </w:p>
    <w:p w14:paraId="264F65C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（一）对可以质疑的磋商文件提出质疑的，为收到磋商文件之日或者磋商文件公告期限届满之日；</w:t>
      </w:r>
    </w:p>
    <w:p w14:paraId="185BD53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（二）对采购过程提出质疑的，为各采购程序环节结束之日； </w:t>
      </w:r>
    </w:p>
    <w:p w14:paraId="0C34166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（三）对成交结果提出质疑的，为成交结果公告期限届满之日。 </w:t>
      </w:r>
    </w:p>
    <w:p w14:paraId="0056A3E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21.2 质疑书应当包括下列主要内容，并按照“谁主张、谁举证”的原则，附上相关证明材料。否则，采购人不予受理： </w:t>
      </w:r>
    </w:p>
    <w:p w14:paraId="6AD1844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（一）质疑供应商全称、地址、法定代表人、联系人及联系电话、邮政编码等； </w:t>
      </w:r>
    </w:p>
    <w:p w14:paraId="2DC3D3D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（二）被质疑采购项目的名称、编号； </w:t>
      </w:r>
    </w:p>
    <w:p w14:paraId="17CD0FD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（三）质疑的具体事项、明确的请求和主张；</w:t>
      </w:r>
    </w:p>
    <w:p w14:paraId="1272EC9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（四）质疑所依据的法律依据（具体条款）、具体事实和具体理由。质疑书依据理由部分只有主观陈述、推理、猜测等，而没有提供客观事实依据、法律依据的； </w:t>
      </w:r>
    </w:p>
    <w:p w14:paraId="05471BF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54D757D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（六）充足有效的相关证明材料；如果涉及到产品功能或技术指标的，应出具相关制造商的证明文件； </w:t>
      </w:r>
    </w:p>
    <w:p w14:paraId="3C214DF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（七）质疑材料中有外文资料的，应一并附上中文译本，并以中文译本为准。 </w:t>
      </w:r>
    </w:p>
    <w:p w14:paraId="510194D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（八）提起质疑的日期</w:t>
      </w:r>
    </w:p>
    <w:p w14:paraId="0052E45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6A7D0EC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21.4供应商委托代理人办理质疑事宜，应当提交授权委托书，并载明委托代理的具体权限和事项。授权委托书应当由委托人签字并加盖单位公章。 </w:t>
      </w:r>
    </w:p>
    <w:p w14:paraId="64FE03A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59B94E6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45028DE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16E7F7F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21.8采购人将在收到符合上述条件的书面质疑后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33436A6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21.9质疑供应商对采购人的答复不满意以及采购人未在规定的时间内做出答复的，可以在答复期满后15个工作日内向财政部门投诉。</w:t>
      </w:r>
    </w:p>
    <w:p w14:paraId="34BDCD0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22、需要补充的其他内容</w:t>
      </w:r>
    </w:p>
    <w:p w14:paraId="6369BB3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需要补充的其他内容：见&lt;供应商须知前附表&gt;。</w:t>
      </w:r>
    </w:p>
    <w:p w14:paraId="6BD084EB">
      <w:pPr>
        <w:spacing w:line="360" w:lineRule="auto"/>
        <w:ind w:firstLine="480" w:firstLineChars="200"/>
        <w:rPr>
          <w:rFonts w:ascii="宋体" w:hAnsi="宋体"/>
          <w:color w:val="000000"/>
          <w:sz w:val="24"/>
        </w:rPr>
      </w:pPr>
    </w:p>
    <w:p w14:paraId="7DCAE847">
      <w:pPr>
        <w:spacing w:line="360" w:lineRule="auto"/>
        <w:jc w:val="center"/>
        <w:rPr>
          <w:rFonts w:ascii="黑体" w:hAnsi="黑体" w:eastAsia="黑体"/>
          <w:b/>
          <w:color w:val="000000"/>
          <w:sz w:val="36"/>
          <w:szCs w:val="36"/>
        </w:rPr>
      </w:pPr>
      <w:bookmarkStart w:id="49" w:name="_Toc516499656"/>
      <w:bookmarkStart w:id="50" w:name="_Toc99007052"/>
      <w:bookmarkStart w:id="51" w:name="_Toc25298"/>
      <w:bookmarkStart w:id="52" w:name="_Toc57277889"/>
      <w:bookmarkStart w:id="53" w:name="_Toc25595"/>
    </w:p>
    <w:p w14:paraId="0B44F80D">
      <w:pPr>
        <w:spacing w:line="360" w:lineRule="auto"/>
        <w:jc w:val="center"/>
        <w:outlineLvl w:val="0"/>
        <w:rPr>
          <w:rFonts w:ascii="黑体" w:hAnsi="黑体" w:eastAsia="黑体"/>
          <w:b/>
          <w:color w:val="000000"/>
          <w:sz w:val="36"/>
          <w:szCs w:val="36"/>
        </w:rPr>
      </w:pPr>
    </w:p>
    <w:p w14:paraId="3B24F862">
      <w:pPr>
        <w:pStyle w:val="3"/>
        <w:rPr>
          <w:rFonts w:ascii="黑体" w:hAnsi="黑体" w:eastAsia="黑体"/>
          <w:b/>
          <w:color w:val="000000"/>
          <w:sz w:val="36"/>
          <w:szCs w:val="36"/>
        </w:rPr>
      </w:pPr>
    </w:p>
    <w:p w14:paraId="2C19B95F">
      <w:pPr>
        <w:pStyle w:val="3"/>
        <w:rPr>
          <w:rFonts w:ascii="黑体" w:hAnsi="黑体" w:eastAsia="黑体"/>
          <w:b/>
          <w:color w:val="000000"/>
          <w:sz w:val="36"/>
          <w:szCs w:val="36"/>
        </w:rPr>
      </w:pPr>
    </w:p>
    <w:p w14:paraId="0170952A">
      <w:pPr>
        <w:pStyle w:val="3"/>
        <w:rPr>
          <w:rFonts w:ascii="黑体" w:hAnsi="黑体" w:eastAsia="黑体"/>
          <w:b/>
          <w:color w:val="000000"/>
          <w:sz w:val="36"/>
          <w:szCs w:val="36"/>
        </w:rPr>
      </w:pPr>
    </w:p>
    <w:p w14:paraId="3C5CDEDF">
      <w:pPr>
        <w:pStyle w:val="3"/>
        <w:rPr>
          <w:rFonts w:ascii="黑体" w:hAnsi="黑体" w:eastAsia="黑体"/>
          <w:b/>
          <w:color w:val="000000"/>
          <w:sz w:val="36"/>
          <w:szCs w:val="36"/>
        </w:rPr>
      </w:pPr>
    </w:p>
    <w:p w14:paraId="083E89A7">
      <w:pPr>
        <w:pStyle w:val="3"/>
        <w:rPr>
          <w:rFonts w:ascii="黑体" w:hAnsi="黑体" w:eastAsia="黑体"/>
          <w:b/>
          <w:color w:val="000000"/>
          <w:sz w:val="36"/>
          <w:szCs w:val="36"/>
        </w:rPr>
      </w:pPr>
    </w:p>
    <w:p w14:paraId="2DB3C16B">
      <w:pPr>
        <w:pStyle w:val="3"/>
        <w:rPr>
          <w:rFonts w:ascii="黑体" w:hAnsi="黑体" w:eastAsia="黑体"/>
          <w:b/>
          <w:color w:val="000000"/>
          <w:sz w:val="36"/>
          <w:szCs w:val="36"/>
        </w:rPr>
      </w:pPr>
    </w:p>
    <w:p w14:paraId="5991FDBE">
      <w:pPr>
        <w:spacing w:line="360" w:lineRule="auto"/>
        <w:jc w:val="center"/>
        <w:outlineLvl w:val="0"/>
        <w:rPr>
          <w:rFonts w:ascii="宋体" w:hAnsi="宋体"/>
          <w:color w:val="000000"/>
          <w:sz w:val="24"/>
        </w:rPr>
      </w:pPr>
      <w:bookmarkStart w:id="54" w:name="_Toc6871"/>
      <w:r>
        <w:rPr>
          <w:rFonts w:hint="eastAsia" w:ascii="黑体" w:hAnsi="黑体" w:eastAsia="黑体"/>
          <w:b/>
          <w:color w:val="000000"/>
          <w:sz w:val="36"/>
          <w:szCs w:val="36"/>
        </w:rPr>
        <w:t xml:space="preserve">第三章  </w:t>
      </w:r>
      <w:bookmarkEnd w:id="26"/>
      <w:bookmarkEnd w:id="27"/>
      <w:bookmarkEnd w:id="28"/>
      <w:bookmarkEnd w:id="29"/>
      <w:bookmarkEnd w:id="49"/>
      <w:r>
        <w:rPr>
          <w:rFonts w:hint="eastAsia" w:ascii="黑体" w:hAnsi="黑体" w:eastAsia="黑体"/>
          <w:b/>
          <w:color w:val="000000"/>
          <w:sz w:val="36"/>
          <w:szCs w:val="36"/>
        </w:rPr>
        <w:t>采购</w:t>
      </w:r>
      <w:bookmarkEnd w:id="50"/>
      <w:bookmarkEnd w:id="51"/>
      <w:bookmarkEnd w:id="52"/>
      <w:bookmarkEnd w:id="53"/>
      <w:r>
        <w:rPr>
          <w:rFonts w:hint="eastAsia" w:ascii="黑体" w:hAnsi="黑体" w:eastAsia="黑体"/>
          <w:b/>
          <w:color w:val="000000"/>
          <w:sz w:val="36"/>
          <w:szCs w:val="36"/>
        </w:rPr>
        <w:t>需求</w:t>
      </w:r>
      <w:bookmarkEnd w:id="54"/>
    </w:p>
    <w:p w14:paraId="1DE15129">
      <w:pPr>
        <w:numPr>
          <w:ilvl w:val="0"/>
          <w:numId w:val="0"/>
        </w:numPr>
        <w:rPr>
          <w:rFonts w:hint="default"/>
          <w:sz w:val="28"/>
          <w:szCs w:val="28"/>
          <w:lang w:val="en-US" w:eastAsia="zh-CN"/>
        </w:rPr>
      </w:pPr>
      <w:bookmarkStart w:id="55" w:name="_Toc57277890"/>
      <w:bookmarkStart w:id="56" w:name="_Toc516499661"/>
      <w:bookmarkStart w:id="57" w:name="_Toc99007054"/>
      <w:bookmarkStart w:id="58" w:name="_Toc2673"/>
      <w:bookmarkStart w:id="59" w:name="_Toc7577"/>
      <w:r>
        <w:rPr>
          <w:rFonts w:hint="eastAsia"/>
          <w:sz w:val="28"/>
          <w:szCs w:val="28"/>
          <w:lang w:val="en-US" w:eastAsia="zh-CN"/>
        </w:rPr>
        <w:t>1、86寸教学触控一体机（5套）</w:t>
      </w:r>
    </w:p>
    <w:tbl>
      <w:tblPr>
        <w:tblStyle w:val="15"/>
        <w:tblW w:w="96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782"/>
        <w:gridCol w:w="6836"/>
        <w:gridCol w:w="718"/>
        <w:gridCol w:w="654"/>
      </w:tblGrid>
      <w:tr w14:paraId="4D48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4E92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4F15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5684C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技术参数及性能（配置）要求</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E5B7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1F3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1C18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885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316A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触控一体机</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033C3DF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i w:val="0"/>
                <w:iCs w:val="0"/>
                <w:color w:val="000000"/>
                <w:kern w:val="0"/>
                <w:sz w:val="24"/>
                <w:szCs w:val="24"/>
                <w:u w:val="none"/>
                <w:lang w:val="en-US" w:eastAsia="zh-CN" w:bidi="ar"/>
              </w:rPr>
              <w:t>显示及触控参数要求：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1.屏幕采用≥86英寸UHD 超高清液晶屏，显示比例16:9，具备防眩光效果，可视角度≥178°。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2.★交互平板屏幕色彩覆盖率不低于120%，最高灰阶256灰阶。（提供相关检测报告复印件并加盖公章）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3.物理分辨率：≥3840×2160可无损播放4K片源，在Windows 系统4K分辨率下，屏幕刷新率可达60Hz 且画面无闪烁。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4.交互平板表面玻璃采用高强度钢化玻璃，硬度可达莫氏7级,表面强度≥100Mpa（提供相关检测报告复印件并加盖公章）。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5.★整机在Windows与Android系统下均支持多点触控，红外技术遵循标准 HID 免驱协议，Window7/8/10/Mac os/Linux/国产化系统下自动识别,无需额外安装驱动程序，触控书写延迟≤20ms。（提供相关检测报告复印件并加盖公章）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6.书写保障：书写区域被手、书本等较大物体遮挡或某一条触摸边框完全失灵，仍可以正常书写、操作。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二、嵌入式系统参数要求：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1.★内置嵌入式安卓系统版本不低于11.0，内存≥2GB，存储空间≥8GB。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2.整机在任意通道下通过手势识别调出板擦工具擦除批注内容。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3.为方便老师使用，触摸中控菜单上的通道信号源支持自定义。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5.在同一局域网环境下，支持通过移动端扫描二维码的方式实现整机文件共享及板书内容共享。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6.智能交互平板双侧快捷键支持自定义功能，并可根据用户的实际使用需求设置快捷键的数量，可单侧显示或双侧同时显示。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7.★为满足教学场景使用需求，支持不少于2种方式进行屏幕下移，屏幕下移后仍可进行触控、书写等操作 。(提供相关检测报告并加盖厂家公章)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8.为方便教师使用，在双系统下提供悬浮菜单，可按教师需求，自定义设置常用功能，也可隐藏。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三、整机要求：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1.前置接口采用隐藏式设计，具有翻转式防护盖板，且盖板高度不小于4CM,保证用户使用安全的同时，也可防止前置接口粉尘堆积，避免造成损坏。（提供相关检测报告复印件并加盖公章）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2.为方便教师使用，前置常用按键不少于8个，至少可以实现关闭窗口、截屏、录屏等功能。（提供相关检测报告复印件并加盖公章）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3.★为方便设备维护，前置组合式针孔电脑还原物理按键，具有中文标识（提供相关检测报告复印件并加盖公章）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4.★为满足课堂视听需求，交互平板采用多声道组合音响，前置双扬声器功率高于30W，且为保证高人声还原度，谐振频率低于300Hz。（提供相关检测报告复印件并加盖公章）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5.★为保证教室声学环境的扩声效果，距离平板扬声器10米处声压级达到80dB。（提供相关检测报告复印件并加盖公章）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6.交互平板具有前置笔槽结构，可便于用户存放粉笔等教学工具。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7.整机屏体无需操作即可实现蓝光防护，具备物理防蓝光（过滤蓝光）功能，有效抗蓝光、防眩光。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8.整机具备智能护眼书写+护眼模式双重护眼功能，护眼时可做到屏幕书写过程中逐步降低整机背光亮度和色温。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9.★为方便用户售后维修，前置接口面板和前置按键面板具备前拆式结构。（提供相关检测报告复印件并加盖公章）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10.★通过多指抓取屏幕任意位置可调出多任务处理窗口，并对正在运行的应用进行浏览、快速切换或结束进程。（提供相关检测报告复印件并加盖公章）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11.★为充分满足用户实际使用需求，前置面板需具有以下输入接口：不少于1路标准HDMI接口、2路双通道USB3.0接口及1路USB Type-C接口。（提供相关检测报告复印件并加盖公章）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12.整机后置接口：≥1路HDMI输入接口、≥1路音频输入接口、≥1路音频输出接口、≥1路USB Type-B触控接口、≥1路VGA等。（提供相关检测报告复印件并加盖公章）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14.通电关机状态下交互平板与外接电脑、机顶盒等设备通过HDMI/VGA连接时，识别到外接设备的输入信号后自动开机。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15.交互平板与外接电脑设备连接时，支持以一根USB线直接读取插在交互平板上的U盘，并识别连接至交互平板的翻页笔、无线键鼠等USB设备。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17.智能交互平板须整机符合GB21520-2015的能源效率等级1级要求，整机功耗低于350W。（提供相关检测报告复印件并加盖公章）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18.★交互平板板具有一体化2D降噪4K摄像头，像素不低于1300万，水平视角 120°，视角在120°的范围下，畸变不大于5%， 拾音单元有效保真拾音距离可达12米，全结构无外部连线与屏体齐平；高清摄像头模组支持远程巡课系统，并可对接人脸识别软件进行使用；(提供相关检测报告并加盖厂家公章)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四、内置电脑参数要求：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1.★采用插拔式模块化电脑，采用OPS-C 标准的80pin针口设计，屏体与插拔式电脑无单独连接线。（提供相关检测报告复印件并加盖公章）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2.内置电脑CPU不低于Intel 第十一代i5；内存：≥</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G DDR4;硬盘：≥</w:t>
            </w:r>
            <w:r>
              <w:rPr>
                <w:rFonts w:hint="eastAsia" w:ascii="宋体" w:hAnsi="宋体" w:cs="宋体"/>
                <w:i w:val="0"/>
                <w:iCs w:val="0"/>
                <w:color w:val="000000"/>
                <w:kern w:val="0"/>
                <w:sz w:val="24"/>
                <w:szCs w:val="24"/>
                <w:u w:val="none"/>
                <w:lang w:val="en-US" w:eastAsia="zh-CN" w:bidi="ar"/>
              </w:rPr>
              <w:t>256</w:t>
            </w:r>
            <w:r>
              <w:rPr>
                <w:rFonts w:hint="eastAsia" w:ascii="宋体" w:hAnsi="宋体" w:eastAsia="宋体" w:cs="宋体"/>
                <w:i w:val="0"/>
                <w:iCs w:val="0"/>
                <w:color w:val="000000"/>
                <w:kern w:val="0"/>
                <w:sz w:val="24"/>
                <w:szCs w:val="24"/>
                <w:u w:val="none"/>
                <w:lang w:val="en-US" w:eastAsia="zh-CN" w:bidi="ar"/>
              </w:rPr>
              <w:t>G固态硬盘。具备不少于5个USB接口。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1B84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83B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6DD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34DD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C9D4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多媒体教学软件</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67D902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一、白板软件要求：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1.提供互动教学应用软件统一入口：可整合互动应用软件，集中管理，方便老师在各软件之间的切换和使用；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3.软件提供不少于8种与学科相关的页面背景如田字格、米字格、拼音本、英语本、笔记本、小楷本、五线谱、生字本等；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5.路径特效设置：可对页面对象设置直线路径与自定义路径动作；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6.图片设置：支持裁剪，滤镜设置，提供不少于3种滤镜效果，如怀旧、底片、黑白，支持图片效果设置，如圆形对角、椭圆框架、矩形阴影等，支持图片透明度设置，可直接进行图片替换；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科工具：至少提供12门以上学科工具，包含语文、数学、英语、物理、化学、生物、地理、历史、音乐、体育、书法等；针对以上学科，学科工具里不能为静态图片，其中交互式操作的动画支持一键全；屏显示，批注标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9.书写工具:为方便教师授课板书，提供粉笔、硬笔、笔、纹理笔、图章笔、激光笔等不少于10种书写工具；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具箱：提供不少于12个教学辅助工具，例如数学作图工具(直尺、圆规、三角板等)、聚光灯、放大镜、屏幕截图、展台、草稿纸等，其中聚光灯支持方、圆切换，舞台明暗效果调整、自定义区域，放大镜支持方、圆切换，倍率调整、自定义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11.PPT课件批注功能：PPT全屏播放时可自动开启工具菜单，支持工具菜单收起与打开，提供PPT课件的播放控制(如前后翻页)、聚光灯、放大镜和书写批注等功能,支持生成二维码，快速分享课件；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12.PPT导入及插入：PPT导入可保留原文档中的音频、视频、图片、文字及动画，并可根据需要编辑、修改,最终生成白板格式的课件；支持以原生态的形式插入一个或多个PPT文档，并可在白板软件当中直接打开;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13.当教师异常操作时，软件窗口可给予震动提醒；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14.支持一键为白板软件中任意中、英文文本添加标准人声朗读音频，无需手动上传音频文件；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15.可同时打开多个白板格式的互动课件，支持课件页面和元素的复制、粘贴，便于课件编辑和演示；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17.提供不少于200个在线软、硬件视频教程，供用户熟悉软硬件产品使用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18.提供不少于1000G、50万条的幼教、普教、职教资源。可按学科、年级、版本、章节、栏目进行查询、下载，并可按班级、学生进行优质资源推送；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二、课件演示助手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1.可适用于WPS与PPT，打开课件自动启动，无需手动打开。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2.为满足教师使用习惯，可支持双侧工具栏位置自定义。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三、录课助手系统：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1.支持屏幕、屏幕+摄像头等多种形式的录制，也可结合录播系统进行全景录制；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2.支持对视频清晰度的调整，提供高清、超清、超高清的切换，方便用户在手机、电脑或者大屏上观看；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3.具有便捷的录制工具条，可快速录制，可移动，3s无操作即变为半透明；可实时查看录制进度，进行暂停、 开始、结束操作；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4.录制过程中支持随时开启分享功能，实现即时直播，听课端无需下载软件，扫描二维码即可进入直播课堂并进行互动；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5.开通直播后生成直播海报、直播码，易于分享，多人观看无压力，且支持手机端、PC端观看直播，可实现课堂实时评论；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6.录制视频可自动保存在本地，也可上传至云端教师空间，结束录制即生成回看视频，可快速浏览录制情况。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四、多屏互动软件系统: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1.支持Android 4.0及IOS 6.0以上版本系统。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3.可一键对试卷、课本等实物进行拍摄，将实物照片上传至智能平板中，并可通过移动端实现双向批注功能，同时，可一键打开电脑桌面课件并播放，进行批注等操作。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五、备授课系统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1.支持三种登录方式；账号密码直接登录，书写快捷登录、微信扫码登录；还支持免登录打开本地课件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3.应用模块：教学软件至少包含个人空间、回收站、我的班级、操作指南、个人设置等应用模板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4.老师个人账号无需完成特定任务，即可获取不少于 200G 云端存储空间。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5.PPT导入：具备单独PPT 导入功能，并支持导入进度条提示功能，用户可查看当前导入进度，上传完成后具有中文提示功能；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预置的高质量课件素材，允许老师在网页端、移动端、电脑端进行内容的选择与组合，快速生成课件并浏览并提供教学设计和课件内容，部分课件提供课件批注。所有制作的课件均实时保存至云端，老师只需登录即可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7.课件分享：可将做好的课件打印成纸质版或导出成PDF。支持将做好的课件以链接的形式分享。同时，还支持扫码分享并可预览课件。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模块化的高质量课件素材和教案，学科涵盖语文、数学、英语、科学、物理、化学、生物、地理、历史、道德与法治等学科。课件支持组选：课堂导入，知识讲解，例题与变式，拓展延伸，课外活动等。课件总课时量不低于1000个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精选各省市统考真题、学校考试真题，以及主流教辅书中的习题组成中学数学学科题库，题库总量达到20万题，题库自带答案及解析，题库内的题目支持筛选题型和试题难度，可支持直接插入到课件中。题库内容插入到课件之后，可以对题、答案、解析进行二次编辑，还可以对文本、公式进行二次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12.插入表格，表格支持设置行列数，在表格上可以进行行列的添加、删除、合并和拆分。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13.支持课堂评价支持对全班、单个或多个学生进行评价，评价结果可撤回。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14.老师可通过移动端、PC端及网页端对学生进行行为评价打分，可显示班级得分前列的学生信息，界面、评价项、学生头像均采用卡通化方式，软件支持随机抽选学生进行评价。</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CBB3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5B8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1EC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1AB8D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E9F3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视频展台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446BCE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2.外观材质：兼顾教学环境，保护师生安全，采用ABS材质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3.整机采用高清摄像头设计，不小于1300万像素定焦镜头，解析度到达1600TV线，使画面展示更加清晰；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4.变焦：12倍数字变焦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5.拍摄幅面：A4及以上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6.图像色彩：24位及以上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7.输出格式：图片JPG，视频MP4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8.整机具有安全锁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9.光源补偿：LED五级光源补偿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10.整机内置高灵敏麦克风，满足教学录制需求；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1．软件可通过不少于3种方式启动；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2．实时教学内容展示，支持批注、缩放、旋转、保存分享、拍照、连拍等操作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3．软件根据教学语言环境可设置中、英文切换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4．支持展台画面实时批注，预设多种笔划粗细及颜色供选择，且支持对展台画面及批注内容进行同步缩放、移动；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5．同屏对比支持多图联动缩放和单图缩放两种模式，并支持六张图片同屏对比，可在任意区域内批注书写，不局限于显示区域内批注书写，并可对单张图片进行旋转、全屏、缩放、删除等操作；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6．结合白板软件授课界面最少支持5副展示图片插入白板软件进行授课批注；</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5173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AC6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DD8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4D5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19A9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推拉绿板</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5940C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1.结构：双层结构，内层为两块固定书写板左右各一块，中间预留放置电子产品空间，外层为两块滑动书写板，滑动板配装刻有黑板品牌LOGO标识的挂锁，开闭自如确保一体机的安全管理。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2.尺寸≥4000mm×1305mm，可根据所配电子产品适当调整，确保与电子产品的有效配套。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面：采用金属烤漆书写板面，亚光、墨绿色，厚度≥0.3mm，光泽度≤12光泽单位，没有因黑板本身原因产生的眩光，书写流畅字迹清晰、色彩协调可视效果佳，有效的缓解学生视觉疲劳；板面表面附有一层透明保护膜，符合GB28231-2011《书写板安全卫生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4.衬板：选用高强度、吸音、防潮、阻燃聚苯乙烯板，厚度≥14mm。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5.背板：采用优质镀锌钢板，厚度≥0.2mm，机械化流水线一次成型，设有凹槽加强筋，增加板体强度。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★6.覆板：采用环保型双组份聚氨酯胶水，自动化流水线覆板作业，确保粘接牢固板面平整，甲醛释放量≤0.03mg/L，符合GB 28231-2011《书写板安全卫生要求》，提供检测报告复印件并加盖厂家公章。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7.边框：采用高强度香槟色电泳铝合金型材，性能符合GB 5237.3-2008标准，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★8.包角：采用抗老化高强度ABS工程塑料注塑成型。黑板品牌标识与包角一次模具成型，无尖角毛刺，符合GB 21027-2007《学生用品的安全通用要求》。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9.滑轮：双组高精度轴承上吊轮，下平滑动系统，数目各4组，上下均匀安装，滑动流畅、噪音小、前后定位精确。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10.安全性：一把锁实现对滑动黑板的锁定，钥匙通用，方便实用。</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F5D1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95E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6B8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54B9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8EF6D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系统集成</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5DAB74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系统集成服务</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16B2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450B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bl>
    <w:p w14:paraId="554BFB2D">
      <w:pPr>
        <w:numPr>
          <w:ilvl w:val="0"/>
          <w:numId w:val="0"/>
        </w:numPr>
        <w:rPr>
          <w:rFonts w:hint="default"/>
          <w:sz w:val="28"/>
          <w:szCs w:val="28"/>
          <w:lang w:val="en-US" w:eastAsia="zh-CN"/>
        </w:rPr>
      </w:pPr>
      <w:r>
        <w:rPr>
          <w:rFonts w:hint="eastAsia"/>
          <w:sz w:val="28"/>
          <w:szCs w:val="28"/>
          <w:lang w:val="en-US" w:eastAsia="zh-CN"/>
        </w:rPr>
        <w:t>2、65寸教学触控一体机（9套）</w:t>
      </w:r>
    </w:p>
    <w:tbl>
      <w:tblPr>
        <w:tblStyle w:val="15"/>
        <w:tblW w:w="9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782"/>
        <w:gridCol w:w="6836"/>
        <w:gridCol w:w="718"/>
        <w:gridCol w:w="654"/>
      </w:tblGrid>
      <w:tr w14:paraId="658D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B95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1419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18B23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技术参数及性能（配置）要求</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F82A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2E9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4642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3DEA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DAF0B6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触控一体机</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0BCFB88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i w:val="0"/>
                <w:iCs w:val="0"/>
                <w:color w:val="000000"/>
                <w:kern w:val="0"/>
                <w:sz w:val="24"/>
                <w:szCs w:val="24"/>
                <w:u w:val="none"/>
                <w:lang w:val="en-US" w:eastAsia="zh-CN" w:bidi="ar"/>
              </w:rPr>
              <w:t>显示及触控参数要求：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1.屏幕采用≥65英寸UHD 超高清液晶屏，显示比例16:9，具备防眩光效果，可视角度≥178°。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2.★交互平板屏幕色彩覆盖率不低于120%，最高灰阶256灰阶。（提供相关检测报告复印件并加盖公章）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3.物理分辨率：≥3840×2160可无损播放4K片源，在Windows 系统4K分辨率下，屏幕刷新率可达60Hz 且画面无闪烁。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4.交互平板表面玻璃采用高强度钢化玻璃，硬度可达莫氏7级,表面强度≥100Mpa（提供相关检测报告复印件并加盖公章）。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5.★整机在Windows与Android系统下均支持多点触控，红外技术遵循标准 HID 免驱协议，Window7/8/10/Mac os/Linux/国产化系统下自动识别,无需额外安装驱动程序，触控书写延迟≤20ms。（提供相关检测报告复印件并加盖公章）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6.书写保障：书写区域被手、书本等较大物体遮挡或某一条触摸边框完全失灵，仍可以正常书写、操作。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二、嵌入式系统参数要求：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1.★内置嵌入式安卓系统版本不低于11.0，内存≥2GB，存储空间≥8GB。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2.整机在任意通道下通过手势识别调出板擦工具擦除批注内容。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3.为方便老师使用，触摸中控菜单上的通道信号源支持自定义。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5.在同一局域网环境下，支持通过移动端扫描二维码的方式实现整机文件共享及板书内容共享。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6.智能交互平板双侧快捷键支持自定义功能，并可根据用户的实际使用需求设置快捷键的数量，可单侧显示或双侧同时显示。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7.★为满足教学场景使用需求，支持不少于2种方式进行屏幕下移，屏幕下移后仍可进行触控、书写等操作 。(提供相关检测报告并加盖厂家公章)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8.为方便教师使用，在双系统下提供悬浮菜单，可按教师需求，自定义设置常用功能，也可隐藏。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三、整机要求：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1.前置接口采用隐藏式设计，具有翻转式防护盖板，且盖板高度不小于4CM,保证用户使用安全的同时，也可防止前置接口粉尘堆积，避免造成损坏。（提供相关检测报告复印件并加盖公章）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2.为方便教师使用，前置常用按键不少于8个，至少可以实现关闭窗口、截屏、录屏等功能。（提供相关检测报告复印件并加盖公章）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3.★为方便设备维护，前置组合式针孔电脑还原物理按键，具有中文标识（提供相关检测报告复印件并加盖公章）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4.★为满足课堂视听需求，交互平板采用多声道组合音响，前置双扬声器功率高于30W，且为保证高人声还原度，谐振频率低于300Hz。（提供相关检测报告复印件并加盖公章）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5.★为保证教室声学环境的扩声效果，距离平板扬声器10米处声压级达到80dB。（提供相关检测报告复印件并加盖公章）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6.交互平板具有前置笔槽结构，可便于用户存放粉笔等教学工具。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7.整机屏体无需操作即可实现蓝光防护，具备物理防蓝光（过滤蓝光）功能，有效抗蓝光、防眩光。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8.整机具备智能护眼书写+护眼模式双重护眼功能，护眼时可做到屏幕书写过程中逐步降低整机背光亮度和色温。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9.★为方便用户售后维修，前置接口面板和前置按键面板具备前拆式结构。（提供相关检测报告复印件并加盖公章）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10.★通过多指抓取屏幕任意位置可调出多任务处理窗口，并对正在运行的应用进行浏览、快速切换或结束进程。（提供相关检测报告复印件并加盖公章）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11.★为充分满足用户实际使用需求，前置面板需具有以下输入接口：不少于1路标准HDMI接口、2路双通道USB3.0接口及1路USB Type-C接口。（提供相关检测报告复印件并加盖公章）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12.整机后置接口：≥1路HDMI输入接口、≥1路音频输入接口、≥1路音频输出接口、≥1路USB Type-B触控接口、≥1路VGA等。（提供相关检测报告复印件并加盖公章）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14.通电关机状态下交互平板与外接电脑、机顶盒等设备通过HDMI/VGA连接时，识别到外接设备的输入信号后自动开机。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15.交互平板与外接电脑设备连接时，支持以一根USB线直接读取插在交互平板上的U盘，并识别连接至交互平板的翻页笔、无线键鼠等USB设备。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17.智能交互平板须整机符合GB21520-2015的能源效率等级1级要求，整机功耗低于350W。（提供相关检测报告复印件并加盖公章）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18.★交互平板板具有一体化2D降噪4K摄像头，像素不低于1300万，水平视角 120°，视角在120°的范围下，畸变不大于5%， 拾音单元有效保真拾音距离可达12米，全结构无外部连线与屏体齐平；高清摄像头模组支持远程巡课系统，并可对接人脸识别软件进行使用；(提供相关检测报告并加盖厂家公章)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四、内置电脑参数要求：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1.★采用插拔式模块化电脑，采用OPS-C 标准的80pin针口设计，屏体与插拔式电脑无单独连接线。（提供相关检测报告复印件并加盖公章）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2.内置电脑CPU不低于Intel 第十一代i5；内存：≥16G DDR4;硬盘：≥512G固态硬盘。具备不少于5个USB接口。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99BB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743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A98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5CE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8A3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多媒体教学软件</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2C3A5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一、白板软件要求：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1.提供互动教学应用软件统一入口：可整合互动应用软件，集中管理，方便老师在各软件之间的切换和使用；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3.软件提供不少于8种与学科相关的页面背景如田字格、米字格、拼音本、英语本、笔记本、小楷本、五线谱、生字本等；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5.路径特效设置：可对页面对象设置直线路径与自定义路径动作；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6.图片设置：支持裁剪，滤镜设置，提供不少于3种滤镜效果，如怀旧、底片、黑白，支持图片效果设置，如圆形对角、椭圆框架、矩形阴影等，支持图片透明度设置，可直接进行图片替换；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科工具：至少提供12门以上学科工具，包含语文、数学、英语、物理、化学、生物、地理、历史、音乐、体育、书法等；针对以上学科，学科工具里不能为静态图片，其中交互式操作的动画支持一键全；屏显示，批注标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9.书写工具:为方便教师授课板书，提供粉笔、硬笔、笔、纹理笔、图章笔、激光笔等不少于10种书写工具；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具箱：提供不少于12个教学辅助工具，例如数学作图工具(直尺、圆规、三角板等)、聚光灯、放大镜、屏幕截图、展台、草稿纸等，其中聚光灯支持方、圆切换，舞台明暗效果调整、自定义区域，放大镜支持方、圆切换，倍率调整、自定义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11.PPT课件批注功能：PPT全屏播放时可自动开启工具菜单，支持工具菜单收起与打开，提供PPT课件的播放控制(如前后翻页)、聚光灯、放大镜和书写批注等功能,支持生成二维码，快速分享课件；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12.PPT导入及插入：PPT导入可保留原文档中的音频、视频、图片、文字及动画，并可根据需要编辑、修改,最终生成白板格式的课件；支持以原生态的形式插入一个或多个PPT文档，并可在白板软件当中直接打开;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13.当教师异常操作时，软件窗口可给予震动提醒；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14.支持一键为白板软件中任意中、英文文本添加标准人声朗读音频，无需手动上传音频文件；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15.可同时打开多个白板格式的互动课件，支持课件页面和元素的复制、粘贴，便于课件编辑和演示；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17.提供不少于200个在线软、硬件视频教程，供用户熟悉软硬件产品使用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18.提供不少于1000G、50万条的幼教、普教、职教资源。可按学科、年级、版本、章节、栏目进行查询、下载，并可按班级、学生进行优质资源推送；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二、课件演示助手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1.可适用于WPS与PPT，打开课件自动启动，无需手动打开。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2.为满足教师使用习惯，可支持双侧工具栏位置自定义。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三、录课助手系统：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1.支持屏幕、屏幕+摄像头等多种形式的录制，也可结合录播系统进行全景录制；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2.支持对视频清晰度的调整，提供高清、超清、超高清的切换，方便用户在手机、电脑或者大屏上观看；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3.具有便捷的录制工具条，可快速录制，可移动，3s无操作即变为半透明；可实时查看录制进度，进行暂停、 开始、结束操作；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4.录制过程中支持随时开启分享功能，实现即时直播，听课端无需下载软件，扫描二维码即可进入直播课堂并进行互动；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5.开通直播后生成直播海报、直播码，易于分享，多人观看无压力，且支持手机端、PC端观看直播，可实现课堂实时评论；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6.录制视频可自动保存在本地，也可上传至云端教师空间，结束录制即生成回看视频，可快速浏览录制情况。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四、多屏互动软件系统: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1.支持Android 4.0及IOS 6.0以上版本系统。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3.可一键对试卷、课本等实物进行拍摄，将实物照片上传至智能平板中，并可通过移动端实现双向批注功能，同时，可一键打开电脑桌面课件并播放，进行批注等操作。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五、备授课系统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1.支持三种登录方式；账号密码直接登录，书写快捷登录、微信扫码登录；还支持免登录打开本地课件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3.应用模块：教学软件至少包含个人空间、回收站、我的班级、操作指南、个人设置等应用模板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4.老师个人账号无需完成特定任务，即可获取不少于 200G 云端存储空间。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5.PPT导入：具备单独PPT 导入功能，并支持导入进度条提示功能，用户可查看当前导入进度，上传完成后具有中文提示功能；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预置的高质量课件素材，允许老师在网页端、移动端、电脑端进行内容的选择与组合，快速生成课件并浏览并提供教学设计和课件内容，部分课件提供课件批注。所有制作的课件均实时保存至云端，老师只需登录即可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7.课件分享：可将做好的课件打印成纸质版或导出成PDF。支持将做好的课件以链接的形式分享。同时，还支持扫码分享并可预览课件。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模块化的高质量课件素材和教案，学科涵盖语文、数学、英语、科学、物理、化学、生物、地理、历史、道德与法治等学科。课件支持组选：课堂导入，知识讲解，例题与变式，拓展延伸，课外活动等。课件总课时量不低于1000个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精选各省市统考真题、学校考试真题，以及主流教辅书中的习题组成中学数学学科题库，题库总量达到20万题，题库自带答案及解析，题库内的题目支持筛选题型和试题难度，可支持直接插入到课件中。题库内容插入到课件之后，可以对题、答案、解析进行二次编辑，还可以对文本、公式进行二次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12.插入表格，表格支持设置行列数，在表格上可以进行行列的添加、删除、合并和拆分。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13.支持课堂评价支持对全班、单个或多个学生进行评价，评价结果可撤回。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14.老师可通过移动端、PC端及网页端对学生进行行为评价打分，可显示班级得分前列的学生信息，界面、评价项、学生头像均采用卡通化方式，软件支持随机抽选学生进行评价。</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C4AE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548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F64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14F9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5318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视频展台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66EA8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2.外观材质：兼顾教学环境，保护师生安全，采用ABS材质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3.整机采用高清摄像头设计，不小于1300万像素定焦镜头，解析度到达1600TV线，使画面展示更加清晰；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4.变焦：12倍数字变焦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5.拍摄幅面：A4及以上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6.图像色彩：24位及以上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7.输出格式：图片JPG，视频MP4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8.整机具有安全锁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9.光源补偿：LED五级光源补偿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10.整机内置高灵敏麦克风，满足教学录制需求；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1．软件可通过不少于3种方式启动；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2．实时教学内容展示，支持批注、缩放、旋转、保存分享、拍照、连拍等操作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3．软件根据教学语言环境可设置中、英文切换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4．支持展台画面实时批注，预设多种笔划粗细及颜色供选择，且支持对展台画面及批注内容进行同步缩放、移动；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5．同屏对比支持多图联动缩放和单图缩放两种模式，并支持六张图片同屏对比，可在任意区域内批注书写，不局限于显示区域内批注书写，并可对单张图片进行旋转、全屏、缩放、删除等操作；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6．结合白板软件授课界面最少支持5副展示图片插入白板软件进行授课批注；</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1124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71E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D32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23B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735D0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推拉绿板</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7306B2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1.结构：双层结构，内层为两块固定书写板左右各一块，中间预留放置电子产品空间，外层为两块滑动书写板，滑动板配装刻有黑板品牌LOGO标识的挂锁，开闭自如确保一体机的安全管理。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2.尺寸≥4000mm×1305mm，可根据所配电子产品适当调整，确保与电子产品的有效配套。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面：采用金属烤漆书写板面，亚光、墨绿色，厚度≥0.3mm，光泽度≤12光泽单位，没有因黑板本身原因产生的眩光，书写流畅字迹清晰、色彩协调可视效果佳，有效的缓解学生视觉疲劳；板面表面附有一层透明保护膜，符合GB28231-2011《书写板安全卫生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4.衬板：选用高强度、吸音、防潮、阻燃聚苯乙烯板，厚度≥14mm。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5.背板：采用优质镀锌钢板，厚度≥0.2mm，机械化流水线一次成型，设有凹槽加强筋，增加板体强度。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★6.覆板：采用环保型双组份聚氨酯胶水，自动化流水线覆板作业，确保粘接牢固板面平整，甲醛释放量≤0.03mg/L，符合GB 28231-2011《书写板安全卫生要求》，提供检测报告复印件并加盖厂家公章。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7.边框：采用高强度香槟色电泳铝合金型材，性能符合GB 5237.3-2008标准，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★8.包角：采用抗老化高强度ABS工程塑料注塑成型。黑板品牌标识与包角一次模具成型，无尖角毛刺，符合GB 21027-2007《学生用品的安全通用要求》。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9.滑轮：双组高精度轴承上吊轮，下平滑动系统，数目各4组，上下均匀安装，滑动流畅、噪音小、前后定位精确。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10.安全性：一把锁实现对滑动黑板的锁定，钥匙通用，方便实用。</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364C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52B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87D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4DB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4581A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系统集成</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46B364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系统集成服务</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4102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240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6150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302B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AE513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管理电脑</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0366672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 :≥Intel 酷睿 I</w:t>
            </w:r>
            <w:r>
              <w:rPr>
                <w:rFonts w:hint="eastAsia" w:ascii="宋体" w:hAnsi="宋体" w:cs="宋体"/>
                <w:i w:val="0"/>
                <w:iCs w:val="0"/>
                <w:color w:val="000000"/>
                <w:kern w:val="0"/>
                <w:sz w:val="24"/>
                <w:szCs w:val="24"/>
                <w:u w:val="none"/>
                <w:lang w:val="en-US" w:eastAsia="zh-CN" w:bidi="ar"/>
              </w:rPr>
              <w:t xml:space="preserve">7 </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4700F</w:t>
            </w:r>
            <w:r>
              <w:rPr>
                <w:rFonts w:hint="eastAsia" w:ascii="宋体" w:hAnsi="宋体" w:eastAsia="宋体" w:cs="宋体"/>
                <w:i w:val="0"/>
                <w:iCs w:val="0"/>
                <w:color w:val="000000"/>
                <w:kern w:val="0"/>
                <w:sz w:val="24"/>
                <w:szCs w:val="24"/>
                <w:u w:val="none"/>
                <w:lang w:val="en-US" w:eastAsia="zh-CN" w:bidi="ar"/>
              </w:rPr>
              <w:t xml:space="preserve"> 处理器；</w:t>
            </w:r>
          </w:p>
          <w:p w14:paraId="3B3B1DA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内存:≥16G DDR4 内存，提供双内存插槽，最大支持32G；</w:t>
            </w:r>
          </w:p>
          <w:p w14:paraId="56330A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硬盘:≥1TB SSD；</w:t>
            </w:r>
          </w:p>
          <w:p w14:paraId="707C7EF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显卡:≥RTX4060，显存≥8G；</w:t>
            </w:r>
          </w:p>
          <w:p w14:paraId="37489B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声卡:集成声卡；</w:t>
            </w:r>
          </w:p>
          <w:p w14:paraId="36800E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键盘及鼠标:防水键盘和光电鼠标；</w:t>
            </w:r>
          </w:p>
          <w:p w14:paraId="6079164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显示器:≥</w:t>
            </w:r>
            <w:r>
              <w:rPr>
                <w:rFonts w:hint="eastAsia" w:ascii="宋体" w:hAnsi="宋体" w:cs="宋体"/>
                <w:i w:val="0"/>
                <w:iCs w:val="0"/>
                <w:color w:val="000000"/>
                <w:kern w:val="0"/>
                <w:sz w:val="24"/>
                <w:szCs w:val="24"/>
                <w:u w:val="none"/>
                <w:lang w:val="en-US" w:eastAsia="zh-CN" w:bidi="ar"/>
              </w:rPr>
              <w:t>27</w:t>
            </w:r>
            <w:r>
              <w:rPr>
                <w:rFonts w:hint="eastAsia" w:ascii="宋体" w:hAnsi="宋体" w:eastAsia="宋体" w:cs="宋体"/>
                <w:i w:val="0"/>
                <w:iCs w:val="0"/>
                <w:color w:val="000000"/>
                <w:kern w:val="0"/>
                <w:sz w:val="24"/>
                <w:szCs w:val="24"/>
                <w:u w:val="none"/>
                <w:lang w:val="en-US" w:eastAsia="zh-CN" w:bidi="ar"/>
              </w:rPr>
              <w:t>英寸，≥2K；</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23E79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135A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24CC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5BC8E2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E3346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喷墨彩色打印机</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20BEDFF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须支持无线/有线网络打印</w:t>
            </w:r>
          </w:p>
          <w:p w14:paraId="1AC9F23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须支持双面打印</w:t>
            </w:r>
          </w:p>
          <w:p w14:paraId="54A1E73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最大处理幅面A4</w:t>
            </w:r>
          </w:p>
          <w:p w14:paraId="3A63D12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须支持打印/复印/扫描</w:t>
            </w:r>
          </w:p>
          <w:p w14:paraId="2C45B52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进纸盒容量≥250张</w:t>
            </w:r>
          </w:p>
          <w:p w14:paraId="51A7D0F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出纸盒容量≥30张</w:t>
            </w:r>
          </w:p>
          <w:p w14:paraId="43FE7E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接口类型：USB、以太网、WIFI端口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F8F8B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9642B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bl>
    <w:p w14:paraId="479607A0">
      <w:pPr>
        <w:numPr>
          <w:ilvl w:val="0"/>
          <w:numId w:val="0"/>
        </w:numPr>
        <w:rPr>
          <w:rFonts w:hint="default"/>
          <w:sz w:val="28"/>
          <w:szCs w:val="28"/>
          <w:lang w:val="en-US" w:eastAsia="zh-CN"/>
        </w:rPr>
      </w:pPr>
      <w:r>
        <w:rPr>
          <w:rFonts w:hint="eastAsia"/>
          <w:sz w:val="28"/>
          <w:szCs w:val="28"/>
          <w:lang w:val="en-US" w:eastAsia="zh-CN"/>
        </w:rPr>
        <w:t>3、98寸教学智慧黑板（2套）</w:t>
      </w:r>
    </w:p>
    <w:tbl>
      <w:tblPr>
        <w:tblStyle w:val="15"/>
        <w:tblW w:w="9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782"/>
        <w:gridCol w:w="6836"/>
        <w:gridCol w:w="718"/>
        <w:gridCol w:w="654"/>
      </w:tblGrid>
      <w:tr w14:paraId="480A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42AC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11379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货物名称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2AB0B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技术参数及性能（配置）要求</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70FE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CCD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12AF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212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709E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08AC69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i w:val="0"/>
                <w:iCs w:val="0"/>
                <w:color w:val="000000"/>
                <w:kern w:val="0"/>
                <w:sz w:val="24"/>
                <w:szCs w:val="24"/>
                <w:u w:val="none"/>
                <w:lang w:val="en-US" w:eastAsia="zh-CN" w:bidi="ar"/>
              </w:rPr>
              <w:t>显示及触控参数要求：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1.屏幕采用≥98英寸UHD 超高清液晶屏，显示比例16:9，具备防眩光效果，可视角度≥178°。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2.★智能交互黑板屏幕色彩覆盖率不低于120%，最高灰阶256灰阶。（提供相关检测报告复印件并加盖公章）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3.物理分辨率：≥3840×2160可无损播放4K片源。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4.★智能交互黑板表面玻璃采用高强度钢化玻璃，硬度可达莫氏7级，屏体表面强度≥100Mpa。（提供相关检测报告复印件并加盖公章）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5.整机在Windows与Android系统下均支持不少于20点同时触控及书写，触控书写延迟＜20ms。（提供相关检测报告复印件并加盖公章）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6.屏幕采用全贴合技术，减少显示面板与玻璃间的偏光、散射，画面显示更加清晰通透，视差更小。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二、嵌入式系统参数要求：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1.★内置嵌入式安卓系统版本不低于11.0，内存≥2GB，存储空间≥8GB。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2.整机在任意通道下通过手势识别调出板擦工具擦除批注内容。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3.为方便老师使用，触摸中控菜单上的通道信号源支持自定义。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5.在同一局域网环境下，支持通过移动端扫描二维码的方式实现整机文件共享及板书内容共享。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6.智能交互黑板双侧快捷键支持自定义功能，并可根据用户的实际使用需求设置快捷键的数量，可单侧显示或双侧同时显示。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7.★为满足教学场景使用需求，支持不少于2种方式进行屏幕下移，屏幕下移后仍可进行触控、书写等操作 。(提供相关检测报告并加盖厂家公章)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8.为方便教师使用，在双系统下提供悬浮菜单，可按教师需求，自定义设置常用功能，也可隐藏。(提供相关检测报告并加盖厂家公章)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三、整机要求：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1.★为方便教师使用，常用按键均为前置设计，且具备电脑还原物理按键，不需专业人员即可轻松解决电脑系统故障。（提供相关检测报告复印件并加盖公章）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2.★为满足课堂视听需求，智能交互黑板采用多声道组合音响，前置双扬声器功率高于30W，且为保证高人声还原度，谐振频率低于300Hz。（提供相关检测报告复印件并加盖公章）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3.为保证教室声学环境的扩声效果，距离平板扬声器10米处声压级达到80dB。（提供相关检测报告复印件并加盖公章）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4.智能交互黑板具有物理防蓝光功能，不接受通过菜单或按键设置方式进行防蓝光模式与非防蓝模式的切换。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5.★为方便用户售后维修，前置接口面板和前置按键面板具备前拆式结构。（提供相关检测报告复印件并加盖公章）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6.设备支持录屏及简易录播功能，可将屏幕中显示的课件、音频内容与老师人声同时录制。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7.通过多指抓取屏幕任意位置可调出多任务处理窗口，并对正在运行的应用进行浏览、快速切换或结束进程。（提供相关检测报告复印件并加盖公章）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8.★为充分满足用户实际使用需求，前置面板需具有以下输入接口：不少于1路标准HDMI接口、2路双通道USB3.0接口及1路全功能USB Type-C接口。（提供相关检测报告复印件并加盖公章）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9.为充分满足用户实际拓展使用需求，整机后置接口：≥1路HDMI输入接口、≥1路音频输入接口、≥1路音频输出接口、≥1路USB Type-B触控接口、≥1路VGA等。（提供相关检测报告复印件并加盖公章）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10.★为便于用户操作智能交互黑板，前置至少具备8个前置物理按键，至少4个可实现两种功能，可实现关闭窗口、截屏、音量+、音量- 、录屏等功能。（提供相关检测报告复印件并加盖公章）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12.通电关机状态下智能交互黑板与外接电脑、机顶盒等设备通过HDMI/VGA连接时，识别到外接设备的输入信号后自动开机。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13.智能交互黑板与外接电脑设备连接时，支持以一根USB线直接读取插在智能交互黑板上的U盘，并识别连接至智能交互黑板的翻页笔、无线键鼠等USB设备。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15.内嵌企业级路由器专业数通处理器 Mips 1GHz，可支持有线和无线的双模接入，可供不少于 60个用户同时连接使用。（提供相关检测报告复印件并加盖公章）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16.智能交互黑板须整机符合GB21520-2015的能源效率等级1级要求，整机功耗低于600W。（提供相关检测报告复印件并加盖公章）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智能交互黑板采用平面结构设计，采用三段式结构方式，两侧黑板采用金属面板，表面应以耐磨无光泽的材料制成，反射比应在0.15-0.20之间，支持磁性材质教具吸附功能，整体尺寸不低于4500*1100整块黑板可支持普通粉笔、无尘粉笔、水性笔等多种类型笔书写，双侧黑板板面无任何按键。（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四、内置电脑参数要求：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1.★采用插拔式模块化电脑，采用OPS-C 标准的80pin针口设计，屏体与插拔式电脑无单独连接线。（提供相关检测报告复印件并加盖公章）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内置电脑CPU不低于Intel i5十一代；内存：≥</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G DDR4;硬盘：≥</w:t>
            </w:r>
            <w:r>
              <w:rPr>
                <w:rFonts w:hint="eastAsia" w:ascii="宋体" w:hAnsi="宋体" w:cs="宋体"/>
                <w:i w:val="0"/>
                <w:iCs w:val="0"/>
                <w:color w:val="000000"/>
                <w:kern w:val="0"/>
                <w:sz w:val="24"/>
                <w:szCs w:val="24"/>
                <w:u w:val="none"/>
                <w:lang w:val="en-US" w:eastAsia="zh-CN" w:bidi="ar"/>
              </w:rPr>
              <w:t>256</w:t>
            </w:r>
            <w:r>
              <w:rPr>
                <w:rFonts w:hint="eastAsia" w:ascii="宋体" w:hAnsi="宋体" w:eastAsia="宋体" w:cs="宋体"/>
                <w:i w:val="0"/>
                <w:iCs w:val="0"/>
                <w:color w:val="000000"/>
                <w:kern w:val="0"/>
                <w:sz w:val="24"/>
                <w:szCs w:val="24"/>
                <w:u w:val="none"/>
                <w:lang w:val="en-US" w:eastAsia="zh-CN" w:bidi="ar"/>
              </w:rPr>
              <w:t>G固态硬盘。具备不少于5个USB接口。</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BC9F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B8A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A6E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D87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BE07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多媒体教学软件</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2DF655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一、白板软件要求：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1.提供互动教学应用软件统一入口：可整合互动应用软件，集中管理，方便老师在各软件之间的切换和使用；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2.支持免登录直接使用本地教学工具，支持账号、U盘和扫码登录；老师的每个个人账号提供不少于50G云平台存储空间，无需用户通过完成特定任务才能获取，方便老师存储资料；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3.软件提供不少于8种与学科相关的页面背景如田字格、米字格、拼音本、英语本、笔记本、小楷本、五线谱、生字本等；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4.提供音、视频编辑功能；视频文件可一键全屏播放，支持动态截图，截取图片可自动生成图片索引栏，图片索引栏可跨页面显示；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5.路径特效设置：可对页面对象设置直线路径与自定义路径动作；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6.图片设置：支持裁剪，滤镜设置，提供不少于3种滤镜效果，如怀旧、底片、黑白，支持图片效果设置，如圆形对角、椭圆框架、矩形阴影等，支持图片透明度设置，可直接进行图片替换；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科工具：至少提供12门以上学科工具，包含语文、数学、英语、物理、化学、生物、地理、历史、音乐、体育、书法等；针对以上学科，学科工具里不能为静态图片，其中交互式操作的动画支持一键全；屏显示，批注标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9.书写工具:为方便教师授课板书，提供粉笔、硬笔、笔、纹理笔、图章笔、激光笔等不少于10种书写工具；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具箱：提供不少于12个教学辅助工具，例如数学作图工具(直尺、圆规、三角板等)、聚光灯、放大镜、屏幕截图、展台、草稿纸等，其中聚光灯支持方、圆切换，舞台明暗效果调整、自定义区域，放大镜支持方、圆切换，倍率调整、自定义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11.PPT课件批注功能：PPT全屏播放时可自动开启工具菜单，支持工具菜单收起与打开，提供PPT课件的播放控制(如前后翻页)、聚光灯、放大镜和书写批注等功能,支持生成二维码，快速分享课件；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12.PPT导入及插入：PPT导入可保留原文档中的音频、视频、图片、文字及动画，并可根据需要编辑、修改,最终生成白板格式的课件；支持以原生态的形式插入一个或多个PPT文档，并可在白板软件当中直接打开;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13.当教师异常操作时，软件窗口可给予震动提醒；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14.支持一键为白板软件中任意中、英文文本添加标准人声朗读音频，无需手动上传音频文件；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15.可同时打开多个白板格式的互动课件，支持课件页面和元素的复制、粘贴，便于课件编辑和演示；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17.提供不少于200个在线软、硬件视频教程，供用户熟悉软硬件产品使用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18.提供不少于1000G、50万条的幼教、普教、职教资源。可按学科、年级、版本、章节、栏目进行查询、下载，并可按班级、学生进行优质资源推送；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二、课件演示助手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1.可适用于WPS与PPT，打开课件自动启动，无需手动打开。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2.为满足教师使用习惯，可支持双侧工具栏位置自定义。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三、录课助手系统：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1.支持屏幕、屏幕+摄像头等多种形式的录制，也可结合录播系统进行全景录制；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2.支持对视频清晰度的调整，提供高清、超清、超高清的切换，方便用户在手机、电脑或者大屏上观看；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3.具有便捷的录制工具条，可快速录制，可移动，3s无操作即变为半透明；可实时查看录制进度，进行暂停、 开始、结束操作；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4.录制过程中支持随时开启分享功能，实现即时直播，听课端无需下载软件，扫描二维码即可进入直播课堂并进行互动；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5.开通直播后生成直播海报、直播码，易于分享，多人观看无压力，且支持手机端、PC端观看直播，可实现课堂实时评论；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6.录制视频可自动保存在本地，也可上传至云端教师空间，结束录制即生成回看视频，可快速浏览录制情况。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四、多屏互动软件系统: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1.支持Android 4.0及IOS 6.0以上版本系统。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3.可一键对试卷、课本等实物进行拍摄，将实物照片上传至智能平板中，并可通过移动端实现双向批注功能，同时，可一键打开电脑桌面课件并播放，进行批注等操作。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 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五、备授课系统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1.支持三种登录方式；账号密码直接登录，书写快捷登录、微信扫码登录；还支持免登录打开本地课件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3.应用模块：教学软件至少包含个人空间、回收站、我的班级、操作指南、个人设置等应用模板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4.老师个人账号无需完成特定任务，即可获取不少于 200G 云端存储空间。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5.PPT导入：具备单独PPT 导入功能，并支持导入进度条提示功能，用户可查看当前导入进度，上传完成后具有中文提示功能；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预置的高质量课件素材，允许老师在网页端、移动端、电脑端进行内容的选择与组合，快速生成课件并浏览并提供教学设计和课件内容，部分课件提供课件批注。所有制作的课件均实时保存至云端，老师只需登录即可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7.课件分享：可将做好的课件打印成纸质版或导出成PDF。支持将做好的课件以链接的形式分享。同时，还支持扫码分享并可预览课件。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模块化的高质量课件素材和教案，学科涵盖语文、数学、英语、科学、物理、化学、生物、地理、历史、道德与法治等学科。课件支持组选：课堂导入，知识讲解，例题与变式，拓展延伸，课外活动等。课件总课时量不低于1000个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精选各省市统考真题、学校考试真题，以及主流教辅书中的习题组成中学数学学科题库，题库总量达到20万题，题库自带答案及解析，题库内的题目支持筛选题型和试题难度，可支持直接插入到课件中。题库内容插入到课件之后，可以对题、答案、解析进行二次编辑，还可以对文本、公式进行二次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12.插入表格，表格支持设置行列数，在表格上可以进行行列的添加、删除、合并和拆分。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13.支持课堂评价支持对全班、单个或多个学生进行评价，评价结果可撤回。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14.老师可通过移动端、PC端及网页端对学生进行行为评价打分，可显示班级得分前列的学生信息，界面、评价项、学生头像均采用卡通化方式，软件支持随机抽选学生进行评价。</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8C4E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CC3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4C1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29EB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A02F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视频展台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754D0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2.外观材质：兼顾教学环境，保护师生安全，采用ABS材质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3.整机采用高清摄像头设计，不小于1300万像素定焦镜头，解析度到达1600TV线，使画面展示更加清晰；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4.变焦：12倍数字变焦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5.拍摄幅面：A4及以上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6.图像色彩：24位及以上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7.输出格式：图片JPG，视频MP4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8.整机具有安全锁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9.光源补偿：LED五级光源补偿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10.整机内置高灵敏麦克风，满足教学录制需求；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1．软件可通过不少于3种方式启动；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2．实时教学内容展示，支持批注、缩放、旋转、保存分享、拍照、连拍等操作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3．软件根据教学语言环境可设置中、英文切换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4．支持展台画面实时批注，预设多种笔划粗细及颜色供选择，且支持对展台画面及批注内容进行同步缩放、移动；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5．同屏对比支持多图联动缩放和单图缩放两种模式，并支持六张图片同屏对比，可在任意区域内批注书写，不局限于显示区域内批注书写，并可对单张图片进行旋转、全屏、缩放、删除等操作；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6．结合白板软件授课界面最少支持5副展示图片插入白板软件进行授课批注；</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FB37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EBE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07B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A5A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5240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14:paraId="575EA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系统集成服务</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0A85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1EF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1EEB888F">
      <w:pPr>
        <w:numPr>
          <w:ilvl w:val="0"/>
          <w:numId w:val="0"/>
        </w:numPr>
        <w:rPr>
          <w:rFonts w:hint="default"/>
          <w:lang w:val="en-US" w:eastAsia="zh-CN"/>
        </w:rPr>
      </w:pPr>
    </w:p>
    <w:p w14:paraId="18D5FC96">
      <w:pPr>
        <w:rPr>
          <w:rFonts w:hint="default"/>
          <w:lang w:val="en-US" w:eastAsia="zh-CN"/>
        </w:rPr>
      </w:pPr>
      <w:r>
        <w:rPr>
          <w:rFonts w:hint="default"/>
          <w:lang w:val="en-US" w:eastAsia="zh-CN"/>
        </w:rPr>
        <w:br w:type="page"/>
      </w:r>
    </w:p>
    <w:p w14:paraId="1F3BD720">
      <w:pPr>
        <w:spacing w:line="360" w:lineRule="auto"/>
        <w:ind w:firstLine="480" w:firstLineChars="200"/>
        <w:rPr>
          <w:rFonts w:ascii="宋体" w:hAnsi="宋体" w:cs="Calibri"/>
          <w:bCs/>
          <w:color w:val="000000"/>
          <w:sz w:val="24"/>
        </w:rPr>
      </w:pPr>
      <w:r>
        <w:rPr>
          <w:rFonts w:hint="eastAsia" w:ascii="宋体" w:hAnsi="宋体" w:cs="Calibri"/>
          <w:bCs/>
          <w:color w:val="000000"/>
          <w:sz w:val="24"/>
        </w:rPr>
        <w:t>备注：磋商文件中对以上产品的要求，非唯一指定要求，如有与某产品的指标或参数描述相同，并非特指，仅为产品质量、档次、水平的参照，未注明的规格应符合国家有关行业标准；</w:t>
      </w:r>
    </w:p>
    <w:p w14:paraId="2B5807FF">
      <w:pPr>
        <w:numPr>
          <w:ilvl w:val="0"/>
          <w:numId w:val="0"/>
        </w:numPr>
        <w:rPr>
          <w:rFonts w:hint="default"/>
          <w:b/>
          <w:bCs/>
          <w:sz w:val="32"/>
          <w:szCs w:val="32"/>
          <w:lang w:val="en-US" w:eastAsia="zh-CN"/>
        </w:rPr>
      </w:pPr>
      <w:r>
        <w:rPr>
          <w:rFonts w:hint="eastAsia"/>
          <w:b/>
          <w:bCs/>
          <w:sz w:val="32"/>
          <w:szCs w:val="32"/>
          <w:lang w:val="en-US" w:eastAsia="zh-CN"/>
        </w:rPr>
        <w:t>二、安装及要求</w:t>
      </w:r>
    </w:p>
    <w:p w14:paraId="4D0A9714">
      <w:pPr>
        <w:numPr>
          <w:ilvl w:val="0"/>
          <w:numId w:val="0"/>
        </w:numPr>
        <w:rPr>
          <w:rFonts w:hint="eastAsia"/>
          <w:b w:val="0"/>
          <w:bCs w:val="0"/>
          <w:sz w:val="28"/>
          <w:szCs w:val="28"/>
          <w:lang w:val="en-US" w:eastAsia="zh-CN"/>
        </w:rPr>
      </w:pPr>
      <w:r>
        <w:rPr>
          <w:rFonts w:hint="eastAsia" w:asciiTheme="minorHAnsi" w:hAnsiTheme="minorHAnsi" w:eastAsiaTheme="minorEastAsia" w:cstheme="minorBidi"/>
          <w:b w:val="0"/>
          <w:bCs w:val="0"/>
          <w:kern w:val="2"/>
          <w:sz w:val="28"/>
          <w:szCs w:val="28"/>
          <w:lang w:val="en-US" w:eastAsia="zh-CN" w:bidi="ar-SA"/>
        </w:rPr>
        <w:t>1</w:t>
      </w:r>
      <w:r>
        <w:rPr>
          <w:rFonts w:hint="eastAsia" w:cstheme="minorBidi"/>
          <w:b w:val="0"/>
          <w:bCs w:val="0"/>
          <w:kern w:val="2"/>
          <w:sz w:val="28"/>
          <w:szCs w:val="28"/>
          <w:lang w:val="en-US" w:eastAsia="zh-CN" w:bidi="ar-SA"/>
        </w:rPr>
        <w:t>、</w:t>
      </w:r>
      <w:r>
        <w:rPr>
          <w:rFonts w:hint="eastAsia"/>
          <w:b w:val="0"/>
          <w:bCs w:val="0"/>
          <w:sz w:val="28"/>
          <w:szCs w:val="28"/>
          <w:lang w:val="en-US" w:eastAsia="zh-CN"/>
        </w:rPr>
        <w:t>此次设施均为教学使用，必须按照学校要求完好安装到相应位置。</w:t>
      </w:r>
    </w:p>
    <w:p w14:paraId="1B263D3B">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2</w:t>
      </w:r>
      <w:r>
        <w:rPr>
          <w:rFonts w:hint="eastAsia" w:cstheme="minorBidi"/>
          <w:b w:val="0"/>
          <w:bCs w:val="0"/>
          <w:kern w:val="2"/>
          <w:sz w:val="28"/>
          <w:szCs w:val="28"/>
          <w:lang w:val="en-US" w:eastAsia="zh-CN" w:bidi="ar-SA"/>
        </w:rPr>
        <w:t>、</w:t>
      </w:r>
      <w:r>
        <w:rPr>
          <w:rFonts w:hint="eastAsia"/>
          <w:b w:val="0"/>
          <w:bCs w:val="0"/>
          <w:sz w:val="28"/>
          <w:szCs w:val="28"/>
          <w:lang w:val="en-US" w:eastAsia="zh-CN"/>
        </w:rPr>
        <w:t>安装配件及安装线路应符合国家国际标准，安全施工。</w:t>
      </w:r>
    </w:p>
    <w:p w14:paraId="303FFAA6">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3</w:t>
      </w:r>
      <w:r>
        <w:rPr>
          <w:rFonts w:hint="eastAsia" w:cstheme="minorBidi"/>
          <w:b w:val="0"/>
          <w:bCs w:val="0"/>
          <w:kern w:val="2"/>
          <w:sz w:val="28"/>
          <w:szCs w:val="28"/>
          <w:lang w:val="en-US" w:eastAsia="zh-CN" w:bidi="ar-SA"/>
        </w:rPr>
        <w:t>、</w:t>
      </w:r>
      <w:r>
        <w:rPr>
          <w:rFonts w:hint="eastAsia"/>
          <w:b w:val="0"/>
          <w:bCs w:val="0"/>
          <w:sz w:val="28"/>
          <w:szCs w:val="28"/>
          <w:lang w:val="en-US" w:eastAsia="zh-CN"/>
        </w:rPr>
        <w:t>此次投标设备包含安装、培训及其应加装插座、网络等所有配件。</w:t>
      </w:r>
    </w:p>
    <w:p w14:paraId="4E3DF170">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4</w:t>
      </w:r>
      <w:r>
        <w:rPr>
          <w:rFonts w:hint="eastAsia" w:cstheme="minorBidi"/>
          <w:b w:val="0"/>
          <w:bCs w:val="0"/>
          <w:kern w:val="2"/>
          <w:sz w:val="28"/>
          <w:szCs w:val="28"/>
          <w:lang w:val="en-US" w:eastAsia="zh-CN" w:bidi="ar-SA"/>
        </w:rPr>
        <w:t>、</w:t>
      </w:r>
      <w:r>
        <w:rPr>
          <w:rFonts w:hint="eastAsia"/>
          <w:b w:val="0"/>
          <w:bCs w:val="0"/>
          <w:sz w:val="28"/>
          <w:szCs w:val="28"/>
          <w:lang w:val="en-US" w:eastAsia="zh-CN"/>
        </w:rPr>
        <w:t>部分设施安装还包含拆卸、移装旧设施。</w:t>
      </w:r>
    </w:p>
    <w:p w14:paraId="05F94A4C">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5</w:t>
      </w:r>
      <w:r>
        <w:rPr>
          <w:rFonts w:hint="eastAsia" w:cstheme="minorBidi"/>
          <w:b w:val="0"/>
          <w:bCs w:val="0"/>
          <w:kern w:val="2"/>
          <w:sz w:val="28"/>
          <w:szCs w:val="28"/>
          <w:lang w:val="en-US" w:eastAsia="zh-CN" w:bidi="ar-SA"/>
        </w:rPr>
        <w:t>、</w:t>
      </w:r>
      <w:r>
        <w:rPr>
          <w:rFonts w:hint="eastAsia"/>
          <w:b w:val="0"/>
          <w:bCs w:val="0"/>
          <w:sz w:val="28"/>
          <w:szCs w:val="28"/>
          <w:lang w:val="en-US" w:eastAsia="zh-CN"/>
        </w:rPr>
        <w:t>安装、移装设施必须保证设施安全、无损坏，安装结束后应调试设置到位。</w:t>
      </w:r>
    </w:p>
    <w:p w14:paraId="647C5F39">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6</w:t>
      </w:r>
      <w:r>
        <w:rPr>
          <w:rFonts w:hint="eastAsia" w:cstheme="minorBidi"/>
          <w:b w:val="0"/>
          <w:bCs w:val="0"/>
          <w:kern w:val="2"/>
          <w:sz w:val="28"/>
          <w:szCs w:val="28"/>
          <w:lang w:val="en-US" w:eastAsia="zh-CN" w:bidi="ar-SA"/>
        </w:rPr>
        <w:t>、</w:t>
      </w:r>
      <w:r>
        <w:rPr>
          <w:rFonts w:hint="eastAsia"/>
          <w:b w:val="0"/>
          <w:bCs w:val="0"/>
          <w:sz w:val="28"/>
          <w:szCs w:val="28"/>
          <w:lang w:val="en-US" w:eastAsia="zh-CN"/>
        </w:rPr>
        <w:t>未尽事宜应由学校决定或协商解决。</w:t>
      </w:r>
    </w:p>
    <w:p w14:paraId="62B24D6A">
      <w:pPr>
        <w:pStyle w:val="12"/>
      </w:pPr>
    </w:p>
    <w:p w14:paraId="49A12791">
      <w:pPr>
        <w:pStyle w:val="12"/>
      </w:pPr>
    </w:p>
    <w:p w14:paraId="372B7875">
      <w:pPr>
        <w:pStyle w:val="12"/>
      </w:pPr>
    </w:p>
    <w:p w14:paraId="3DC7AA05">
      <w:pPr>
        <w:pStyle w:val="12"/>
      </w:pPr>
    </w:p>
    <w:p w14:paraId="48FF061D">
      <w:pPr>
        <w:pStyle w:val="12"/>
      </w:pPr>
    </w:p>
    <w:p w14:paraId="6DF76AC2">
      <w:pPr>
        <w:pStyle w:val="12"/>
      </w:pPr>
    </w:p>
    <w:p w14:paraId="24D60323">
      <w:pPr>
        <w:pStyle w:val="12"/>
      </w:pPr>
    </w:p>
    <w:p w14:paraId="573D5100">
      <w:pPr>
        <w:pStyle w:val="12"/>
      </w:pPr>
    </w:p>
    <w:p w14:paraId="21FCF961">
      <w:pPr>
        <w:pStyle w:val="12"/>
      </w:pPr>
    </w:p>
    <w:p w14:paraId="3E95B242">
      <w:pPr>
        <w:pStyle w:val="12"/>
      </w:pPr>
    </w:p>
    <w:p w14:paraId="1B1BEE10">
      <w:pPr>
        <w:pStyle w:val="12"/>
      </w:pPr>
    </w:p>
    <w:p w14:paraId="3432E5E2">
      <w:pPr>
        <w:spacing w:line="360" w:lineRule="auto"/>
        <w:jc w:val="center"/>
        <w:outlineLvl w:val="0"/>
        <w:rPr>
          <w:rFonts w:ascii="宋体" w:hAnsi="宋体"/>
          <w:b/>
          <w:color w:val="000000"/>
          <w:sz w:val="36"/>
          <w:szCs w:val="36"/>
        </w:rPr>
      </w:pPr>
      <w:bookmarkStart w:id="60" w:name="_Toc17150"/>
      <w:r>
        <w:rPr>
          <w:rFonts w:hint="eastAsia" w:ascii="宋体" w:hAnsi="宋体" w:eastAsia="宋体" w:cs="宋体"/>
          <w:b/>
          <w:color w:val="000000"/>
          <w:sz w:val="36"/>
          <w:szCs w:val="36"/>
        </w:rPr>
        <w:t xml:space="preserve">第四章 </w:t>
      </w:r>
      <w:bookmarkEnd w:id="55"/>
      <w:bookmarkEnd w:id="56"/>
      <w:bookmarkEnd w:id="57"/>
      <w:bookmarkEnd w:id="58"/>
      <w:bookmarkEnd w:id="59"/>
      <w:r>
        <w:rPr>
          <w:rFonts w:hint="eastAsia" w:ascii="宋体" w:hAnsi="宋体"/>
          <w:b/>
          <w:color w:val="000000"/>
          <w:sz w:val="36"/>
          <w:szCs w:val="36"/>
        </w:rPr>
        <w:t>评标办法（综合评估法）</w:t>
      </w:r>
      <w:bookmarkEnd w:id="60"/>
    </w:p>
    <w:p w14:paraId="6661440C">
      <w:pPr>
        <w:rPr>
          <w:rFonts w:ascii="宋体" w:hAnsi="宋体"/>
          <w:b/>
          <w:color w:val="000000"/>
          <w:sz w:val="24"/>
        </w:rPr>
      </w:pPr>
      <w:r>
        <w:rPr>
          <w:rFonts w:hint="eastAsia" w:ascii="宋体" w:hAnsi="宋体"/>
          <w:b/>
          <w:color w:val="000000"/>
          <w:sz w:val="24"/>
        </w:rPr>
        <w:t>评标办法前附表</w:t>
      </w:r>
    </w:p>
    <w:tbl>
      <w:tblPr>
        <w:tblStyle w:val="15"/>
        <w:tblW w:w="8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6"/>
        <w:gridCol w:w="1701"/>
        <w:gridCol w:w="4677"/>
      </w:tblGrid>
      <w:tr w14:paraId="2E9B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3" w:type="dxa"/>
            <w:gridSpan w:val="2"/>
            <w:noWrap w:val="0"/>
            <w:vAlign w:val="center"/>
          </w:tcPr>
          <w:p w14:paraId="22F30609">
            <w:pPr>
              <w:spacing w:line="360" w:lineRule="auto"/>
              <w:jc w:val="center"/>
              <w:rPr>
                <w:rFonts w:ascii="宋体" w:hAnsi="宋体" w:cs="宋体"/>
                <w:snapToGrid w:val="0"/>
                <w:color w:val="000000"/>
                <w:sz w:val="24"/>
              </w:rPr>
            </w:pPr>
            <w:r>
              <w:rPr>
                <w:rFonts w:hint="eastAsia" w:ascii="宋体" w:hAnsi="宋体" w:cs="宋体"/>
                <w:b/>
                <w:color w:val="000000"/>
                <w:kern w:val="0"/>
                <w:sz w:val="24"/>
              </w:rPr>
              <w:t>条款号</w:t>
            </w:r>
          </w:p>
        </w:tc>
        <w:tc>
          <w:tcPr>
            <w:tcW w:w="1701" w:type="dxa"/>
            <w:noWrap w:val="0"/>
            <w:vAlign w:val="center"/>
          </w:tcPr>
          <w:p w14:paraId="4C63872A">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评审因素</w:t>
            </w:r>
          </w:p>
        </w:tc>
        <w:tc>
          <w:tcPr>
            <w:tcW w:w="4677" w:type="dxa"/>
            <w:noWrap w:val="0"/>
            <w:vAlign w:val="center"/>
          </w:tcPr>
          <w:p w14:paraId="7732D495">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评审标准</w:t>
            </w:r>
          </w:p>
        </w:tc>
      </w:tr>
      <w:tr w14:paraId="243D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restart"/>
            <w:noWrap w:val="0"/>
            <w:vAlign w:val="center"/>
          </w:tcPr>
          <w:p w14:paraId="730CF6A0">
            <w:pPr>
              <w:spacing w:line="360" w:lineRule="auto"/>
              <w:rPr>
                <w:rFonts w:ascii="宋体" w:hAnsi="宋体" w:cs="宋体"/>
                <w:snapToGrid w:val="0"/>
                <w:color w:val="000000"/>
                <w:sz w:val="24"/>
              </w:rPr>
            </w:pPr>
            <w:r>
              <w:rPr>
                <w:rFonts w:hint="eastAsia" w:ascii="宋体" w:hAnsi="宋体" w:cs="宋体"/>
                <w:color w:val="000000"/>
                <w:kern w:val="0"/>
                <w:sz w:val="24"/>
              </w:rPr>
              <w:t>2.1.1</w:t>
            </w:r>
          </w:p>
        </w:tc>
        <w:tc>
          <w:tcPr>
            <w:tcW w:w="1276" w:type="dxa"/>
            <w:vMerge w:val="restart"/>
            <w:noWrap w:val="0"/>
            <w:vAlign w:val="center"/>
          </w:tcPr>
          <w:p w14:paraId="412DF159">
            <w:pPr>
              <w:spacing w:line="360" w:lineRule="auto"/>
              <w:jc w:val="center"/>
              <w:rPr>
                <w:rFonts w:ascii="宋体" w:hAnsi="宋体"/>
                <w:color w:val="000000"/>
                <w:sz w:val="24"/>
              </w:rPr>
            </w:pPr>
            <w:r>
              <w:rPr>
                <w:rFonts w:hint="eastAsia" w:ascii="宋体" w:hAnsi="宋体"/>
                <w:color w:val="000000"/>
                <w:sz w:val="24"/>
                <w:lang w:eastAsia="zh-CN"/>
              </w:rPr>
              <w:t>符合性</w:t>
            </w:r>
            <w:r>
              <w:rPr>
                <w:rFonts w:hint="eastAsia" w:ascii="宋体" w:hAnsi="宋体"/>
                <w:color w:val="000000"/>
                <w:sz w:val="24"/>
              </w:rPr>
              <w:t>评审标准</w:t>
            </w:r>
          </w:p>
        </w:tc>
        <w:tc>
          <w:tcPr>
            <w:tcW w:w="1701" w:type="dxa"/>
            <w:noWrap w:val="0"/>
            <w:vAlign w:val="center"/>
          </w:tcPr>
          <w:p w14:paraId="52FB21CF">
            <w:pPr>
              <w:spacing w:line="360" w:lineRule="auto"/>
              <w:jc w:val="center"/>
              <w:rPr>
                <w:rFonts w:ascii="宋体" w:hAnsi="宋体"/>
                <w:color w:val="000000"/>
                <w:sz w:val="24"/>
              </w:rPr>
            </w:pPr>
            <w:r>
              <w:rPr>
                <w:rFonts w:hint="eastAsia" w:ascii="宋体" w:hAnsi="宋体"/>
                <w:color w:val="000000"/>
                <w:sz w:val="24"/>
              </w:rPr>
              <w:t>投标人名称</w:t>
            </w:r>
          </w:p>
        </w:tc>
        <w:tc>
          <w:tcPr>
            <w:tcW w:w="4677" w:type="dxa"/>
            <w:noWrap w:val="0"/>
            <w:vAlign w:val="center"/>
          </w:tcPr>
          <w:p w14:paraId="38D56894">
            <w:pPr>
              <w:spacing w:line="360" w:lineRule="auto"/>
              <w:rPr>
                <w:rFonts w:hint="eastAsia" w:ascii="宋体" w:hAnsi="宋体" w:eastAsia="宋体"/>
                <w:color w:val="000000"/>
                <w:sz w:val="24"/>
                <w:lang w:eastAsia="zh-CN"/>
              </w:rPr>
            </w:pPr>
            <w:r>
              <w:rPr>
                <w:rFonts w:hint="eastAsia" w:ascii="宋体" w:hAnsi="宋体"/>
                <w:color w:val="000000"/>
                <w:sz w:val="24"/>
              </w:rPr>
              <w:t>与营业执照</w:t>
            </w:r>
            <w:r>
              <w:rPr>
                <w:rFonts w:hint="eastAsia" w:ascii="宋体" w:hAnsi="宋体"/>
                <w:color w:val="000000"/>
                <w:sz w:val="24"/>
                <w:lang w:eastAsia="zh-CN"/>
              </w:rPr>
              <w:t>一致</w:t>
            </w:r>
          </w:p>
        </w:tc>
      </w:tr>
      <w:tr w14:paraId="571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0BCDE928">
            <w:pPr>
              <w:spacing w:line="360" w:lineRule="auto"/>
              <w:rPr>
                <w:rFonts w:ascii="宋体" w:hAnsi="宋体" w:cs="宋体"/>
                <w:snapToGrid w:val="0"/>
                <w:color w:val="000000"/>
                <w:sz w:val="24"/>
              </w:rPr>
            </w:pPr>
          </w:p>
        </w:tc>
        <w:tc>
          <w:tcPr>
            <w:tcW w:w="1276" w:type="dxa"/>
            <w:vMerge w:val="continue"/>
            <w:noWrap w:val="0"/>
            <w:vAlign w:val="center"/>
          </w:tcPr>
          <w:p w14:paraId="42AFE7B0">
            <w:pPr>
              <w:spacing w:line="360" w:lineRule="auto"/>
              <w:jc w:val="center"/>
              <w:rPr>
                <w:rFonts w:ascii="宋体" w:hAnsi="宋体"/>
                <w:color w:val="000000"/>
                <w:sz w:val="24"/>
              </w:rPr>
            </w:pPr>
          </w:p>
        </w:tc>
        <w:tc>
          <w:tcPr>
            <w:tcW w:w="1701" w:type="dxa"/>
            <w:noWrap w:val="0"/>
            <w:vAlign w:val="center"/>
          </w:tcPr>
          <w:p w14:paraId="3E0ADA21">
            <w:pPr>
              <w:spacing w:line="360" w:lineRule="auto"/>
              <w:jc w:val="center"/>
              <w:rPr>
                <w:rFonts w:ascii="宋体" w:hAnsi="宋体"/>
                <w:color w:val="000000"/>
                <w:sz w:val="24"/>
              </w:rPr>
            </w:pPr>
            <w:r>
              <w:rPr>
                <w:rFonts w:hint="eastAsia" w:ascii="宋体" w:hAnsi="宋体"/>
                <w:color w:val="000000"/>
                <w:sz w:val="24"/>
              </w:rPr>
              <w:t>响应文件签字盖章</w:t>
            </w:r>
          </w:p>
        </w:tc>
        <w:tc>
          <w:tcPr>
            <w:tcW w:w="4677" w:type="dxa"/>
            <w:noWrap w:val="0"/>
            <w:vAlign w:val="center"/>
          </w:tcPr>
          <w:p w14:paraId="7ADC05A7">
            <w:pPr>
              <w:spacing w:line="360" w:lineRule="auto"/>
              <w:rPr>
                <w:rFonts w:ascii="宋体" w:hAnsi="宋体"/>
                <w:color w:val="000000"/>
                <w:sz w:val="24"/>
              </w:rPr>
            </w:pPr>
            <w:r>
              <w:rPr>
                <w:rFonts w:hint="eastAsia" w:ascii="宋体" w:hAnsi="宋体"/>
                <w:color w:val="000000"/>
                <w:sz w:val="24"/>
              </w:rPr>
              <w:t>磋商文件中要求法定代表人或授权委托人签字或盖章的，投标人在进行电子化响应文件签章时，以签盖法定代表人签章为准</w:t>
            </w:r>
          </w:p>
        </w:tc>
      </w:tr>
      <w:tr w14:paraId="6F12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7" w:type="dxa"/>
            <w:vMerge w:val="continue"/>
            <w:noWrap w:val="0"/>
            <w:vAlign w:val="center"/>
          </w:tcPr>
          <w:p w14:paraId="43D36CBC">
            <w:pPr>
              <w:spacing w:line="360" w:lineRule="auto"/>
              <w:rPr>
                <w:rFonts w:ascii="宋体" w:hAnsi="宋体" w:cs="宋体"/>
                <w:snapToGrid w:val="0"/>
                <w:color w:val="000000"/>
                <w:sz w:val="24"/>
              </w:rPr>
            </w:pPr>
          </w:p>
        </w:tc>
        <w:tc>
          <w:tcPr>
            <w:tcW w:w="1276" w:type="dxa"/>
            <w:vMerge w:val="continue"/>
            <w:noWrap w:val="0"/>
            <w:vAlign w:val="center"/>
          </w:tcPr>
          <w:p w14:paraId="473F872A">
            <w:pPr>
              <w:spacing w:line="360" w:lineRule="auto"/>
              <w:jc w:val="center"/>
              <w:rPr>
                <w:rFonts w:ascii="宋体" w:hAnsi="宋体"/>
                <w:color w:val="000000"/>
                <w:sz w:val="24"/>
              </w:rPr>
            </w:pPr>
          </w:p>
        </w:tc>
        <w:tc>
          <w:tcPr>
            <w:tcW w:w="1701" w:type="dxa"/>
            <w:noWrap w:val="0"/>
            <w:vAlign w:val="center"/>
          </w:tcPr>
          <w:p w14:paraId="0939E19F">
            <w:pPr>
              <w:spacing w:line="360" w:lineRule="auto"/>
              <w:jc w:val="center"/>
              <w:rPr>
                <w:rFonts w:ascii="宋体" w:hAnsi="宋体"/>
                <w:color w:val="000000"/>
                <w:sz w:val="24"/>
              </w:rPr>
            </w:pPr>
            <w:r>
              <w:rPr>
                <w:rFonts w:hint="eastAsia" w:ascii="宋体" w:hAnsi="宋体"/>
                <w:color w:val="000000"/>
                <w:sz w:val="24"/>
              </w:rPr>
              <w:t>响应文件格式</w:t>
            </w:r>
          </w:p>
        </w:tc>
        <w:tc>
          <w:tcPr>
            <w:tcW w:w="4677" w:type="dxa"/>
            <w:noWrap w:val="0"/>
            <w:vAlign w:val="center"/>
          </w:tcPr>
          <w:p w14:paraId="4338A0FD">
            <w:pPr>
              <w:spacing w:line="360" w:lineRule="auto"/>
              <w:rPr>
                <w:rFonts w:ascii="宋体" w:hAnsi="宋体"/>
                <w:color w:val="000000"/>
                <w:sz w:val="24"/>
              </w:rPr>
            </w:pPr>
            <w:r>
              <w:rPr>
                <w:rFonts w:hint="eastAsia" w:ascii="宋体" w:hAnsi="宋体"/>
                <w:color w:val="000000"/>
                <w:sz w:val="24"/>
              </w:rPr>
              <w:t>符合“响应文件格式”的要求</w:t>
            </w:r>
          </w:p>
        </w:tc>
      </w:tr>
      <w:tr w14:paraId="14DE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7" w:type="dxa"/>
            <w:vMerge w:val="continue"/>
            <w:noWrap w:val="0"/>
            <w:vAlign w:val="center"/>
          </w:tcPr>
          <w:p w14:paraId="120E1050">
            <w:pPr>
              <w:spacing w:line="360" w:lineRule="auto"/>
              <w:rPr>
                <w:rFonts w:ascii="宋体" w:hAnsi="宋体" w:cs="宋体"/>
                <w:snapToGrid w:val="0"/>
                <w:color w:val="000000"/>
                <w:sz w:val="24"/>
              </w:rPr>
            </w:pPr>
          </w:p>
        </w:tc>
        <w:tc>
          <w:tcPr>
            <w:tcW w:w="1276" w:type="dxa"/>
            <w:vMerge w:val="continue"/>
            <w:noWrap w:val="0"/>
            <w:vAlign w:val="center"/>
          </w:tcPr>
          <w:p w14:paraId="038D8BE7">
            <w:pPr>
              <w:spacing w:line="360" w:lineRule="auto"/>
              <w:jc w:val="center"/>
              <w:rPr>
                <w:rFonts w:ascii="宋体" w:hAnsi="宋体"/>
                <w:color w:val="000000"/>
                <w:sz w:val="24"/>
              </w:rPr>
            </w:pPr>
          </w:p>
        </w:tc>
        <w:tc>
          <w:tcPr>
            <w:tcW w:w="1701" w:type="dxa"/>
            <w:noWrap w:val="0"/>
            <w:vAlign w:val="center"/>
          </w:tcPr>
          <w:p w14:paraId="5A974FF0">
            <w:pPr>
              <w:spacing w:line="360" w:lineRule="auto"/>
              <w:jc w:val="center"/>
              <w:rPr>
                <w:rFonts w:ascii="宋体" w:hAnsi="宋体"/>
                <w:color w:val="000000"/>
                <w:sz w:val="24"/>
              </w:rPr>
            </w:pPr>
            <w:r>
              <w:rPr>
                <w:rFonts w:hint="eastAsia" w:ascii="宋体" w:hAnsi="宋体"/>
                <w:color w:val="000000"/>
                <w:sz w:val="24"/>
              </w:rPr>
              <w:t>报价唯一</w:t>
            </w:r>
          </w:p>
        </w:tc>
        <w:tc>
          <w:tcPr>
            <w:tcW w:w="4677" w:type="dxa"/>
            <w:noWrap w:val="0"/>
            <w:vAlign w:val="center"/>
          </w:tcPr>
          <w:p w14:paraId="6C44B8DD">
            <w:pPr>
              <w:spacing w:line="360" w:lineRule="auto"/>
              <w:rPr>
                <w:rFonts w:ascii="宋体" w:hAnsi="宋体"/>
                <w:color w:val="000000"/>
                <w:sz w:val="24"/>
              </w:rPr>
            </w:pPr>
            <w:r>
              <w:rPr>
                <w:rFonts w:hint="eastAsia" w:ascii="宋体" w:hAnsi="宋体"/>
                <w:color w:val="000000"/>
                <w:sz w:val="24"/>
              </w:rPr>
              <w:t>只能有一个有效报价</w:t>
            </w:r>
          </w:p>
        </w:tc>
      </w:tr>
      <w:tr w14:paraId="7EC7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573F6F85">
            <w:pPr>
              <w:spacing w:line="360" w:lineRule="auto"/>
              <w:rPr>
                <w:rFonts w:ascii="宋体" w:hAnsi="宋体" w:cs="宋体"/>
                <w:color w:val="000000"/>
                <w:kern w:val="0"/>
                <w:sz w:val="24"/>
              </w:rPr>
            </w:pPr>
            <w:r>
              <w:rPr>
                <w:rFonts w:hint="eastAsia" w:ascii="宋体" w:hAnsi="宋体" w:cs="宋体"/>
                <w:color w:val="000000"/>
                <w:kern w:val="0"/>
                <w:sz w:val="24"/>
              </w:rPr>
              <w:t>2.1.2</w:t>
            </w:r>
          </w:p>
        </w:tc>
        <w:tc>
          <w:tcPr>
            <w:tcW w:w="1276" w:type="dxa"/>
            <w:vMerge w:val="restart"/>
            <w:noWrap w:val="0"/>
            <w:vAlign w:val="center"/>
          </w:tcPr>
          <w:p w14:paraId="397C956F">
            <w:pPr>
              <w:spacing w:line="360" w:lineRule="auto"/>
              <w:jc w:val="center"/>
              <w:rPr>
                <w:rFonts w:ascii="宋体" w:hAnsi="宋体"/>
                <w:color w:val="000000"/>
                <w:sz w:val="24"/>
                <w:highlight w:val="none"/>
              </w:rPr>
            </w:pPr>
            <w:r>
              <w:rPr>
                <w:rFonts w:hint="eastAsia" w:ascii="宋体" w:hAnsi="宋体"/>
                <w:color w:val="000000"/>
                <w:sz w:val="24"/>
                <w:highlight w:val="none"/>
              </w:rPr>
              <w:t>资格</w:t>
            </w:r>
          </w:p>
          <w:p w14:paraId="07D66621">
            <w:pPr>
              <w:spacing w:line="360" w:lineRule="auto"/>
              <w:jc w:val="center"/>
              <w:rPr>
                <w:rFonts w:ascii="宋体" w:hAnsi="宋体"/>
                <w:color w:val="000000"/>
                <w:sz w:val="24"/>
              </w:rPr>
            </w:pPr>
            <w:r>
              <w:rPr>
                <w:rFonts w:hint="eastAsia" w:ascii="宋体" w:hAnsi="宋体"/>
                <w:color w:val="000000"/>
                <w:sz w:val="24"/>
                <w:highlight w:val="none"/>
              </w:rPr>
              <w:t>评审标准</w:t>
            </w:r>
          </w:p>
        </w:tc>
        <w:tc>
          <w:tcPr>
            <w:tcW w:w="1701" w:type="dxa"/>
            <w:noWrap w:val="0"/>
            <w:vAlign w:val="center"/>
          </w:tcPr>
          <w:p w14:paraId="7E52CF57">
            <w:pPr>
              <w:spacing w:line="360" w:lineRule="auto"/>
              <w:jc w:val="center"/>
              <w:rPr>
                <w:rFonts w:ascii="宋体" w:hAnsi="宋体"/>
                <w:color w:val="000000"/>
                <w:sz w:val="24"/>
              </w:rPr>
            </w:pPr>
            <w:r>
              <w:rPr>
                <w:rFonts w:hint="eastAsia" w:ascii="宋体" w:hAnsi="宋体"/>
                <w:color w:val="000000"/>
                <w:sz w:val="24"/>
              </w:rPr>
              <w:t>合格的投标人</w:t>
            </w:r>
          </w:p>
        </w:tc>
        <w:tc>
          <w:tcPr>
            <w:tcW w:w="4677" w:type="dxa"/>
            <w:noWrap w:val="0"/>
            <w:vAlign w:val="center"/>
          </w:tcPr>
          <w:p w14:paraId="027B4187">
            <w:pPr>
              <w:spacing w:line="360" w:lineRule="auto"/>
              <w:rPr>
                <w:rFonts w:ascii="宋体" w:hAnsi="宋体"/>
                <w:color w:val="000000"/>
                <w:sz w:val="24"/>
              </w:rPr>
            </w:pPr>
            <w:r>
              <w:rPr>
                <w:rFonts w:hint="eastAsia" w:ascii="宋体" w:hAnsi="宋体"/>
                <w:color w:val="000000"/>
                <w:sz w:val="24"/>
              </w:rPr>
              <w:t>符合《中华人民共和国政府采购法》第二十二条规定</w:t>
            </w:r>
          </w:p>
        </w:tc>
      </w:tr>
      <w:tr w14:paraId="2B4F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49FA9D83">
            <w:pPr>
              <w:spacing w:line="360" w:lineRule="auto"/>
              <w:rPr>
                <w:rFonts w:ascii="宋体" w:hAnsi="宋体" w:cs="宋体"/>
                <w:snapToGrid w:val="0"/>
                <w:color w:val="000000"/>
                <w:sz w:val="24"/>
              </w:rPr>
            </w:pPr>
          </w:p>
        </w:tc>
        <w:tc>
          <w:tcPr>
            <w:tcW w:w="1276" w:type="dxa"/>
            <w:vMerge w:val="continue"/>
            <w:noWrap w:val="0"/>
            <w:vAlign w:val="center"/>
          </w:tcPr>
          <w:p w14:paraId="2EF52061">
            <w:pPr>
              <w:spacing w:line="360" w:lineRule="auto"/>
              <w:jc w:val="center"/>
              <w:rPr>
                <w:rFonts w:ascii="宋体" w:hAnsi="宋体"/>
                <w:color w:val="000000"/>
                <w:sz w:val="24"/>
              </w:rPr>
            </w:pPr>
          </w:p>
        </w:tc>
        <w:tc>
          <w:tcPr>
            <w:tcW w:w="1701" w:type="dxa"/>
            <w:noWrap w:val="0"/>
            <w:vAlign w:val="center"/>
          </w:tcPr>
          <w:p w14:paraId="3C741605">
            <w:pPr>
              <w:spacing w:line="360" w:lineRule="auto"/>
              <w:jc w:val="center"/>
              <w:rPr>
                <w:rFonts w:ascii="宋体" w:hAnsi="宋体"/>
                <w:color w:val="000000"/>
                <w:sz w:val="24"/>
              </w:rPr>
            </w:pPr>
            <w:r>
              <w:rPr>
                <w:rFonts w:hint="eastAsia" w:ascii="宋体" w:hAnsi="宋体"/>
                <w:color w:val="000000"/>
                <w:sz w:val="24"/>
              </w:rPr>
              <w:t>营业执照</w:t>
            </w:r>
          </w:p>
        </w:tc>
        <w:tc>
          <w:tcPr>
            <w:tcW w:w="4677" w:type="dxa"/>
            <w:noWrap w:val="0"/>
            <w:vAlign w:val="center"/>
          </w:tcPr>
          <w:p w14:paraId="1ADD2734">
            <w:pPr>
              <w:spacing w:line="360" w:lineRule="auto"/>
              <w:rPr>
                <w:rFonts w:ascii="宋体" w:hAnsi="宋体"/>
                <w:color w:val="000000"/>
                <w:sz w:val="24"/>
              </w:rPr>
            </w:pPr>
            <w:r>
              <w:rPr>
                <w:rFonts w:hint="eastAsia" w:ascii="宋体" w:hAnsi="宋体"/>
                <w:color w:val="000000"/>
                <w:sz w:val="24"/>
              </w:rPr>
              <w:t>具备有效的营业执照</w:t>
            </w:r>
          </w:p>
        </w:tc>
      </w:tr>
      <w:tr w14:paraId="0512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65775975">
            <w:pPr>
              <w:spacing w:line="360" w:lineRule="auto"/>
              <w:rPr>
                <w:rFonts w:ascii="宋体" w:hAnsi="宋体" w:cs="宋体"/>
                <w:snapToGrid w:val="0"/>
                <w:color w:val="000000"/>
                <w:sz w:val="24"/>
              </w:rPr>
            </w:pPr>
          </w:p>
        </w:tc>
        <w:tc>
          <w:tcPr>
            <w:tcW w:w="1276" w:type="dxa"/>
            <w:vMerge w:val="continue"/>
            <w:noWrap w:val="0"/>
            <w:vAlign w:val="center"/>
          </w:tcPr>
          <w:p w14:paraId="467C2301">
            <w:pPr>
              <w:spacing w:line="360" w:lineRule="auto"/>
              <w:jc w:val="center"/>
              <w:rPr>
                <w:rFonts w:ascii="宋体" w:hAnsi="宋体"/>
                <w:color w:val="000000"/>
                <w:sz w:val="24"/>
              </w:rPr>
            </w:pPr>
          </w:p>
        </w:tc>
        <w:tc>
          <w:tcPr>
            <w:tcW w:w="1701" w:type="dxa"/>
            <w:noWrap w:val="0"/>
            <w:vAlign w:val="center"/>
          </w:tcPr>
          <w:p w14:paraId="23FB1ECF">
            <w:pPr>
              <w:spacing w:line="360" w:lineRule="auto"/>
              <w:jc w:val="center"/>
              <w:rPr>
                <w:rFonts w:hint="eastAsia" w:ascii="宋体" w:hAnsi="宋体" w:eastAsia="宋体"/>
                <w:color w:val="000000"/>
                <w:sz w:val="24"/>
                <w:lang w:eastAsia="zh-CN"/>
              </w:rPr>
            </w:pPr>
            <w:r>
              <w:rPr>
                <w:rFonts w:hint="eastAsia" w:ascii="宋体" w:hAnsi="宋体"/>
                <w:color w:val="000000"/>
                <w:sz w:val="24"/>
                <w:lang w:eastAsia="zh-CN"/>
              </w:rPr>
              <w:t>财务状况</w:t>
            </w:r>
          </w:p>
        </w:tc>
        <w:tc>
          <w:tcPr>
            <w:tcW w:w="4677" w:type="dxa"/>
            <w:noWrap w:val="0"/>
            <w:vAlign w:val="center"/>
          </w:tcPr>
          <w:p w14:paraId="796EF006">
            <w:pPr>
              <w:spacing w:line="360" w:lineRule="auto"/>
              <w:rPr>
                <w:rFonts w:ascii="宋体" w:hAnsi="宋体"/>
                <w:color w:val="000000"/>
                <w:sz w:val="24"/>
              </w:rPr>
            </w:pPr>
            <w:r>
              <w:rPr>
                <w:rFonts w:hint="eastAsia" w:ascii="宋体" w:hAnsi="宋体" w:cs="宋体"/>
                <w:sz w:val="24"/>
                <w:lang w:val="en-US" w:eastAsia="zh-CN"/>
              </w:rPr>
              <w:t>具有良好的商业信誉和健全的财务会计制度，供应商须提供</w:t>
            </w:r>
            <w:r>
              <w:rPr>
                <w:rFonts w:hint="eastAsia" w:ascii="宋体" w:hAnsi="宋体" w:cs="宋体"/>
                <w:sz w:val="24"/>
              </w:rPr>
              <w:t>近三年财务审计报告</w:t>
            </w:r>
            <w:r>
              <w:rPr>
                <w:rFonts w:hint="eastAsia" w:ascii="宋体" w:hAnsi="宋体" w:cs="宋体"/>
                <w:sz w:val="24"/>
                <w:lang w:eastAsia="zh-CN"/>
              </w:rPr>
              <w:t>（</w:t>
            </w:r>
            <w:r>
              <w:rPr>
                <w:rFonts w:hint="eastAsia" w:ascii="宋体" w:hAnsi="宋体" w:cs="宋体"/>
                <w:sz w:val="24"/>
              </w:rPr>
              <w:t>新成立公司不足一年的以公司成立时间为准</w:t>
            </w:r>
            <w:r>
              <w:rPr>
                <w:rFonts w:hint="eastAsia" w:ascii="宋体" w:hAnsi="宋体" w:cs="宋体"/>
                <w:sz w:val="24"/>
                <w:lang w:eastAsia="zh-CN"/>
              </w:rPr>
              <w:t>）</w:t>
            </w:r>
            <w:r>
              <w:rPr>
                <w:rFonts w:hint="eastAsia" w:ascii="宋体" w:hAnsi="宋体" w:cs="宋体"/>
                <w:sz w:val="24"/>
                <w:lang w:val="en-US" w:eastAsia="zh-CN"/>
              </w:rPr>
              <w:t>或基本户银行出具的资信证明等证明文件；</w:t>
            </w:r>
          </w:p>
        </w:tc>
      </w:tr>
      <w:tr w14:paraId="0BA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62453C55">
            <w:pPr>
              <w:spacing w:line="360" w:lineRule="auto"/>
              <w:rPr>
                <w:rFonts w:ascii="宋体" w:hAnsi="宋体" w:cs="宋体"/>
                <w:snapToGrid w:val="0"/>
                <w:color w:val="000000"/>
                <w:sz w:val="24"/>
              </w:rPr>
            </w:pPr>
          </w:p>
        </w:tc>
        <w:tc>
          <w:tcPr>
            <w:tcW w:w="1276" w:type="dxa"/>
            <w:vMerge w:val="continue"/>
            <w:noWrap w:val="0"/>
            <w:vAlign w:val="center"/>
          </w:tcPr>
          <w:p w14:paraId="13588B7B">
            <w:pPr>
              <w:spacing w:line="360" w:lineRule="auto"/>
              <w:jc w:val="center"/>
              <w:rPr>
                <w:rFonts w:ascii="宋体" w:hAnsi="宋体"/>
                <w:color w:val="000000"/>
                <w:sz w:val="24"/>
              </w:rPr>
            </w:pPr>
          </w:p>
        </w:tc>
        <w:tc>
          <w:tcPr>
            <w:tcW w:w="1701" w:type="dxa"/>
            <w:noWrap w:val="0"/>
            <w:vAlign w:val="center"/>
          </w:tcPr>
          <w:p w14:paraId="448DFCE2">
            <w:pPr>
              <w:spacing w:line="360" w:lineRule="auto"/>
              <w:jc w:val="center"/>
              <w:rPr>
                <w:rFonts w:hint="eastAsia" w:ascii="宋体" w:hAnsi="宋体"/>
                <w:color w:val="000000"/>
                <w:sz w:val="24"/>
                <w:lang w:eastAsia="zh-CN"/>
              </w:rPr>
            </w:pPr>
            <w:r>
              <w:rPr>
                <w:rFonts w:hint="eastAsia" w:ascii="宋体" w:hAnsi="宋体"/>
                <w:color w:val="000000"/>
                <w:sz w:val="24"/>
                <w:lang w:eastAsia="zh-CN"/>
              </w:rPr>
              <w:t>承诺书</w:t>
            </w:r>
          </w:p>
        </w:tc>
        <w:tc>
          <w:tcPr>
            <w:tcW w:w="4677" w:type="dxa"/>
            <w:noWrap w:val="0"/>
            <w:vAlign w:val="center"/>
          </w:tcPr>
          <w:p w14:paraId="5B0DF646">
            <w:pPr>
              <w:spacing w:line="360" w:lineRule="auto"/>
              <w:rPr>
                <w:rFonts w:hint="eastAsia" w:ascii="宋体" w:hAnsi="宋体" w:cs="宋体"/>
                <w:sz w:val="24"/>
                <w:lang w:val="en-US" w:eastAsia="zh-CN"/>
              </w:rPr>
            </w:pPr>
            <w:r>
              <w:rPr>
                <w:rFonts w:hint="eastAsia" w:ascii="宋体" w:hAnsi="宋体" w:cs="宋体"/>
                <w:sz w:val="24"/>
                <w:lang w:val="en-US" w:eastAsia="zh-CN"/>
              </w:rPr>
              <w:t>具有履行合同所必需的设备和专业技术能力（自行作出承诺，格式自拟）</w:t>
            </w:r>
          </w:p>
        </w:tc>
      </w:tr>
      <w:tr w14:paraId="40FC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707BF8D7">
            <w:pPr>
              <w:spacing w:line="360" w:lineRule="auto"/>
              <w:rPr>
                <w:rFonts w:ascii="宋体" w:hAnsi="宋体" w:cs="宋体"/>
                <w:snapToGrid w:val="0"/>
                <w:color w:val="000000"/>
                <w:sz w:val="24"/>
              </w:rPr>
            </w:pPr>
          </w:p>
        </w:tc>
        <w:tc>
          <w:tcPr>
            <w:tcW w:w="1276" w:type="dxa"/>
            <w:vMerge w:val="continue"/>
            <w:noWrap w:val="0"/>
            <w:vAlign w:val="center"/>
          </w:tcPr>
          <w:p w14:paraId="4E83CF9B">
            <w:pPr>
              <w:spacing w:line="360" w:lineRule="auto"/>
              <w:jc w:val="center"/>
              <w:rPr>
                <w:rFonts w:ascii="宋体" w:hAnsi="宋体"/>
                <w:color w:val="000000"/>
                <w:sz w:val="24"/>
              </w:rPr>
            </w:pPr>
          </w:p>
        </w:tc>
        <w:tc>
          <w:tcPr>
            <w:tcW w:w="1701" w:type="dxa"/>
            <w:noWrap w:val="0"/>
            <w:vAlign w:val="center"/>
          </w:tcPr>
          <w:p w14:paraId="61C60F5A">
            <w:pPr>
              <w:spacing w:line="360" w:lineRule="auto"/>
              <w:jc w:val="center"/>
              <w:rPr>
                <w:rFonts w:hint="eastAsia" w:ascii="宋体" w:hAnsi="宋体"/>
                <w:color w:val="000000"/>
                <w:sz w:val="24"/>
                <w:lang w:eastAsia="zh-CN"/>
              </w:rPr>
            </w:pPr>
            <w:r>
              <w:rPr>
                <w:rFonts w:hint="eastAsia" w:ascii="宋体" w:hAnsi="宋体" w:cs="宋体"/>
                <w:sz w:val="24"/>
                <w:lang w:val="en-US" w:eastAsia="zh-CN"/>
              </w:rPr>
              <w:t>纳税证明</w:t>
            </w:r>
          </w:p>
        </w:tc>
        <w:tc>
          <w:tcPr>
            <w:tcW w:w="4677" w:type="dxa"/>
            <w:noWrap w:val="0"/>
            <w:vAlign w:val="center"/>
          </w:tcPr>
          <w:p w14:paraId="6D5D7306">
            <w:pPr>
              <w:spacing w:line="360" w:lineRule="auto"/>
              <w:rPr>
                <w:rFonts w:hint="eastAsia" w:ascii="宋体" w:hAnsi="宋体" w:cs="宋体"/>
                <w:sz w:val="24"/>
                <w:lang w:val="en-US" w:eastAsia="zh-CN"/>
              </w:rPr>
            </w:pPr>
            <w:r>
              <w:rPr>
                <w:rFonts w:hint="eastAsia" w:ascii="宋体" w:hAnsi="宋体" w:cs="宋体"/>
                <w:sz w:val="24"/>
                <w:lang w:val="en-US" w:eastAsia="zh-CN"/>
              </w:rPr>
              <w:t>具有依法缴纳税收和社会保障资金的良好记录（提供2024年01月01日以来任意一个月依法缴纳税收和社会保障金的证明材料</w:t>
            </w:r>
          </w:p>
        </w:tc>
      </w:tr>
      <w:tr w14:paraId="1D4C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653D1AFB">
            <w:pPr>
              <w:spacing w:line="360" w:lineRule="auto"/>
              <w:rPr>
                <w:rFonts w:ascii="宋体" w:hAnsi="宋体" w:cs="宋体"/>
                <w:snapToGrid w:val="0"/>
                <w:color w:val="000000"/>
                <w:sz w:val="24"/>
              </w:rPr>
            </w:pPr>
          </w:p>
        </w:tc>
        <w:tc>
          <w:tcPr>
            <w:tcW w:w="1276" w:type="dxa"/>
            <w:vMerge w:val="continue"/>
            <w:noWrap w:val="0"/>
            <w:vAlign w:val="center"/>
          </w:tcPr>
          <w:p w14:paraId="64563506">
            <w:pPr>
              <w:spacing w:line="360" w:lineRule="auto"/>
              <w:jc w:val="center"/>
              <w:rPr>
                <w:rFonts w:ascii="宋体" w:hAnsi="宋体"/>
                <w:color w:val="000000"/>
                <w:sz w:val="24"/>
              </w:rPr>
            </w:pPr>
          </w:p>
        </w:tc>
        <w:tc>
          <w:tcPr>
            <w:tcW w:w="1701" w:type="dxa"/>
            <w:noWrap w:val="0"/>
            <w:vAlign w:val="center"/>
          </w:tcPr>
          <w:p w14:paraId="69098D4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反商业贿赂承诺书</w:t>
            </w:r>
          </w:p>
        </w:tc>
        <w:tc>
          <w:tcPr>
            <w:tcW w:w="4677" w:type="dxa"/>
            <w:noWrap w:val="0"/>
            <w:vAlign w:val="center"/>
          </w:tcPr>
          <w:p w14:paraId="5446D11D">
            <w:pPr>
              <w:spacing w:line="360" w:lineRule="auto"/>
              <w:rPr>
                <w:rFonts w:hint="eastAsia" w:ascii="宋体" w:hAnsi="宋体" w:cs="宋体"/>
                <w:sz w:val="24"/>
                <w:lang w:val="en-US" w:eastAsia="zh-CN"/>
              </w:rPr>
            </w:pPr>
            <w:r>
              <w:rPr>
                <w:rFonts w:hint="eastAsia" w:ascii="宋体" w:hAnsi="宋体" w:cs="宋体"/>
                <w:sz w:val="24"/>
                <w:lang w:val="en-US" w:eastAsia="zh-CN"/>
              </w:rPr>
              <w:t>出具本单位无商业贿赂及无不正当竞争行为的承诺书（自行作出承诺，格式自拟）</w:t>
            </w:r>
          </w:p>
        </w:tc>
      </w:tr>
      <w:tr w14:paraId="55C7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7" w:type="dxa"/>
            <w:vMerge w:val="continue"/>
            <w:noWrap w:val="0"/>
            <w:vAlign w:val="center"/>
          </w:tcPr>
          <w:p w14:paraId="4EBAF81A">
            <w:pPr>
              <w:spacing w:line="360" w:lineRule="auto"/>
              <w:rPr>
                <w:rFonts w:ascii="宋体" w:hAnsi="宋体" w:cs="宋体"/>
                <w:snapToGrid w:val="0"/>
                <w:color w:val="000000"/>
                <w:sz w:val="24"/>
              </w:rPr>
            </w:pPr>
          </w:p>
        </w:tc>
        <w:tc>
          <w:tcPr>
            <w:tcW w:w="1276" w:type="dxa"/>
            <w:vMerge w:val="continue"/>
            <w:noWrap w:val="0"/>
            <w:vAlign w:val="center"/>
          </w:tcPr>
          <w:p w14:paraId="625514DF">
            <w:pPr>
              <w:spacing w:line="360" w:lineRule="auto"/>
              <w:jc w:val="center"/>
              <w:rPr>
                <w:rFonts w:ascii="宋体" w:hAnsi="宋体"/>
                <w:color w:val="000000"/>
                <w:sz w:val="24"/>
              </w:rPr>
            </w:pPr>
          </w:p>
        </w:tc>
        <w:tc>
          <w:tcPr>
            <w:tcW w:w="1701" w:type="dxa"/>
            <w:noWrap w:val="0"/>
            <w:vAlign w:val="center"/>
          </w:tcPr>
          <w:p w14:paraId="4EBA2C66">
            <w:pPr>
              <w:spacing w:line="360" w:lineRule="auto"/>
              <w:jc w:val="center"/>
              <w:rPr>
                <w:rFonts w:ascii="宋体" w:hAnsi="宋体"/>
                <w:color w:val="000000"/>
                <w:sz w:val="24"/>
              </w:rPr>
            </w:pPr>
            <w:r>
              <w:rPr>
                <w:rFonts w:hint="eastAsia" w:ascii="宋体" w:hAnsi="宋体"/>
                <w:color w:val="000000"/>
                <w:sz w:val="24"/>
              </w:rPr>
              <w:t>声明函</w:t>
            </w:r>
          </w:p>
        </w:tc>
        <w:tc>
          <w:tcPr>
            <w:tcW w:w="4677" w:type="dxa"/>
            <w:noWrap w:val="0"/>
            <w:vAlign w:val="center"/>
          </w:tcPr>
          <w:p w14:paraId="3B1146A2">
            <w:pPr>
              <w:spacing w:line="360" w:lineRule="auto"/>
              <w:rPr>
                <w:rFonts w:ascii="宋体" w:hAnsi="宋体"/>
                <w:color w:val="000000"/>
                <w:sz w:val="24"/>
              </w:rPr>
            </w:pPr>
            <w:r>
              <w:rPr>
                <w:rFonts w:hint="eastAsia" w:ascii="宋体" w:hAnsi="宋体" w:cs="宋体"/>
                <w:sz w:val="24"/>
              </w:rPr>
              <w:t>参加政府采购活动前3年内在经营活动中没有重大违法记录的书面声明</w:t>
            </w:r>
          </w:p>
        </w:tc>
      </w:tr>
      <w:tr w14:paraId="154E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vMerge w:val="continue"/>
            <w:noWrap w:val="0"/>
            <w:vAlign w:val="center"/>
          </w:tcPr>
          <w:p w14:paraId="6FB64EFE">
            <w:pPr>
              <w:spacing w:line="360" w:lineRule="auto"/>
              <w:rPr>
                <w:rFonts w:ascii="宋体" w:hAnsi="宋体" w:cs="宋体"/>
                <w:snapToGrid w:val="0"/>
                <w:color w:val="000000"/>
                <w:sz w:val="24"/>
              </w:rPr>
            </w:pPr>
          </w:p>
        </w:tc>
        <w:tc>
          <w:tcPr>
            <w:tcW w:w="1276" w:type="dxa"/>
            <w:vMerge w:val="continue"/>
            <w:noWrap w:val="0"/>
            <w:vAlign w:val="center"/>
          </w:tcPr>
          <w:p w14:paraId="0C8AFC02">
            <w:pPr>
              <w:spacing w:line="360" w:lineRule="auto"/>
              <w:jc w:val="center"/>
              <w:rPr>
                <w:rFonts w:ascii="宋体" w:hAnsi="宋体"/>
                <w:color w:val="000000"/>
                <w:sz w:val="24"/>
              </w:rPr>
            </w:pPr>
          </w:p>
        </w:tc>
        <w:tc>
          <w:tcPr>
            <w:tcW w:w="1701" w:type="dxa"/>
            <w:noWrap w:val="0"/>
            <w:vAlign w:val="center"/>
          </w:tcPr>
          <w:p w14:paraId="13720AA0">
            <w:pPr>
              <w:spacing w:line="360" w:lineRule="auto"/>
              <w:jc w:val="center"/>
              <w:rPr>
                <w:rFonts w:ascii="宋体" w:hAnsi="宋体"/>
                <w:color w:val="000000"/>
                <w:sz w:val="24"/>
              </w:rPr>
            </w:pPr>
            <w:r>
              <w:rPr>
                <w:rFonts w:hint="eastAsia" w:ascii="宋体" w:hAnsi="宋体"/>
                <w:color w:val="000000"/>
                <w:sz w:val="24"/>
              </w:rPr>
              <w:t>信用查询</w:t>
            </w:r>
          </w:p>
        </w:tc>
        <w:tc>
          <w:tcPr>
            <w:tcW w:w="4677" w:type="dxa"/>
            <w:noWrap w:val="0"/>
            <w:vAlign w:val="center"/>
          </w:tcPr>
          <w:p w14:paraId="48A851D6">
            <w:pPr>
              <w:spacing w:line="360" w:lineRule="auto"/>
              <w:ind w:firstLine="480" w:firstLineChars="200"/>
              <w:rPr>
                <w:rFonts w:ascii="宋体" w:hAnsi="宋体"/>
                <w:color w:val="000000"/>
                <w:sz w:val="24"/>
              </w:rPr>
            </w:pPr>
            <w:r>
              <w:rPr>
                <w:rFonts w:hint="eastAsia" w:ascii="宋体" w:hAnsi="宋体" w:eastAsia="宋体" w:cs="宋体"/>
                <w:sz w:val="24"/>
                <w:lang w:val="en-US"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tc>
      </w:tr>
      <w:tr w14:paraId="2DC6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noWrap w:val="0"/>
            <w:vAlign w:val="center"/>
          </w:tcPr>
          <w:p w14:paraId="2CC511A6">
            <w:pPr>
              <w:spacing w:line="360" w:lineRule="auto"/>
              <w:rPr>
                <w:rFonts w:ascii="宋体" w:hAnsi="宋体" w:cs="宋体"/>
                <w:snapToGrid w:val="0"/>
                <w:color w:val="000000"/>
                <w:sz w:val="24"/>
              </w:rPr>
            </w:pPr>
          </w:p>
        </w:tc>
        <w:tc>
          <w:tcPr>
            <w:tcW w:w="1276" w:type="dxa"/>
            <w:noWrap w:val="0"/>
            <w:vAlign w:val="center"/>
          </w:tcPr>
          <w:p w14:paraId="13538E9D">
            <w:pPr>
              <w:spacing w:line="360" w:lineRule="auto"/>
              <w:jc w:val="center"/>
              <w:rPr>
                <w:rFonts w:ascii="宋体" w:hAnsi="宋体"/>
                <w:color w:val="000000"/>
                <w:sz w:val="24"/>
              </w:rPr>
            </w:pPr>
          </w:p>
        </w:tc>
        <w:tc>
          <w:tcPr>
            <w:tcW w:w="1701" w:type="dxa"/>
            <w:noWrap w:val="0"/>
            <w:vAlign w:val="center"/>
          </w:tcPr>
          <w:p w14:paraId="2EC79BDF">
            <w:pPr>
              <w:spacing w:line="360" w:lineRule="auto"/>
              <w:jc w:val="center"/>
              <w:rPr>
                <w:rFonts w:hint="eastAsia" w:ascii="宋体" w:hAnsi="宋体" w:eastAsia="宋体"/>
                <w:color w:val="000000"/>
                <w:sz w:val="24"/>
                <w:lang w:eastAsia="zh-CN"/>
              </w:rPr>
            </w:pPr>
            <w:r>
              <w:rPr>
                <w:rFonts w:hint="eastAsia" w:ascii="宋体" w:hAnsi="宋体"/>
                <w:color w:val="000000"/>
                <w:sz w:val="24"/>
                <w:lang w:eastAsia="zh-CN"/>
              </w:rPr>
              <w:t>不接受联合体投标</w:t>
            </w:r>
          </w:p>
        </w:tc>
        <w:tc>
          <w:tcPr>
            <w:tcW w:w="4677" w:type="dxa"/>
            <w:noWrap w:val="0"/>
            <w:vAlign w:val="center"/>
          </w:tcPr>
          <w:p w14:paraId="158410FC">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提供承诺书</w:t>
            </w:r>
          </w:p>
        </w:tc>
      </w:tr>
      <w:tr w14:paraId="14D0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40365C47">
            <w:pPr>
              <w:spacing w:line="360" w:lineRule="auto"/>
              <w:rPr>
                <w:rFonts w:ascii="宋体" w:hAnsi="宋体" w:cs="宋体"/>
                <w:snapToGrid w:val="0"/>
                <w:color w:val="000000"/>
                <w:sz w:val="24"/>
              </w:rPr>
            </w:pPr>
            <w:r>
              <w:rPr>
                <w:rFonts w:hint="eastAsia" w:ascii="宋体" w:hAnsi="宋体" w:cs="宋体"/>
                <w:color w:val="000000"/>
                <w:kern w:val="0"/>
                <w:sz w:val="24"/>
              </w:rPr>
              <w:t>2.1.3</w:t>
            </w:r>
          </w:p>
        </w:tc>
        <w:tc>
          <w:tcPr>
            <w:tcW w:w="1276" w:type="dxa"/>
            <w:vMerge w:val="restart"/>
            <w:noWrap w:val="0"/>
            <w:vAlign w:val="center"/>
          </w:tcPr>
          <w:p w14:paraId="49634C3C">
            <w:pPr>
              <w:spacing w:line="360" w:lineRule="auto"/>
              <w:jc w:val="center"/>
              <w:rPr>
                <w:rFonts w:ascii="宋体" w:hAnsi="宋体"/>
                <w:color w:val="000000"/>
                <w:sz w:val="24"/>
              </w:rPr>
            </w:pPr>
            <w:r>
              <w:rPr>
                <w:rFonts w:hint="eastAsia" w:ascii="宋体" w:hAnsi="宋体"/>
                <w:color w:val="000000"/>
                <w:sz w:val="24"/>
              </w:rPr>
              <w:t>响应性评审标准</w:t>
            </w:r>
          </w:p>
        </w:tc>
        <w:tc>
          <w:tcPr>
            <w:tcW w:w="1701" w:type="dxa"/>
            <w:noWrap w:val="0"/>
            <w:vAlign w:val="center"/>
          </w:tcPr>
          <w:p w14:paraId="17172DA6">
            <w:pPr>
              <w:spacing w:line="360" w:lineRule="auto"/>
              <w:jc w:val="center"/>
              <w:rPr>
                <w:rFonts w:ascii="宋体" w:hAnsi="宋体"/>
                <w:color w:val="000000"/>
                <w:sz w:val="24"/>
              </w:rPr>
            </w:pPr>
            <w:r>
              <w:rPr>
                <w:rFonts w:hint="eastAsia" w:ascii="宋体" w:hAnsi="宋体"/>
                <w:color w:val="000000"/>
                <w:sz w:val="24"/>
              </w:rPr>
              <w:t>采购范围</w:t>
            </w:r>
          </w:p>
        </w:tc>
        <w:tc>
          <w:tcPr>
            <w:tcW w:w="4677" w:type="dxa"/>
            <w:noWrap w:val="0"/>
            <w:vAlign w:val="center"/>
          </w:tcPr>
          <w:p w14:paraId="5DBC4B43">
            <w:pPr>
              <w:spacing w:line="360" w:lineRule="auto"/>
              <w:rPr>
                <w:rFonts w:ascii="宋体" w:hAnsi="宋体"/>
                <w:color w:val="000000"/>
                <w:sz w:val="24"/>
              </w:rPr>
            </w:pPr>
            <w:r>
              <w:rPr>
                <w:rFonts w:hint="eastAsia" w:ascii="宋体" w:hAnsi="宋体"/>
                <w:color w:val="000000"/>
                <w:sz w:val="24"/>
              </w:rPr>
              <w:t>符合磋商文件规定</w:t>
            </w:r>
          </w:p>
        </w:tc>
      </w:tr>
      <w:tr w14:paraId="0B27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7" w:type="dxa"/>
            <w:vMerge w:val="continue"/>
            <w:noWrap w:val="0"/>
            <w:vAlign w:val="center"/>
          </w:tcPr>
          <w:p w14:paraId="0B4C8335">
            <w:pPr>
              <w:spacing w:line="360" w:lineRule="auto"/>
              <w:rPr>
                <w:rFonts w:ascii="宋体" w:hAnsi="宋体" w:cs="宋体"/>
                <w:snapToGrid w:val="0"/>
                <w:color w:val="000000"/>
                <w:sz w:val="24"/>
              </w:rPr>
            </w:pPr>
          </w:p>
        </w:tc>
        <w:tc>
          <w:tcPr>
            <w:tcW w:w="1276" w:type="dxa"/>
            <w:vMerge w:val="continue"/>
            <w:noWrap w:val="0"/>
            <w:vAlign w:val="center"/>
          </w:tcPr>
          <w:p w14:paraId="58389356">
            <w:pPr>
              <w:spacing w:line="360" w:lineRule="auto"/>
              <w:jc w:val="center"/>
              <w:rPr>
                <w:rFonts w:ascii="宋体" w:hAnsi="宋体"/>
                <w:color w:val="000000"/>
                <w:sz w:val="24"/>
              </w:rPr>
            </w:pPr>
          </w:p>
        </w:tc>
        <w:tc>
          <w:tcPr>
            <w:tcW w:w="1701" w:type="dxa"/>
            <w:noWrap w:val="0"/>
            <w:vAlign w:val="center"/>
          </w:tcPr>
          <w:p w14:paraId="2C86E82D">
            <w:pPr>
              <w:spacing w:line="360" w:lineRule="auto"/>
              <w:jc w:val="center"/>
              <w:rPr>
                <w:rFonts w:ascii="宋体" w:hAnsi="宋体"/>
                <w:color w:val="000000"/>
                <w:sz w:val="24"/>
              </w:rPr>
            </w:pPr>
            <w:r>
              <w:rPr>
                <w:rFonts w:hint="eastAsia" w:ascii="宋体" w:hAnsi="宋体"/>
                <w:color w:val="000000"/>
                <w:sz w:val="24"/>
              </w:rPr>
              <w:t>交货期</w:t>
            </w:r>
          </w:p>
        </w:tc>
        <w:tc>
          <w:tcPr>
            <w:tcW w:w="4677" w:type="dxa"/>
            <w:noWrap w:val="0"/>
            <w:vAlign w:val="center"/>
          </w:tcPr>
          <w:p w14:paraId="16859744">
            <w:pPr>
              <w:spacing w:line="360" w:lineRule="auto"/>
              <w:rPr>
                <w:rFonts w:ascii="宋体" w:hAnsi="宋体"/>
                <w:color w:val="000000"/>
                <w:sz w:val="24"/>
              </w:rPr>
            </w:pPr>
            <w:r>
              <w:rPr>
                <w:rFonts w:hint="eastAsia" w:ascii="宋体" w:hAnsi="宋体" w:cs="宋体"/>
                <w:sz w:val="24"/>
              </w:rPr>
              <w:t>合同签订后15天内完成</w:t>
            </w:r>
          </w:p>
        </w:tc>
      </w:tr>
      <w:tr w14:paraId="057C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69F90376">
            <w:pPr>
              <w:spacing w:line="360" w:lineRule="auto"/>
              <w:rPr>
                <w:rFonts w:ascii="宋体" w:hAnsi="宋体" w:cs="宋体"/>
                <w:snapToGrid w:val="0"/>
                <w:color w:val="000000"/>
                <w:sz w:val="24"/>
              </w:rPr>
            </w:pPr>
          </w:p>
        </w:tc>
        <w:tc>
          <w:tcPr>
            <w:tcW w:w="1276" w:type="dxa"/>
            <w:vMerge w:val="continue"/>
            <w:noWrap w:val="0"/>
            <w:vAlign w:val="center"/>
          </w:tcPr>
          <w:p w14:paraId="01B69848">
            <w:pPr>
              <w:spacing w:line="360" w:lineRule="auto"/>
              <w:jc w:val="center"/>
              <w:rPr>
                <w:rFonts w:ascii="宋体" w:hAnsi="宋体"/>
                <w:color w:val="000000"/>
                <w:sz w:val="24"/>
              </w:rPr>
            </w:pPr>
          </w:p>
        </w:tc>
        <w:tc>
          <w:tcPr>
            <w:tcW w:w="1701" w:type="dxa"/>
            <w:noWrap w:val="0"/>
            <w:vAlign w:val="center"/>
          </w:tcPr>
          <w:p w14:paraId="6D449456">
            <w:pPr>
              <w:spacing w:line="360" w:lineRule="auto"/>
              <w:jc w:val="center"/>
              <w:rPr>
                <w:rFonts w:ascii="宋体" w:hAnsi="宋体"/>
                <w:color w:val="000000"/>
                <w:sz w:val="24"/>
              </w:rPr>
            </w:pPr>
            <w:r>
              <w:rPr>
                <w:rFonts w:hint="eastAsia" w:ascii="宋体" w:hAnsi="宋体"/>
                <w:color w:val="000000"/>
                <w:sz w:val="24"/>
              </w:rPr>
              <w:t>质量标准</w:t>
            </w:r>
          </w:p>
        </w:tc>
        <w:tc>
          <w:tcPr>
            <w:tcW w:w="4677" w:type="dxa"/>
            <w:noWrap w:val="0"/>
            <w:vAlign w:val="center"/>
          </w:tcPr>
          <w:p w14:paraId="3C02303D">
            <w:pPr>
              <w:spacing w:line="360" w:lineRule="auto"/>
              <w:rPr>
                <w:rFonts w:ascii="宋体" w:hAnsi="宋体"/>
                <w:color w:val="000000"/>
                <w:sz w:val="24"/>
              </w:rPr>
            </w:pPr>
            <w:r>
              <w:rPr>
                <w:rFonts w:hint="eastAsia" w:ascii="宋体" w:hAnsi="宋体"/>
                <w:color w:val="000000"/>
                <w:sz w:val="24"/>
              </w:rPr>
              <w:t>符合国家及行业标准需求并满足采购人要求。</w:t>
            </w:r>
          </w:p>
        </w:tc>
      </w:tr>
      <w:tr w14:paraId="185E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356F0ED4">
            <w:pPr>
              <w:spacing w:line="360" w:lineRule="auto"/>
              <w:rPr>
                <w:rFonts w:ascii="宋体" w:hAnsi="宋体" w:cs="宋体"/>
                <w:snapToGrid w:val="0"/>
                <w:color w:val="000000"/>
                <w:sz w:val="24"/>
              </w:rPr>
            </w:pPr>
          </w:p>
        </w:tc>
        <w:tc>
          <w:tcPr>
            <w:tcW w:w="1276" w:type="dxa"/>
            <w:vMerge w:val="continue"/>
            <w:noWrap w:val="0"/>
            <w:vAlign w:val="center"/>
          </w:tcPr>
          <w:p w14:paraId="76E5D1BD">
            <w:pPr>
              <w:spacing w:line="360" w:lineRule="auto"/>
              <w:jc w:val="center"/>
              <w:rPr>
                <w:rFonts w:ascii="宋体" w:hAnsi="宋体"/>
                <w:color w:val="000000"/>
                <w:sz w:val="24"/>
              </w:rPr>
            </w:pPr>
          </w:p>
        </w:tc>
        <w:tc>
          <w:tcPr>
            <w:tcW w:w="1701" w:type="dxa"/>
            <w:noWrap w:val="0"/>
            <w:vAlign w:val="center"/>
          </w:tcPr>
          <w:p w14:paraId="3260077A">
            <w:pPr>
              <w:spacing w:line="360" w:lineRule="auto"/>
              <w:jc w:val="center"/>
              <w:rPr>
                <w:rFonts w:ascii="宋体" w:hAnsi="宋体"/>
                <w:color w:val="000000"/>
                <w:sz w:val="24"/>
                <w:highlight w:val="none"/>
              </w:rPr>
            </w:pPr>
            <w:r>
              <w:rPr>
                <w:rFonts w:hint="eastAsia" w:ascii="宋体" w:hAnsi="宋体"/>
                <w:color w:val="000000"/>
                <w:sz w:val="24"/>
                <w:highlight w:val="none"/>
              </w:rPr>
              <w:t>质保期</w:t>
            </w:r>
          </w:p>
        </w:tc>
        <w:tc>
          <w:tcPr>
            <w:tcW w:w="4677" w:type="dxa"/>
            <w:noWrap w:val="0"/>
            <w:vAlign w:val="center"/>
          </w:tcPr>
          <w:p w14:paraId="0646B401">
            <w:pPr>
              <w:spacing w:line="360" w:lineRule="auto"/>
              <w:rPr>
                <w:rFonts w:ascii="宋体" w:hAnsi="宋体"/>
                <w:color w:val="000000"/>
                <w:sz w:val="24"/>
                <w:highlight w:val="none"/>
              </w:rPr>
            </w:pPr>
            <w:r>
              <w:rPr>
                <w:rFonts w:hint="eastAsia" w:ascii="宋体" w:hAnsi="宋体"/>
                <w:color w:val="000000"/>
                <w:sz w:val="24"/>
                <w:highlight w:val="none"/>
              </w:rPr>
              <w:t>3年</w:t>
            </w:r>
          </w:p>
        </w:tc>
      </w:tr>
      <w:tr w14:paraId="519D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76C15A81">
            <w:pPr>
              <w:spacing w:line="360" w:lineRule="auto"/>
              <w:rPr>
                <w:rFonts w:ascii="宋体" w:hAnsi="宋体" w:cs="宋体"/>
                <w:snapToGrid w:val="0"/>
                <w:color w:val="000000"/>
                <w:sz w:val="24"/>
              </w:rPr>
            </w:pPr>
          </w:p>
        </w:tc>
        <w:tc>
          <w:tcPr>
            <w:tcW w:w="1276" w:type="dxa"/>
            <w:vMerge w:val="continue"/>
            <w:noWrap w:val="0"/>
            <w:vAlign w:val="center"/>
          </w:tcPr>
          <w:p w14:paraId="09CF45F4">
            <w:pPr>
              <w:spacing w:line="360" w:lineRule="auto"/>
              <w:jc w:val="center"/>
              <w:rPr>
                <w:rFonts w:ascii="宋体" w:hAnsi="宋体"/>
                <w:color w:val="000000"/>
                <w:sz w:val="24"/>
              </w:rPr>
            </w:pPr>
          </w:p>
        </w:tc>
        <w:tc>
          <w:tcPr>
            <w:tcW w:w="1701" w:type="dxa"/>
            <w:noWrap w:val="0"/>
            <w:vAlign w:val="center"/>
          </w:tcPr>
          <w:p w14:paraId="24E67B43">
            <w:pPr>
              <w:spacing w:line="360" w:lineRule="auto"/>
              <w:jc w:val="center"/>
              <w:rPr>
                <w:rFonts w:ascii="宋体" w:hAnsi="宋体"/>
                <w:color w:val="000000"/>
                <w:sz w:val="24"/>
              </w:rPr>
            </w:pPr>
            <w:r>
              <w:rPr>
                <w:rFonts w:hint="eastAsia" w:ascii="宋体" w:hAnsi="宋体"/>
                <w:color w:val="000000"/>
                <w:sz w:val="24"/>
              </w:rPr>
              <w:t>磋商有效期</w:t>
            </w:r>
          </w:p>
        </w:tc>
        <w:tc>
          <w:tcPr>
            <w:tcW w:w="4677" w:type="dxa"/>
            <w:noWrap w:val="0"/>
            <w:vAlign w:val="center"/>
          </w:tcPr>
          <w:p w14:paraId="61CFA98A">
            <w:pPr>
              <w:spacing w:line="360" w:lineRule="auto"/>
              <w:rPr>
                <w:rFonts w:ascii="宋体" w:hAnsi="宋体"/>
                <w:color w:val="000000"/>
                <w:sz w:val="24"/>
              </w:rPr>
            </w:pPr>
            <w:r>
              <w:rPr>
                <w:rFonts w:hint="eastAsia" w:ascii="宋体" w:hAnsi="宋体"/>
                <w:color w:val="000000"/>
                <w:sz w:val="24"/>
              </w:rPr>
              <w:t>符合磋商文件规定</w:t>
            </w:r>
          </w:p>
        </w:tc>
      </w:tr>
      <w:tr w14:paraId="1BE3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0E8F412A">
            <w:pPr>
              <w:spacing w:line="360" w:lineRule="auto"/>
              <w:rPr>
                <w:rFonts w:ascii="宋体" w:hAnsi="宋体" w:cs="宋体"/>
                <w:snapToGrid w:val="0"/>
                <w:color w:val="000000"/>
                <w:sz w:val="24"/>
              </w:rPr>
            </w:pPr>
          </w:p>
        </w:tc>
        <w:tc>
          <w:tcPr>
            <w:tcW w:w="1276" w:type="dxa"/>
            <w:vMerge w:val="continue"/>
            <w:noWrap w:val="0"/>
            <w:vAlign w:val="center"/>
          </w:tcPr>
          <w:p w14:paraId="431F9865">
            <w:pPr>
              <w:spacing w:line="360" w:lineRule="auto"/>
              <w:jc w:val="center"/>
              <w:rPr>
                <w:rFonts w:ascii="宋体" w:hAnsi="宋体"/>
                <w:color w:val="000000"/>
                <w:sz w:val="24"/>
              </w:rPr>
            </w:pPr>
          </w:p>
        </w:tc>
        <w:tc>
          <w:tcPr>
            <w:tcW w:w="1701" w:type="dxa"/>
            <w:noWrap w:val="0"/>
            <w:vAlign w:val="center"/>
          </w:tcPr>
          <w:p w14:paraId="343BF9A5">
            <w:pPr>
              <w:spacing w:line="360" w:lineRule="auto"/>
              <w:jc w:val="center"/>
              <w:rPr>
                <w:rFonts w:ascii="宋体" w:hAnsi="宋体"/>
                <w:color w:val="000000"/>
                <w:sz w:val="24"/>
              </w:rPr>
            </w:pPr>
            <w:r>
              <w:rPr>
                <w:rFonts w:hint="eastAsia" w:ascii="宋体" w:hAnsi="宋体"/>
                <w:color w:val="000000"/>
                <w:sz w:val="24"/>
              </w:rPr>
              <w:t>磋商报价</w:t>
            </w:r>
          </w:p>
        </w:tc>
        <w:tc>
          <w:tcPr>
            <w:tcW w:w="4677" w:type="dxa"/>
            <w:noWrap w:val="0"/>
            <w:vAlign w:val="center"/>
          </w:tcPr>
          <w:p w14:paraId="3603A2E3">
            <w:pPr>
              <w:snapToGrid w:val="0"/>
              <w:spacing w:line="360" w:lineRule="auto"/>
              <w:rPr>
                <w:rFonts w:ascii="宋体" w:hAnsi="宋体" w:cs="宋体"/>
                <w:color w:val="000000"/>
                <w:kern w:val="0"/>
                <w:sz w:val="24"/>
              </w:rPr>
            </w:pPr>
            <w:r>
              <w:rPr>
                <w:rFonts w:hint="eastAsia" w:ascii="宋体" w:hAnsi="宋体" w:cs="宋体"/>
                <w:color w:val="000000"/>
                <w:kern w:val="0"/>
                <w:sz w:val="24"/>
              </w:rPr>
              <w:t>第一次报价</w:t>
            </w:r>
            <w:r>
              <w:rPr>
                <w:rFonts w:hint="eastAsia"/>
                <w:color w:val="000000"/>
                <w:sz w:val="24"/>
              </w:rPr>
              <w:t>不得高于项目预算金额且不公开；</w:t>
            </w:r>
            <w:r>
              <w:rPr>
                <w:rFonts w:hint="eastAsia" w:ascii="宋体" w:hAnsi="宋体" w:cs="宋体"/>
                <w:color w:val="000000"/>
                <w:kern w:val="0"/>
                <w:sz w:val="24"/>
              </w:rPr>
              <w:t>第二次报价</w:t>
            </w:r>
            <w:r>
              <w:rPr>
                <w:rFonts w:hint="eastAsia" w:ascii="宋体" w:hAnsi="宋体" w:cs="宋体"/>
                <w:bCs/>
                <w:color w:val="000000"/>
                <w:kern w:val="0"/>
                <w:sz w:val="24"/>
              </w:rPr>
              <w:t>不得高于第一轮报价且为</w:t>
            </w:r>
            <w:r>
              <w:rPr>
                <w:rFonts w:hint="eastAsia" w:ascii="宋体" w:hAnsi="宋体" w:cs="宋体"/>
                <w:color w:val="000000"/>
                <w:kern w:val="0"/>
                <w:sz w:val="24"/>
              </w:rPr>
              <w:t>最终报价</w:t>
            </w:r>
            <w:r>
              <w:rPr>
                <w:rFonts w:hint="eastAsia" w:ascii="宋体" w:hAnsi="宋体" w:cs="宋体"/>
                <w:bCs/>
                <w:color w:val="000000"/>
                <w:kern w:val="0"/>
                <w:sz w:val="24"/>
              </w:rPr>
              <w:t>。</w:t>
            </w:r>
          </w:p>
        </w:tc>
      </w:tr>
    </w:tbl>
    <w:p w14:paraId="1B9DA93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1.本次评标采用综合评估法。</w:t>
      </w:r>
      <w:r>
        <w:rPr>
          <w:rFonts w:hint="eastAsia" w:ascii="宋体" w:hAnsi="宋体" w:cs="宋体"/>
          <w:color w:val="000000"/>
          <w:sz w:val="24"/>
          <w:szCs w:val="22"/>
        </w:rPr>
        <w:t>磋商小组</w:t>
      </w:r>
      <w:r>
        <w:rPr>
          <w:rFonts w:ascii="宋体" w:hAnsi="宋体" w:cs="宋体"/>
          <w:color w:val="000000"/>
          <w:sz w:val="24"/>
          <w:szCs w:val="22"/>
        </w:rPr>
        <w:t>对满足磋商文件实质性要求和提交最后报的响应文件，按本章节规定的评分标准进行综合评分，并按得分由高到低顺序推荐</w:t>
      </w:r>
      <w:r>
        <w:rPr>
          <w:rFonts w:hint="eastAsia" w:ascii="宋体" w:hAnsi="宋体" w:cs="宋体"/>
          <w:color w:val="000000"/>
          <w:sz w:val="24"/>
          <w:szCs w:val="22"/>
        </w:rPr>
        <w:t>3</w:t>
      </w:r>
      <w:r>
        <w:rPr>
          <w:rFonts w:ascii="宋体" w:hAnsi="宋体" w:cs="宋体"/>
          <w:color w:val="000000"/>
          <w:sz w:val="24"/>
          <w:szCs w:val="22"/>
        </w:rPr>
        <w:t>名中标候选人。评审得分相同时，按照最后报价由低到高的顺序推荐。评审得分且最后报价相同时，由磋商小组按照技术指标优劣顺序推荐。</w:t>
      </w:r>
    </w:p>
    <w:p w14:paraId="5FBDA8EC">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评审标准</w:t>
      </w:r>
    </w:p>
    <w:p w14:paraId="38986832">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2.1初步评审标准</w:t>
      </w:r>
    </w:p>
    <w:p w14:paraId="00439B50">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2.1.1形式评审标准：见评标办法前附表</w:t>
      </w:r>
    </w:p>
    <w:p w14:paraId="1C94F6EC">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2.1.1资格评审标准：见评标办法前附表。</w:t>
      </w:r>
    </w:p>
    <w:p w14:paraId="3F1DE12E">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2.1.2响应性评审标准：见评标办法前附表。</w:t>
      </w:r>
    </w:p>
    <w:p w14:paraId="6283A8E6">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2.2分值构成与评分标准</w:t>
      </w:r>
    </w:p>
    <w:p w14:paraId="6D0667E6">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2.2.1分值构成</w:t>
      </w:r>
    </w:p>
    <w:p w14:paraId="3601AC6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（1）投标报价的权重占30%</w:t>
      </w:r>
    </w:p>
    <w:p w14:paraId="2A02B493">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（2）技术标的权重占</w:t>
      </w:r>
      <w:r>
        <w:rPr>
          <w:rFonts w:hint="eastAsia" w:ascii="宋体" w:hAnsi="宋体" w:cs="宋体"/>
          <w:color w:val="000000"/>
          <w:sz w:val="24"/>
          <w:szCs w:val="22"/>
          <w:lang w:val="en-US" w:eastAsia="zh-CN"/>
        </w:rPr>
        <w:t>35</w:t>
      </w:r>
      <w:r>
        <w:rPr>
          <w:rFonts w:hint="eastAsia" w:ascii="宋体" w:hAnsi="宋体" w:cs="宋体"/>
          <w:color w:val="000000"/>
          <w:sz w:val="24"/>
          <w:szCs w:val="22"/>
        </w:rPr>
        <w:t>%</w:t>
      </w:r>
    </w:p>
    <w:p w14:paraId="6D3E91D8">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（3）商务标的权重占</w:t>
      </w:r>
      <w:r>
        <w:rPr>
          <w:rFonts w:hint="eastAsia" w:ascii="宋体" w:hAnsi="宋体" w:cs="宋体"/>
          <w:color w:val="000000"/>
          <w:sz w:val="24"/>
          <w:szCs w:val="22"/>
          <w:lang w:val="en-US" w:eastAsia="zh-CN"/>
        </w:rPr>
        <w:t>35</w:t>
      </w:r>
      <w:r>
        <w:rPr>
          <w:rFonts w:hint="eastAsia" w:ascii="宋体" w:hAnsi="宋体" w:cs="宋体"/>
          <w:color w:val="000000"/>
          <w:sz w:val="24"/>
          <w:szCs w:val="22"/>
        </w:rPr>
        <w:t>%</w:t>
      </w:r>
    </w:p>
    <w:p w14:paraId="16FEE0D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2.2.2 评分标准：见评标办法前附表。</w:t>
      </w:r>
    </w:p>
    <w:p w14:paraId="47091A04">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评标程序</w:t>
      </w:r>
    </w:p>
    <w:p w14:paraId="102CB58D">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3.1</w:t>
      </w:r>
      <w:r>
        <w:rPr>
          <w:rFonts w:ascii="宋体" w:hAnsi="宋体" w:cs="宋体"/>
          <w:color w:val="000000"/>
          <w:sz w:val="24"/>
          <w:szCs w:val="22"/>
        </w:rPr>
        <w:t>初步评审</w:t>
      </w:r>
    </w:p>
    <w:p w14:paraId="43EC577D">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 xml:space="preserve">3.1.1 </w:t>
      </w:r>
      <w:r>
        <w:rPr>
          <w:rFonts w:hint="eastAsia" w:ascii="宋体" w:hAnsi="宋体" w:cs="宋体"/>
          <w:color w:val="000000"/>
          <w:sz w:val="24"/>
          <w:szCs w:val="22"/>
        </w:rPr>
        <w:t>磋商小组</w:t>
      </w:r>
      <w:r>
        <w:rPr>
          <w:rFonts w:ascii="宋体" w:hAnsi="宋体" w:cs="宋体"/>
          <w:color w:val="000000"/>
          <w:sz w:val="24"/>
          <w:szCs w:val="22"/>
        </w:rPr>
        <w:t>应该以投标人上传主体信息库的有关证明和证件的原件为准，进行核验。</w:t>
      </w:r>
      <w:r>
        <w:rPr>
          <w:rFonts w:hint="eastAsia" w:ascii="宋体" w:hAnsi="宋体" w:cs="宋体"/>
          <w:color w:val="000000"/>
          <w:sz w:val="24"/>
          <w:szCs w:val="22"/>
        </w:rPr>
        <w:t>磋商小组</w:t>
      </w:r>
      <w:r>
        <w:rPr>
          <w:rFonts w:ascii="宋体" w:hAnsi="宋体" w:cs="宋体"/>
          <w:color w:val="000000"/>
          <w:sz w:val="24"/>
          <w:szCs w:val="22"/>
        </w:rPr>
        <w:t>依据本章第2.1款规定的标准对响应文件进行初步评审。有一项不符合评审标准的，其投标将被否决。</w:t>
      </w:r>
    </w:p>
    <w:p w14:paraId="4565F86A">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3.1.2</w:t>
      </w:r>
      <w:r>
        <w:rPr>
          <w:rFonts w:hint="eastAsia" w:ascii="宋体" w:hAnsi="宋体" w:cs="宋体"/>
          <w:color w:val="000000"/>
          <w:sz w:val="24"/>
          <w:szCs w:val="22"/>
        </w:rPr>
        <w:t>磋商小组</w:t>
      </w:r>
      <w:r>
        <w:rPr>
          <w:rFonts w:ascii="宋体" w:hAnsi="宋体" w:cs="宋体"/>
          <w:color w:val="000000"/>
          <w:sz w:val="24"/>
          <w:szCs w:val="22"/>
        </w:rPr>
        <w:t>依据本章第2.1.1项、第2.1.2项规定的评审标准对响应文件进行初步评审。有一项不符合评审标准的，其投标将被否决。</w:t>
      </w:r>
    </w:p>
    <w:p w14:paraId="478191A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3.1.3投标人有以下情形之一的，其投标作无效标处理：</w:t>
      </w:r>
    </w:p>
    <w:p w14:paraId="3AF62EF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串通投标或弄虚作假或有其他违法行为的；</w:t>
      </w:r>
    </w:p>
    <w:p w14:paraId="59E995B0">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（2）不按</w:t>
      </w:r>
      <w:r>
        <w:rPr>
          <w:rFonts w:hint="eastAsia" w:ascii="宋体" w:hAnsi="宋体" w:cs="宋体"/>
          <w:color w:val="000000"/>
          <w:sz w:val="24"/>
          <w:szCs w:val="22"/>
        </w:rPr>
        <w:t>磋商小组</w:t>
      </w:r>
      <w:r>
        <w:rPr>
          <w:rFonts w:ascii="宋体" w:hAnsi="宋体" w:cs="宋体"/>
          <w:color w:val="000000"/>
          <w:sz w:val="24"/>
          <w:szCs w:val="22"/>
        </w:rPr>
        <w:t>要求澄清、说明或补正的。</w:t>
      </w:r>
    </w:p>
    <w:p w14:paraId="77F7A520">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3.1.4投标报价有算术错误的，</w:t>
      </w:r>
      <w:r>
        <w:rPr>
          <w:rFonts w:hint="eastAsia" w:ascii="宋体" w:hAnsi="宋体" w:cs="宋体"/>
          <w:color w:val="000000"/>
          <w:sz w:val="24"/>
          <w:szCs w:val="22"/>
        </w:rPr>
        <w:t>磋商小组</w:t>
      </w:r>
      <w:r>
        <w:rPr>
          <w:rFonts w:ascii="宋体" w:hAnsi="宋体" w:cs="宋体"/>
          <w:color w:val="000000"/>
          <w:sz w:val="24"/>
          <w:szCs w:val="22"/>
        </w:rPr>
        <w:t>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588EC104">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3.2 详细评审</w:t>
      </w:r>
    </w:p>
    <w:p w14:paraId="350B88B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3.2.1磋商小组</w:t>
      </w:r>
      <w:r>
        <w:rPr>
          <w:rFonts w:ascii="宋体" w:hAnsi="宋体" w:cs="宋体"/>
          <w:color w:val="000000"/>
          <w:sz w:val="24"/>
          <w:szCs w:val="22"/>
        </w:rPr>
        <w:t>按本章第2.2款规定的量化因素和分值进行打分，并计算出综合评估得分。</w:t>
      </w:r>
    </w:p>
    <w:p w14:paraId="650E90D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3.2.2磋商小组</w:t>
      </w:r>
      <w:r>
        <w:rPr>
          <w:rFonts w:ascii="宋体" w:hAnsi="宋体" w:cs="宋体"/>
          <w:color w:val="000000"/>
          <w:sz w:val="24"/>
          <w:szCs w:val="22"/>
        </w:rPr>
        <w:t>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000000"/>
          <w:sz w:val="24"/>
          <w:szCs w:val="22"/>
        </w:rPr>
        <w:t>磋商小组</w:t>
      </w:r>
      <w:r>
        <w:rPr>
          <w:rFonts w:ascii="宋体" w:hAnsi="宋体" w:cs="宋体"/>
          <w:color w:val="000000"/>
          <w:sz w:val="24"/>
          <w:szCs w:val="22"/>
        </w:rPr>
        <w:t>认定该投标人以低于成本报价竞标，其投标作无效标处理。</w:t>
      </w:r>
    </w:p>
    <w:p w14:paraId="7E0EB5FC">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3.3 响应文件的澄清和补正</w:t>
      </w:r>
    </w:p>
    <w:p w14:paraId="4632CD09">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3.3.1在评标过程中，磋商小组可以书面形式要求投标人对所提交响应文件中不明确的内容进行书面澄清或说明，或者对细微偏差进行补正。磋商小组不接受投标人主动提出的澄清、说明或补正。</w:t>
      </w:r>
    </w:p>
    <w:p w14:paraId="4651D56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3.3.2 澄清、说明和补正不得改变响应文件的实质性内容（算术性错误修正的除外）。投标人的书面澄清、说明和补正属于响应文件的组成部分。</w:t>
      </w:r>
    </w:p>
    <w:p w14:paraId="77036A08">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3.3.3 磋商小组对投标人提交的澄清、说明或补正有疑问的，可以要求投标人进一步澄清、说明或补正，直至满足磋商小组的要求。</w:t>
      </w:r>
    </w:p>
    <w:p w14:paraId="64D81B9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3.4投标人的最总得分</w:t>
      </w:r>
    </w:p>
    <w:p w14:paraId="4AE9CCDF">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（1）磋商小组完成对技术标、商务标和综合标的汇总后，取平均值作为该投标人的最终得分，计算分值均保留两位小数。</w:t>
      </w:r>
    </w:p>
    <w:p w14:paraId="16F03526">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3.5评标结果</w:t>
      </w:r>
    </w:p>
    <w:p w14:paraId="0F2A7889">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3.5.1</w:t>
      </w:r>
      <w:r>
        <w:rPr>
          <w:rFonts w:hint="eastAsia" w:ascii="宋体" w:hAnsi="宋体" w:cs="宋体"/>
          <w:color w:val="000000"/>
          <w:sz w:val="24"/>
          <w:szCs w:val="22"/>
        </w:rPr>
        <w:t>磋商小组</w:t>
      </w:r>
      <w:r>
        <w:rPr>
          <w:rFonts w:ascii="宋体" w:hAnsi="宋体" w:cs="宋体"/>
          <w:color w:val="000000"/>
          <w:sz w:val="24"/>
          <w:szCs w:val="22"/>
        </w:rPr>
        <w:t>按照得分由高到低的顺序推荐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w:t>
      </w:r>
    </w:p>
    <w:p w14:paraId="24154756">
      <w:pPr>
        <w:spacing w:line="360" w:lineRule="auto"/>
        <w:ind w:firstLine="480" w:firstLineChars="200"/>
        <w:rPr>
          <w:rFonts w:ascii="宋体" w:hAnsi="宋体" w:cs="宋体"/>
          <w:color w:val="000000"/>
          <w:sz w:val="24"/>
          <w:szCs w:val="22"/>
        </w:rPr>
      </w:pPr>
      <w:r>
        <w:rPr>
          <w:rFonts w:ascii="宋体" w:hAnsi="宋体" w:cs="宋体"/>
          <w:color w:val="000000"/>
          <w:sz w:val="24"/>
          <w:szCs w:val="22"/>
        </w:rPr>
        <w:t xml:space="preserve">3.5.2 </w:t>
      </w:r>
      <w:r>
        <w:rPr>
          <w:rFonts w:hint="eastAsia" w:ascii="宋体" w:hAnsi="宋体" w:cs="宋体"/>
          <w:color w:val="000000"/>
          <w:sz w:val="24"/>
          <w:szCs w:val="22"/>
        </w:rPr>
        <w:t>磋商小组</w:t>
      </w:r>
      <w:r>
        <w:rPr>
          <w:rFonts w:ascii="宋体" w:hAnsi="宋体" w:cs="宋体"/>
          <w:color w:val="000000"/>
          <w:sz w:val="24"/>
          <w:szCs w:val="22"/>
        </w:rPr>
        <w:t>完成评标后，应当向采购人提交书面评标报告。</w:t>
      </w:r>
    </w:p>
    <w:p w14:paraId="4474E759">
      <w:pPr>
        <w:spacing w:line="360" w:lineRule="auto"/>
        <w:ind w:firstLine="482" w:firstLineChars="200"/>
        <w:rPr>
          <w:rFonts w:ascii="宋体" w:hAnsi="宋体" w:cs="Calibri"/>
          <w:b/>
          <w:color w:val="000000"/>
          <w:sz w:val="24"/>
        </w:rPr>
      </w:pPr>
      <w:r>
        <w:rPr>
          <w:rFonts w:hint="eastAsia" w:ascii="宋体" w:hAnsi="宋体" w:cs="Calibri"/>
          <w:b/>
          <w:color w:val="000000"/>
          <w:sz w:val="24"/>
        </w:rPr>
        <w:t>3.5.3提供相同品牌的评审办法</w:t>
      </w:r>
    </w:p>
    <w:p w14:paraId="7BFD9081">
      <w:pPr>
        <w:spacing w:line="360" w:lineRule="auto"/>
        <w:ind w:firstLine="480" w:firstLineChars="200"/>
        <w:rPr>
          <w:rFonts w:ascii="宋体" w:hAnsi="宋体" w:cs="Calibri"/>
          <w:color w:val="000000"/>
          <w:sz w:val="24"/>
        </w:rPr>
      </w:pPr>
      <w:r>
        <w:rPr>
          <w:rFonts w:hint="eastAsia" w:ascii="宋体" w:hAnsi="宋体" w:cs="Calibri"/>
          <w:color w:val="000000"/>
          <w:sz w:val="24"/>
        </w:rPr>
        <w:t>提供相同品牌产品且通过资格审查、符合性审查的不同投标人参加同一包下投标的，按一家投标人计算，评审后得分最高的同品牌投标人获得中标人推荐资格；评审得分相同的，以投标报价低者获得中标人推荐资格，其他同品牌投标人不作为中标候选人。</w:t>
      </w:r>
    </w:p>
    <w:p w14:paraId="1628729E">
      <w:pPr>
        <w:widowControl/>
        <w:spacing w:line="360" w:lineRule="auto"/>
        <w:ind w:firstLine="480" w:firstLineChars="200"/>
        <w:jc w:val="left"/>
        <w:rPr>
          <w:rFonts w:ascii="宋体" w:hAnsi="宋体" w:cs="宋体"/>
          <w:color w:val="000000"/>
          <w:sz w:val="24"/>
          <w:szCs w:val="22"/>
        </w:rPr>
      </w:pPr>
    </w:p>
    <w:p w14:paraId="23F6CAF7">
      <w:pPr>
        <w:spacing w:line="360" w:lineRule="auto"/>
        <w:ind w:firstLine="480" w:firstLineChars="200"/>
        <w:rPr>
          <w:rFonts w:ascii="宋体" w:hAnsi="宋体"/>
          <w:color w:val="000000"/>
          <w:sz w:val="24"/>
        </w:rPr>
      </w:pPr>
    </w:p>
    <w:p w14:paraId="0AF99101">
      <w:pPr>
        <w:pStyle w:val="4"/>
      </w:pPr>
    </w:p>
    <w:p w14:paraId="0EA242CC">
      <w:pPr>
        <w:pStyle w:val="5"/>
      </w:pPr>
    </w:p>
    <w:p w14:paraId="309BC2E4"/>
    <w:p w14:paraId="042FFCF2"/>
    <w:p w14:paraId="78705B1F"/>
    <w:p w14:paraId="616752E5">
      <w:pPr>
        <w:pStyle w:val="12"/>
      </w:pPr>
    </w:p>
    <w:p w14:paraId="121B955D">
      <w:pPr>
        <w:spacing w:line="360" w:lineRule="auto"/>
        <w:rPr>
          <w:rFonts w:ascii="宋体" w:hAnsi="宋体"/>
          <w:b/>
          <w:color w:val="000000"/>
          <w:sz w:val="24"/>
        </w:rPr>
      </w:pPr>
      <w:r>
        <w:rPr>
          <w:rFonts w:hint="eastAsia" w:ascii="宋体" w:hAnsi="宋体"/>
          <w:b/>
          <w:color w:val="000000"/>
          <w:sz w:val="24"/>
        </w:rPr>
        <w:t>附：评分计分标准，投标人评标得分</w:t>
      </w:r>
      <w:bookmarkStart w:id="61" w:name="_Toc6512"/>
      <w:bookmarkStart w:id="62" w:name="_Toc13887"/>
      <w:bookmarkStart w:id="63" w:name="_Toc29012"/>
      <w:bookmarkStart w:id="64" w:name="_Toc29973"/>
      <w:r>
        <w:rPr>
          <w:rFonts w:hint="eastAsia" w:ascii="宋体" w:hAnsi="宋体"/>
          <w:b/>
          <w:color w:val="000000"/>
          <w:sz w:val="24"/>
        </w:rPr>
        <w:t>为下表所列所有项的合计得分。</w:t>
      </w:r>
      <w:bookmarkStart w:id="65" w:name="_Toc516499662"/>
      <w:bookmarkStart w:id="66" w:name="_Toc6967"/>
      <w:bookmarkStart w:id="67" w:name="_Toc3245"/>
      <w:bookmarkStart w:id="68" w:name="_Toc57277891"/>
      <w:bookmarkStart w:id="69" w:name="_Toc7691"/>
    </w:p>
    <w:tbl>
      <w:tblPr>
        <w:tblStyle w:val="1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059"/>
        <w:gridCol w:w="819"/>
      </w:tblGrid>
      <w:tr w14:paraId="214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2F71CDD3">
            <w:pPr>
              <w:spacing w:line="360" w:lineRule="auto"/>
              <w:rPr>
                <w:rFonts w:ascii="宋体" w:hAnsi="宋体" w:cs="宋体"/>
                <w:b/>
                <w:bCs/>
                <w:color w:val="000000"/>
                <w:sz w:val="24"/>
                <w:vertAlign w:val="subscript"/>
              </w:rPr>
            </w:pPr>
            <w:r>
              <w:rPr>
                <w:rFonts w:hint="eastAsia" w:ascii="宋体" w:hAnsi="宋体" w:cs="宋体"/>
                <w:b/>
                <w:bCs/>
                <w:color w:val="000000"/>
                <w:sz w:val="24"/>
                <w:vertAlign w:val="subscript"/>
              </w:rPr>
              <w:t xml:space="preserve">    </w:t>
            </w:r>
            <w:r>
              <w:rPr>
                <w:rFonts w:hint="eastAsia" w:ascii="宋体" w:hAnsi="宋体" w:cs="宋体"/>
                <w:b/>
                <w:bCs/>
                <w:color w:val="000000"/>
                <w:sz w:val="24"/>
                <w:vertAlign w:val="subscript"/>
                <w:lang w:val="en-US" w:eastAsia="zh-CN"/>
              </w:rPr>
              <w:t xml:space="preserve">           </w:t>
            </w:r>
            <w:r>
              <w:rPr>
                <w:rFonts w:hint="eastAsia" w:ascii="宋体" w:hAnsi="宋体" w:cs="宋体"/>
                <w:b/>
                <w:bCs/>
                <w:color w:val="000000"/>
                <w:sz w:val="24"/>
              </w:rPr>
              <w:t>细则</w:t>
            </w:r>
          </w:p>
          <w:p w14:paraId="075E98FF">
            <w:pPr>
              <w:spacing w:line="360" w:lineRule="auto"/>
              <w:rPr>
                <w:rFonts w:ascii="宋体" w:hAnsi="宋体" w:cs="宋体"/>
                <w:b/>
                <w:bCs/>
                <w:color w:val="000000"/>
                <w:sz w:val="24"/>
                <w:vertAlign w:val="subscript"/>
              </w:rPr>
            </w:pPr>
            <w:r>
              <w:rPr>
                <w:rFonts w:hint="eastAsia" w:ascii="宋体" w:hAnsi="宋体" w:cs="宋体"/>
                <w:b/>
                <w:bCs/>
                <w:color w:val="000000"/>
                <w:sz w:val="24"/>
              </w:rPr>
              <w:t>项目</w:t>
            </w:r>
          </w:p>
        </w:tc>
        <w:tc>
          <w:tcPr>
            <w:tcW w:w="7059" w:type="dxa"/>
            <w:tcBorders>
              <w:top w:val="single" w:color="auto" w:sz="4" w:space="0"/>
              <w:left w:val="single" w:color="auto" w:sz="4" w:space="0"/>
              <w:bottom w:val="single" w:color="auto" w:sz="4" w:space="0"/>
              <w:right w:val="single" w:color="auto" w:sz="4" w:space="0"/>
            </w:tcBorders>
            <w:noWrap w:val="0"/>
            <w:vAlign w:val="center"/>
          </w:tcPr>
          <w:p w14:paraId="7C0B801E">
            <w:pPr>
              <w:spacing w:line="360" w:lineRule="auto"/>
              <w:jc w:val="center"/>
              <w:rPr>
                <w:rFonts w:ascii="宋体" w:hAnsi="宋体" w:cs="宋体"/>
                <w:b/>
                <w:bCs/>
                <w:color w:val="000000"/>
                <w:sz w:val="24"/>
              </w:rPr>
            </w:pPr>
            <w:r>
              <w:rPr>
                <w:rFonts w:hint="eastAsia" w:ascii="宋体" w:hAnsi="宋体" w:cs="宋体"/>
                <w:b/>
                <w:bCs/>
                <w:color w:val="000000"/>
                <w:sz w:val="24"/>
              </w:rPr>
              <w:t>分值细则</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C9731F7">
            <w:pPr>
              <w:spacing w:line="360" w:lineRule="auto"/>
              <w:rPr>
                <w:rFonts w:ascii="宋体" w:hAnsi="宋体" w:cs="宋体"/>
                <w:b/>
                <w:bCs/>
                <w:color w:val="000000"/>
                <w:sz w:val="24"/>
              </w:rPr>
            </w:pPr>
            <w:r>
              <w:rPr>
                <w:rFonts w:hint="eastAsia" w:ascii="宋体" w:hAnsi="宋体" w:cs="宋体"/>
                <w:b/>
                <w:bCs/>
                <w:color w:val="000000"/>
                <w:sz w:val="24"/>
              </w:rPr>
              <w:t>分值</w:t>
            </w:r>
          </w:p>
        </w:tc>
      </w:tr>
      <w:tr w14:paraId="5FE8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5" w:type="dxa"/>
            <w:gridSpan w:val="3"/>
            <w:tcBorders>
              <w:top w:val="single" w:color="auto" w:sz="4" w:space="0"/>
              <w:left w:val="single" w:color="auto" w:sz="4" w:space="0"/>
              <w:bottom w:val="single" w:color="auto" w:sz="4" w:space="0"/>
              <w:right w:val="single" w:color="auto" w:sz="4" w:space="0"/>
            </w:tcBorders>
            <w:noWrap w:val="0"/>
            <w:vAlign w:val="center"/>
          </w:tcPr>
          <w:p w14:paraId="493A23FB">
            <w:pPr>
              <w:spacing w:line="360" w:lineRule="auto"/>
              <w:rPr>
                <w:rFonts w:ascii="宋体" w:hAnsi="宋体" w:cs="宋体"/>
                <w:b/>
                <w:color w:val="000000"/>
                <w:sz w:val="24"/>
              </w:rPr>
            </w:pPr>
            <w:r>
              <w:rPr>
                <w:rFonts w:hint="eastAsia" w:ascii="宋体" w:hAnsi="宋体" w:cs="宋体"/>
                <w:b/>
                <w:color w:val="000000"/>
                <w:sz w:val="24"/>
              </w:rPr>
              <w:t>一、价格部分（30分）</w:t>
            </w:r>
          </w:p>
        </w:tc>
      </w:tr>
      <w:tr w14:paraId="3A82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7D79BCE9">
            <w:pPr>
              <w:spacing w:line="360" w:lineRule="auto"/>
              <w:jc w:val="center"/>
              <w:rPr>
                <w:rFonts w:ascii="宋体" w:hAnsi="宋体" w:cs="宋体"/>
                <w:color w:val="000000"/>
                <w:sz w:val="24"/>
              </w:rPr>
            </w:pPr>
            <w:r>
              <w:rPr>
                <w:rFonts w:hint="eastAsia" w:ascii="宋体" w:hAnsi="宋体" w:cs="宋体"/>
                <w:color w:val="000000"/>
                <w:sz w:val="24"/>
              </w:rPr>
              <w:t>价格部分</w:t>
            </w:r>
          </w:p>
        </w:tc>
        <w:tc>
          <w:tcPr>
            <w:tcW w:w="7059" w:type="dxa"/>
            <w:tcBorders>
              <w:top w:val="single" w:color="auto" w:sz="4" w:space="0"/>
              <w:left w:val="single" w:color="auto" w:sz="4" w:space="0"/>
              <w:bottom w:val="single" w:color="auto" w:sz="4" w:space="0"/>
              <w:right w:val="single" w:color="auto" w:sz="4" w:space="0"/>
            </w:tcBorders>
            <w:noWrap w:val="0"/>
            <w:vAlign w:val="center"/>
          </w:tcPr>
          <w:p w14:paraId="0056E134">
            <w:pPr>
              <w:spacing w:line="360" w:lineRule="auto"/>
              <w:rPr>
                <w:rFonts w:ascii="宋体" w:hAnsi="宋体" w:cs="宋体"/>
                <w:kern w:val="0"/>
                <w:sz w:val="24"/>
              </w:rPr>
            </w:pPr>
            <w:r>
              <w:rPr>
                <w:rFonts w:hint="eastAsia" w:ascii="宋体" w:hAnsi="宋体" w:cs="宋体"/>
                <w:kern w:val="0"/>
                <w:sz w:val="24"/>
              </w:rPr>
              <w:t>1、综合评分法中的价格分统一采用低价优先法计算，即满足磋商文件要求且最后报价最低的投标人的价格为评标基准价，其价格分为满分。</w:t>
            </w:r>
          </w:p>
          <w:p w14:paraId="045A8F69">
            <w:pPr>
              <w:spacing w:line="360" w:lineRule="auto"/>
              <w:rPr>
                <w:rFonts w:ascii="宋体" w:hAnsi="宋体" w:cs="宋体"/>
                <w:kern w:val="0"/>
                <w:sz w:val="24"/>
              </w:rPr>
            </w:pPr>
            <w:r>
              <w:rPr>
                <w:rFonts w:hint="eastAsia" w:ascii="宋体" w:hAnsi="宋体" w:cs="宋体"/>
                <w:kern w:val="0"/>
                <w:sz w:val="24"/>
              </w:rPr>
              <w:t>2、其他投标人的价格分统一按照下列公式计算：</w:t>
            </w:r>
          </w:p>
          <w:p w14:paraId="0879AEEA">
            <w:pPr>
              <w:spacing w:line="360" w:lineRule="auto"/>
              <w:rPr>
                <w:rFonts w:ascii="宋体" w:hAnsi="宋体" w:cs="宋体"/>
                <w:kern w:val="0"/>
                <w:sz w:val="24"/>
              </w:rPr>
            </w:pPr>
            <w:r>
              <w:rPr>
                <w:rFonts w:hint="eastAsia" w:ascii="宋体" w:hAnsi="宋体" w:cs="宋体"/>
                <w:kern w:val="0"/>
                <w:sz w:val="24"/>
              </w:rPr>
              <w:t>报价得分=（评标基准价/最后投标报价）×30</w:t>
            </w:r>
          </w:p>
          <w:p w14:paraId="6C26E89F">
            <w:pPr>
              <w:spacing w:line="360" w:lineRule="auto"/>
              <w:rPr>
                <w:rFonts w:ascii="宋体" w:hAnsi="宋体" w:cs="宋体"/>
                <w:kern w:val="0"/>
                <w:sz w:val="24"/>
              </w:rPr>
            </w:pPr>
            <w:r>
              <w:rPr>
                <w:rFonts w:hint="eastAsia" w:ascii="宋体" w:hAnsi="宋体" w:cs="宋体"/>
                <w:kern w:val="0"/>
                <w:sz w:val="24"/>
              </w:rPr>
              <w:t>注：分值计算保留两位小数。</w:t>
            </w:r>
          </w:p>
          <w:p w14:paraId="38281756">
            <w:pPr>
              <w:spacing w:line="360" w:lineRule="auto"/>
              <w:rPr>
                <w:rFonts w:ascii="宋体" w:hAnsi="宋体" w:cs="宋体"/>
                <w:kern w:val="0"/>
                <w:sz w:val="24"/>
              </w:rPr>
            </w:pPr>
            <w:r>
              <w:rPr>
                <w:rFonts w:hint="eastAsia" w:ascii="宋体" w:hAnsi="宋体" w:cs="宋体"/>
                <w:kern w:val="0"/>
                <w:sz w:val="24"/>
              </w:rPr>
              <w:t xml:space="preserve">3、落实政府采购政策，对小型、微型企业、监狱企业及残疾人福利性单位产品（以投标文件提供的符合规定的有关证明材料为准） 价格给予 </w:t>
            </w:r>
            <w:r>
              <w:rPr>
                <w:rFonts w:hint="eastAsia" w:ascii="宋体" w:hAnsi="宋体" w:cs="宋体"/>
                <w:kern w:val="0"/>
                <w:sz w:val="24"/>
                <w:lang w:val="en-US" w:eastAsia="zh-CN"/>
              </w:rPr>
              <w:t>2</w:t>
            </w:r>
            <w:r>
              <w:rPr>
                <w:rFonts w:hint="eastAsia" w:ascii="宋体" w:hAnsi="宋体" w:cs="宋体"/>
                <w:kern w:val="0"/>
                <w:sz w:val="24"/>
              </w:rPr>
              <w:t>0%的扣除（同一投标人，中小微企业产品和监狱企业产品价格扣除优惠只享受一次，不得重复享受），以扣除的价格计算评标基准价和投标报价。</w:t>
            </w:r>
          </w:p>
          <w:p w14:paraId="51A72C10">
            <w:pPr>
              <w:spacing w:line="360" w:lineRule="auto"/>
              <w:rPr>
                <w:rFonts w:ascii="宋体" w:hAnsi="宋体" w:cs="宋体"/>
                <w:kern w:val="0"/>
                <w:sz w:val="24"/>
              </w:rPr>
            </w:pPr>
            <w:r>
              <w:rPr>
                <w:rFonts w:hint="eastAsia" w:ascii="宋体" w:hAnsi="宋体" w:cs="宋体"/>
                <w:kern w:val="0"/>
                <w:sz w:val="24"/>
              </w:rPr>
              <w:t>具体算法：评标报价=投标总报价×（1-</w:t>
            </w:r>
            <w:r>
              <w:rPr>
                <w:rFonts w:hint="eastAsia" w:ascii="宋体" w:hAnsi="宋体" w:cs="宋体"/>
                <w:kern w:val="0"/>
                <w:sz w:val="24"/>
                <w:lang w:val="en-US" w:eastAsia="zh-CN"/>
              </w:rPr>
              <w:t>2</w:t>
            </w:r>
            <w:r>
              <w:rPr>
                <w:rFonts w:hint="eastAsia" w:ascii="宋体" w:hAnsi="宋体" w:cs="宋体"/>
                <w:kern w:val="0"/>
                <w:sz w:val="24"/>
              </w:rPr>
              <w:t>0%）。</w:t>
            </w:r>
          </w:p>
          <w:p w14:paraId="559492AD">
            <w:pPr>
              <w:spacing w:line="360" w:lineRule="auto"/>
              <w:rPr>
                <w:rFonts w:ascii="宋体" w:hAnsi="宋体" w:cs="宋体"/>
                <w:kern w:val="0"/>
                <w:sz w:val="24"/>
              </w:rPr>
            </w:pPr>
            <w:r>
              <w:rPr>
                <w:rFonts w:hint="eastAsia" w:ascii="宋体" w:hAnsi="宋体" w:cs="宋体"/>
                <w:kern w:val="0"/>
                <w:sz w:val="24"/>
              </w:rPr>
              <w:t>备注：1）为了促进中小企业发展，根据《中华人民共和国政府采购法实施条例》第六条和《国务院关于印发扎实稳住经济一揽子政策措施的通知》（国发[2022]12号）规定，给予小型或微型企业价格10%-20%的扣除，用扣除后的价格参与评审。中小企业划型标准见《关于印发中小企业划型标规定的通知》（工信部联企业[2011]300号）。</w:t>
            </w:r>
          </w:p>
          <w:p w14:paraId="0F66DECF">
            <w:pPr>
              <w:spacing w:line="360" w:lineRule="auto"/>
              <w:rPr>
                <w:rFonts w:ascii="宋体" w:hAnsi="宋体" w:cs="宋体"/>
                <w:kern w:val="0"/>
                <w:sz w:val="24"/>
              </w:rPr>
            </w:pPr>
            <w:r>
              <w:rPr>
                <w:rFonts w:hint="eastAsia" w:ascii="宋体" w:hAnsi="宋体" w:cs="宋体"/>
                <w:kern w:val="0"/>
                <w:sz w:val="24"/>
              </w:rPr>
              <w:t>2）投标人若为小微企业，须自行提供中小微企业声明函及政府相关部门出具的证明材料或小微企业名录查询截图，并对其真实性负责</w:t>
            </w:r>
            <w:r>
              <w:rPr>
                <w:rFonts w:hint="eastAsia" w:ascii="宋体" w:hAnsi="宋体" w:cs="宋体"/>
                <w:kern w:val="0"/>
                <w:sz w:val="24"/>
                <w:lang w:eastAsia="zh-CN"/>
              </w:rPr>
              <w:t>。</w:t>
            </w:r>
            <w:r>
              <w:rPr>
                <w:rFonts w:hint="eastAsia" w:ascii="宋体" w:hAnsi="宋体" w:cs="宋体"/>
                <w:kern w:val="0"/>
                <w:sz w:val="24"/>
              </w:rPr>
              <w:t>没有提供有效证明材料的投标人将被视为不接受投标总价的扣除，用原投标总价参与评审。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BA8A6CE">
            <w:pPr>
              <w:spacing w:line="360" w:lineRule="auto"/>
              <w:rPr>
                <w:rFonts w:ascii="宋体" w:hAnsi="宋体" w:cs="宋体"/>
                <w:color w:val="000000"/>
                <w:sz w:val="24"/>
              </w:rPr>
            </w:pPr>
            <w:r>
              <w:rPr>
                <w:rFonts w:hint="eastAsia" w:ascii="宋体" w:hAnsi="宋体" w:cs="宋体"/>
                <w:color w:val="000000"/>
                <w:sz w:val="24"/>
              </w:rPr>
              <w:t>30分</w:t>
            </w:r>
          </w:p>
        </w:tc>
      </w:tr>
      <w:tr w14:paraId="6ABC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5" w:type="dxa"/>
            <w:gridSpan w:val="3"/>
            <w:tcBorders>
              <w:top w:val="single" w:color="auto" w:sz="4" w:space="0"/>
              <w:left w:val="single" w:color="auto" w:sz="4" w:space="0"/>
              <w:bottom w:val="single" w:color="auto" w:sz="4" w:space="0"/>
              <w:right w:val="single" w:color="auto" w:sz="4" w:space="0"/>
            </w:tcBorders>
            <w:noWrap w:val="0"/>
            <w:vAlign w:val="center"/>
          </w:tcPr>
          <w:p w14:paraId="370B9B10">
            <w:pPr>
              <w:spacing w:line="360" w:lineRule="auto"/>
              <w:rPr>
                <w:rFonts w:ascii="宋体" w:hAnsi="宋体" w:cs="宋体"/>
                <w:b/>
                <w:color w:val="000000"/>
                <w:sz w:val="24"/>
              </w:rPr>
            </w:pPr>
            <w:r>
              <w:rPr>
                <w:rFonts w:hint="eastAsia" w:ascii="宋体" w:hAnsi="宋体" w:cs="宋体"/>
                <w:b/>
                <w:color w:val="000000"/>
                <w:sz w:val="24"/>
              </w:rPr>
              <w:t>二、技术部分（</w:t>
            </w:r>
            <w:r>
              <w:rPr>
                <w:rFonts w:hint="eastAsia" w:ascii="宋体" w:hAnsi="宋体" w:cs="宋体"/>
                <w:b/>
                <w:color w:val="000000"/>
                <w:sz w:val="24"/>
                <w:lang w:val="en-US" w:eastAsia="zh-CN"/>
              </w:rPr>
              <w:t>35</w:t>
            </w:r>
            <w:r>
              <w:rPr>
                <w:rFonts w:hint="eastAsia" w:ascii="宋体" w:hAnsi="宋体" w:cs="宋体"/>
                <w:b/>
                <w:color w:val="000000"/>
                <w:sz w:val="24"/>
              </w:rPr>
              <w:t>分）</w:t>
            </w:r>
          </w:p>
        </w:tc>
      </w:tr>
      <w:tr w14:paraId="6BFB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tcBorders>
              <w:top w:val="single" w:color="auto" w:sz="4" w:space="0"/>
              <w:left w:val="single" w:color="auto" w:sz="4" w:space="0"/>
              <w:right w:val="single" w:color="auto" w:sz="4" w:space="0"/>
            </w:tcBorders>
            <w:noWrap w:val="0"/>
            <w:vAlign w:val="center"/>
          </w:tcPr>
          <w:p w14:paraId="4427B72E">
            <w:pPr>
              <w:spacing w:line="360" w:lineRule="auto"/>
              <w:jc w:val="center"/>
              <w:rPr>
                <w:sz w:val="20"/>
                <w:szCs w:val="20"/>
              </w:rPr>
            </w:pPr>
            <w:r>
              <w:rPr>
                <w:rFonts w:hint="eastAsia" w:ascii="宋体" w:hAnsi="宋体"/>
                <w:bCs/>
                <w:sz w:val="24"/>
              </w:rPr>
              <w:t>产品参数</w:t>
            </w:r>
          </w:p>
        </w:tc>
        <w:tc>
          <w:tcPr>
            <w:tcW w:w="7059" w:type="dxa"/>
            <w:tcBorders>
              <w:top w:val="single" w:color="auto" w:sz="4" w:space="0"/>
              <w:left w:val="single" w:color="auto" w:sz="4" w:space="0"/>
              <w:bottom w:val="single" w:color="auto" w:sz="4" w:space="0"/>
              <w:right w:val="single" w:color="auto" w:sz="4" w:space="0"/>
            </w:tcBorders>
            <w:noWrap w:val="0"/>
            <w:vAlign w:val="center"/>
          </w:tcPr>
          <w:p w14:paraId="62ACDF64">
            <w:pPr>
              <w:spacing w:line="360" w:lineRule="auto"/>
              <w:rPr>
                <w:rFonts w:ascii="宋体" w:hAnsi="宋体"/>
                <w:bCs/>
                <w:sz w:val="24"/>
              </w:rPr>
            </w:pPr>
            <w:r>
              <w:rPr>
                <w:rFonts w:hint="eastAsia" w:ascii="宋体" w:hAnsi="宋体" w:eastAsia="宋体" w:cs="Times New Roman"/>
                <w:bCs/>
                <w:sz w:val="24"/>
                <w:lang w:val="en-US" w:eastAsia="zh-CN"/>
              </w:rPr>
              <w:t>投标文件中描述的投标产品技术指标、功能及其他参数都完全满足招标文件要求得35分；投标货物的技术指标或功能每有一条技术指标或功能不满足扣1分；加“★”技术功能每有一条技术指标或功能不满足扣5分，扣完为止。 注：技术参数中要求提供的证明材料（检测机构出具的检测报告或其他证明材料），未提供的按不满足扣分。</w:t>
            </w:r>
          </w:p>
        </w:tc>
        <w:tc>
          <w:tcPr>
            <w:tcW w:w="819" w:type="dxa"/>
            <w:tcBorders>
              <w:top w:val="single" w:color="auto" w:sz="4" w:space="0"/>
              <w:left w:val="single" w:color="auto" w:sz="4" w:space="0"/>
              <w:right w:val="single" w:color="auto" w:sz="4" w:space="0"/>
            </w:tcBorders>
            <w:noWrap w:val="0"/>
            <w:vAlign w:val="center"/>
          </w:tcPr>
          <w:p w14:paraId="64AAE0D6">
            <w:pPr>
              <w:spacing w:line="360" w:lineRule="auto"/>
              <w:rPr>
                <w:rFonts w:ascii="宋体" w:hAnsi="宋体"/>
                <w:bCs/>
                <w:sz w:val="24"/>
              </w:rPr>
            </w:pPr>
          </w:p>
          <w:p w14:paraId="70E4EA64">
            <w:pPr>
              <w:spacing w:line="360" w:lineRule="auto"/>
              <w:jc w:val="center"/>
              <w:rPr>
                <w:rFonts w:ascii="宋体" w:hAnsi="宋体"/>
                <w:bCs/>
                <w:sz w:val="24"/>
              </w:rPr>
            </w:pPr>
            <w:r>
              <w:rPr>
                <w:rFonts w:hint="eastAsia" w:ascii="宋体" w:hAnsi="宋体"/>
                <w:bCs/>
                <w:sz w:val="24"/>
                <w:lang w:val="en-US" w:eastAsia="zh-CN"/>
              </w:rPr>
              <w:t>35</w:t>
            </w:r>
            <w:r>
              <w:rPr>
                <w:rFonts w:hint="eastAsia" w:ascii="宋体" w:hAnsi="宋体"/>
                <w:bCs/>
                <w:sz w:val="24"/>
              </w:rPr>
              <w:t>分</w:t>
            </w:r>
          </w:p>
        </w:tc>
      </w:tr>
      <w:tr w14:paraId="7954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5" w:type="dxa"/>
            <w:gridSpan w:val="3"/>
            <w:tcBorders>
              <w:top w:val="single" w:color="auto" w:sz="4" w:space="0"/>
              <w:left w:val="single" w:color="auto" w:sz="4" w:space="0"/>
              <w:bottom w:val="single" w:color="auto" w:sz="4" w:space="0"/>
              <w:right w:val="single" w:color="auto" w:sz="4" w:space="0"/>
            </w:tcBorders>
            <w:noWrap w:val="0"/>
            <w:vAlign w:val="center"/>
          </w:tcPr>
          <w:p w14:paraId="7C5EA881">
            <w:pPr>
              <w:spacing w:line="360" w:lineRule="auto"/>
              <w:rPr>
                <w:rFonts w:ascii="宋体" w:hAnsi="宋体" w:cs="宋体"/>
                <w:b/>
                <w:color w:val="000000"/>
                <w:sz w:val="24"/>
              </w:rPr>
            </w:pPr>
            <w:r>
              <w:rPr>
                <w:rFonts w:hint="eastAsia" w:ascii="宋体" w:hAnsi="宋体" w:cs="宋体"/>
                <w:b/>
                <w:color w:val="000000"/>
                <w:sz w:val="24"/>
              </w:rPr>
              <w:t>三、商务部分（3</w:t>
            </w:r>
            <w:r>
              <w:rPr>
                <w:rFonts w:hint="eastAsia" w:ascii="宋体" w:hAnsi="宋体" w:cs="宋体"/>
                <w:b/>
                <w:color w:val="000000"/>
                <w:sz w:val="24"/>
                <w:lang w:val="en-US" w:eastAsia="zh-CN"/>
              </w:rPr>
              <w:t>0</w:t>
            </w:r>
            <w:r>
              <w:rPr>
                <w:rFonts w:hint="eastAsia" w:ascii="宋体" w:hAnsi="宋体" w:cs="宋体"/>
                <w:b/>
                <w:color w:val="000000"/>
                <w:sz w:val="24"/>
              </w:rPr>
              <w:t>分）</w:t>
            </w:r>
          </w:p>
        </w:tc>
      </w:tr>
      <w:tr w14:paraId="7E09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tcBorders>
              <w:left w:val="single" w:color="auto" w:sz="4" w:space="0"/>
              <w:right w:val="single" w:color="auto" w:sz="4" w:space="0"/>
            </w:tcBorders>
            <w:noWrap w:val="0"/>
            <w:vAlign w:val="center"/>
          </w:tcPr>
          <w:p w14:paraId="799F9A76">
            <w:pPr>
              <w:snapToGrid w:val="0"/>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商务部分</w:t>
            </w:r>
          </w:p>
        </w:tc>
        <w:tc>
          <w:tcPr>
            <w:tcW w:w="7059" w:type="dxa"/>
            <w:tcBorders>
              <w:left w:val="single" w:color="auto" w:sz="4" w:space="0"/>
              <w:right w:val="single" w:color="auto" w:sz="4" w:space="0"/>
            </w:tcBorders>
            <w:noWrap w:val="0"/>
            <w:vAlign w:val="center"/>
          </w:tcPr>
          <w:p w14:paraId="0DA58D70">
            <w:pPr>
              <w:bidi w:val="0"/>
              <w:spacing w:line="360" w:lineRule="auto"/>
              <w:rPr>
                <w:rFonts w:hint="eastAsia"/>
                <w:color w:val="auto"/>
                <w:sz w:val="24"/>
                <w:szCs w:val="24"/>
              </w:rPr>
            </w:pPr>
            <w:r>
              <w:rPr>
                <w:rFonts w:hint="eastAsia"/>
                <w:color w:val="auto"/>
                <w:sz w:val="24"/>
                <w:szCs w:val="24"/>
                <w:lang w:val="en-US" w:eastAsia="zh-CN"/>
              </w:rPr>
              <w:t>1、</w:t>
            </w:r>
            <w:r>
              <w:rPr>
                <w:rFonts w:hint="eastAsia"/>
                <w:color w:val="auto"/>
                <w:sz w:val="24"/>
                <w:szCs w:val="24"/>
              </w:rPr>
              <w:t>投标人</w:t>
            </w:r>
            <w:r>
              <w:rPr>
                <w:color w:val="auto"/>
                <w:sz w:val="24"/>
                <w:szCs w:val="24"/>
              </w:rPr>
              <w:t>20</w:t>
            </w:r>
            <w:r>
              <w:rPr>
                <w:rFonts w:hint="eastAsia"/>
                <w:color w:val="auto"/>
                <w:sz w:val="24"/>
                <w:szCs w:val="24"/>
                <w:lang w:val="en-US" w:eastAsia="zh-CN"/>
              </w:rPr>
              <w:t>21</w:t>
            </w:r>
            <w:r>
              <w:rPr>
                <w:color w:val="auto"/>
                <w:sz w:val="24"/>
                <w:szCs w:val="24"/>
              </w:rPr>
              <w:t>年</w:t>
            </w:r>
            <w:r>
              <w:rPr>
                <w:rFonts w:hint="eastAsia"/>
                <w:color w:val="auto"/>
                <w:sz w:val="24"/>
                <w:szCs w:val="24"/>
              </w:rPr>
              <w:t>1月1日以来承担过采购内容类似项目的，每个得1分，最多得</w:t>
            </w:r>
            <w:r>
              <w:rPr>
                <w:rFonts w:hint="eastAsia"/>
                <w:color w:val="auto"/>
                <w:sz w:val="24"/>
                <w:szCs w:val="24"/>
                <w:lang w:val="en-US" w:eastAsia="zh-CN"/>
              </w:rPr>
              <w:t>2</w:t>
            </w:r>
            <w:r>
              <w:rPr>
                <w:rFonts w:hint="eastAsia"/>
                <w:color w:val="auto"/>
                <w:sz w:val="24"/>
                <w:szCs w:val="24"/>
              </w:rPr>
              <w:t>分（提供中标通知书和供货合同，合同至少须体现合同签订时间、金额、货物清单等）</w:t>
            </w:r>
          </w:p>
          <w:p w14:paraId="205E4821">
            <w:pPr>
              <w:bidi w:val="0"/>
              <w:spacing w:line="360" w:lineRule="auto"/>
              <w:rPr>
                <w:rFonts w:hint="eastAsia"/>
                <w:color w:val="auto"/>
                <w:sz w:val="24"/>
                <w:szCs w:val="24"/>
              </w:rPr>
            </w:pPr>
            <w:r>
              <w:rPr>
                <w:rFonts w:hint="eastAsia"/>
                <w:color w:val="auto"/>
                <w:sz w:val="24"/>
                <w:szCs w:val="24"/>
                <w:lang w:val="en-US" w:eastAsia="zh-CN"/>
              </w:rPr>
              <w:t>2</w:t>
            </w:r>
            <w:r>
              <w:rPr>
                <w:rFonts w:hint="eastAsia"/>
                <w:color w:val="auto"/>
                <w:sz w:val="24"/>
                <w:szCs w:val="24"/>
              </w:rPr>
              <w:t>、为保证设备兼容性，所投</w:t>
            </w:r>
            <w:r>
              <w:rPr>
                <w:rFonts w:hint="eastAsia"/>
                <w:color w:val="auto"/>
                <w:sz w:val="24"/>
                <w:szCs w:val="24"/>
                <w:lang w:val="en-US" w:eastAsia="zh-CN"/>
              </w:rPr>
              <w:t>触控一体机、智慧黑板</w:t>
            </w:r>
            <w:r>
              <w:rPr>
                <w:rFonts w:hint="eastAsia"/>
                <w:color w:val="auto"/>
                <w:sz w:val="24"/>
                <w:szCs w:val="24"/>
              </w:rPr>
              <w:t>整机必须通过3C认证，且</w:t>
            </w:r>
            <w:r>
              <w:rPr>
                <w:rFonts w:hint="eastAsia"/>
                <w:color w:val="auto"/>
                <w:sz w:val="24"/>
                <w:szCs w:val="24"/>
                <w:lang w:val="en-US" w:eastAsia="zh-CN"/>
              </w:rPr>
              <w:t>交互平板、智慧黑板</w:t>
            </w:r>
            <w:r>
              <w:rPr>
                <w:rFonts w:hint="eastAsia"/>
                <w:color w:val="auto"/>
                <w:sz w:val="24"/>
                <w:szCs w:val="24"/>
              </w:rPr>
              <w:t>3C证书的制造商、生产厂为同一企业的，提供相关证书复印件加盖生产厂商公章的得</w:t>
            </w:r>
            <w:r>
              <w:rPr>
                <w:rFonts w:hint="eastAsia"/>
                <w:color w:val="auto"/>
                <w:sz w:val="24"/>
                <w:szCs w:val="24"/>
                <w:lang w:val="en-US" w:eastAsia="zh-CN"/>
              </w:rPr>
              <w:t>4</w:t>
            </w:r>
            <w:r>
              <w:rPr>
                <w:rFonts w:hint="eastAsia"/>
                <w:color w:val="auto"/>
                <w:sz w:val="24"/>
                <w:szCs w:val="24"/>
              </w:rPr>
              <w:t>分，否则不得分。（提供相关证书复印件加盖制造厂家公章）</w:t>
            </w:r>
          </w:p>
          <w:p w14:paraId="0A5905F2">
            <w:pPr>
              <w:bidi w:val="0"/>
              <w:spacing w:line="360" w:lineRule="auto"/>
              <w:rPr>
                <w:rFonts w:hint="eastAsia"/>
                <w:color w:val="auto"/>
                <w:sz w:val="24"/>
                <w:szCs w:val="24"/>
              </w:rPr>
            </w:pPr>
            <w:r>
              <w:rPr>
                <w:rFonts w:hint="eastAsia"/>
                <w:color w:val="auto"/>
                <w:sz w:val="24"/>
                <w:szCs w:val="24"/>
                <w:lang w:val="en-US" w:eastAsia="zh-CN"/>
              </w:rPr>
              <w:t>3、为保障所投触控一体机、智慧黑板手势触控性能后期的稳定性，所投交互平板、智慧黑板需满足国家标准GB/T 38665.2-2020，所投交互平板、智慧黑板的生产企业参与《手势交互系统通用技术要求规范》相关国家标准编制建设的得4分，提供相关证明材料复印件加盖厂家公章（提供相关证明文件复印件加盖制造厂家公章）；</w:t>
            </w:r>
          </w:p>
          <w:p w14:paraId="191A2A15">
            <w:pPr>
              <w:widowControl/>
              <w:spacing w:beforeLines="0" w:line="360" w:lineRule="auto"/>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w:t>
            </w:r>
            <w:r>
              <w:rPr>
                <w:rFonts w:hint="eastAsia" w:asciiTheme="minorEastAsia" w:hAnsiTheme="minorEastAsia" w:eastAsiaTheme="minorEastAsia"/>
                <w:color w:val="auto"/>
                <w:kern w:val="0"/>
                <w:sz w:val="24"/>
                <w:szCs w:val="24"/>
                <w:highlight w:val="none"/>
              </w:rPr>
              <w:t>所投</w:t>
            </w:r>
            <w:r>
              <w:rPr>
                <w:rFonts w:hint="eastAsia"/>
                <w:color w:val="auto"/>
                <w:sz w:val="24"/>
                <w:szCs w:val="24"/>
                <w:lang w:val="en-US" w:eastAsia="zh-CN"/>
              </w:rPr>
              <w:t>触控一体机、智慧黑板</w:t>
            </w:r>
            <w:r>
              <w:rPr>
                <w:rFonts w:hint="eastAsia" w:asciiTheme="minorEastAsia" w:hAnsiTheme="minorEastAsia" w:eastAsiaTheme="minorEastAsia"/>
                <w:color w:val="auto"/>
                <w:kern w:val="0"/>
                <w:sz w:val="24"/>
                <w:szCs w:val="24"/>
                <w:highlight w:val="none"/>
              </w:rPr>
              <w:t>制造商入围2022年河南省教育装备创新成果名录的得</w:t>
            </w:r>
            <w:r>
              <w:rPr>
                <w:rFonts w:hint="eastAsia" w:asciiTheme="minorEastAsia" w:hAnsiTheme="minorEastAsia" w:eastAsiaTheme="minorEastAsia"/>
                <w:color w:val="auto"/>
                <w:kern w:val="0"/>
                <w:sz w:val="24"/>
                <w:szCs w:val="24"/>
                <w:highlight w:val="none"/>
                <w:lang w:val="en-US" w:eastAsia="zh-CN"/>
              </w:rPr>
              <w:t>2</w:t>
            </w:r>
            <w:r>
              <w:rPr>
                <w:rFonts w:hint="eastAsia" w:asciiTheme="minorEastAsia" w:hAnsiTheme="minorEastAsia" w:eastAsiaTheme="minorEastAsia"/>
                <w:color w:val="auto"/>
                <w:kern w:val="0"/>
                <w:sz w:val="24"/>
                <w:szCs w:val="24"/>
                <w:highlight w:val="none"/>
              </w:rPr>
              <w:t>分</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没有不得分。（提供相关证明文件复印件加盖制造厂家公章）；</w:t>
            </w:r>
          </w:p>
          <w:p w14:paraId="38A1A7A9">
            <w:pPr>
              <w:widowControl/>
              <w:spacing w:beforeLines="0" w:line="360" w:lineRule="auto"/>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5、所投</w:t>
            </w:r>
            <w:r>
              <w:rPr>
                <w:rFonts w:hint="eastAsia"/>
                <w:color w:val="auto"/>
                <w:sz w:val="24"/>
                <w:szCs w:val="24"/>
                <w:lang w:val="en-US" w:eastAsia="zh-CN"/>
              </w:rPr>
              <w:t>触控一体机、智慧黑板</w:t>
            </w:r>
            <w:r>
              <w:rPr>
                <w:rFonts w:hint="eastAsia" w:asciiTheme="minorEastAsia" w:hAnsiTheme="minorEastAsia" w:eastAsiaTheme="minorEastAsia"/>
                <w:color w:val="auto"/>
                <w:kern w:val="0"/>
                <w:sz w:val="24"/>
                <w:szCs w:val="24"/>
              </w:rPr>
              <w:t>制造商家符合 IECQ 有害物质过程管理程序和温室气体核查认证（低碳体系认证）相关要求，同时满足并提供证明文件复印件并加盖投标人公章的得2分。少项不得分。（提供相关证书复印件加盖制造厂家公章）</w:t>
            </w:r>
          </w:p>
          <w:p w14:paraId="259AC792">
            <w:pPr>
              <w:widowControl/>
              <w:spacing w:beforeLines="0" w:line="360" w:lineRule="auto"/>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6、为确保产品的实用性及先进性，所投</w:t>
            </w:r>
            <w:r>
              <w:rPr>
                <w:rFonts w:hint="eastAsia"/>
                <w:color w:val="auto"/>
                <w:sz w:val="24"/>
                <w:szCs w:val="24"/>
                <w:lang w:val="en-US" w:eastAsia="zh-CN"/>
              </w:rPr>
              <w:t>触控一体机、智慧黑板</w:t>
            </w:r>
            <w:r>
              <w:rPr>
                <w:rFonts w:hint="eastAsia" w:asciiTheme="minorEastAsia" w:hAnsiTheme="minorEastAsia" w:eastAsiaTheme="minorEastAsia"/>
                <w:color w:val="auto"/>
                <w:kern w:val="0"/>
                <w:sz w:val="24"/>
                <w:szCs w:val="24"/>
              </w:rPr>
              <w:t>制造商获得国家</w:t>
            </w:r>
            <w:r>
              <w:rPr>
                <w:rFonts w:hint="eastAsia" w:asciiTheme="minorEastAsia" w:hAnsiTheme="minorEastAsia" w:eastAsiaTheme="minorEastAsia"/>
                <w:color w:val="auto"/>
                <w:kern w:val="0"/>
                <w:sz w:val="24"/>
                <w:szCs w:val="24"/>
                <w:lang w:val="en-US" w:eastAsia="zh-CN"/>
              </w:rPr>
              <w:t>级</w:t>
            </w:r>
            <w:r>
              <w:rPr>
                <w:rFonts w:hint="eastAsia" w:asciiTheme="minorEastAsia" w:hAnsiTheme="minorEastAsia" w:eastAsiaTheme="minorEastAsia"/>
                <w:color w:val="auto"/>
                <w:kern w:val="0"/>
                <w:sz w:val="24"/>
                <w:szCs w:val="24"/>
              </w:rPr>
              <w:t>科学技术进步奖的得</w:t>
            </w:r>
            <w:r>
              <w:rPr>
                <w:rFonts w:hint="eastAsia" w:asciiTheme="minorEastAsia" w:hAnsiTheme="minorEastAsia" w:eastAsiaTheme="minorEastAsia"/>
                <w:color w:val="auto"/>
                <w:kern w:val="0"/>
                <w:sz w:val="24"/>
                <w:szCs w:val="24"/>
                <w:lang w:val="en-US" w:eastAsia="zh-CN"/>
              </w:rPr>
              <w:t>4</w:t>
            </w:r>
            <w:r>
              <w:rPr>
                <w:rFonts w:hint="eastAsia" w:asciiTheme="minorEastAsia" w:hAnsiTheme="minorEastAsia" w:eastAsiaTheme="minorEastAsia"/>
                <w:color w:val="auto"/>
                <w:kern w:val="0"/>
                <w:sz w:val="24"/>
                <w:szCs w:val="24"/>
              </w:rPr>
              <w:t>分，获得</w:t>
            </w:r>
            <w:r>
              <w:rPr>
                <w:rFonts w:hint="eastAsia" w:asciiTheme="minorEastAsia" w:hAnsiTheme="minorEastAsia" w:eastAsiaTheme="minorEastAsia"/>
                <w:color w:val="auto"/>
                <w:kern w:val="0"/>
                <w:sz w:val="24"/>
                <w:szCs w:val="24"/>
                <w:lang w:val="en-US" w:eastAsia="zh-CN"/>
              </w:rPr>
              <w:t>省级</w:t>
            </w:r>
            <w:r>
              <w:rPr>
                <w:rFonts w:hint="eastAsia" w:asciiTheme="minorEastAsia" w:hAnsiTheme="minorEastAsia" w:eastAsiaTheme="minorEastAsia"/>
                <w:color w:val="auto"/>
                <w:kern w:val="0"/>
                <w:sz w:val="24"/>
                <w:szCs w:val="24"/>
              </w:rPr>
              <w:t>科学技术进步奖的得</w:t>
            </w:r>
            <w:r>
              <w:rPr>
                <w:rFonts w:hint="eastAsia" w:asciiTheme="minorEastAsia" w:hAnsiTheme="minorEastAsia" w:eastAsiaTheme="minorEastAsia"/>
                <w:color w:val="auto"/>
                <w:kern w:val="0"/>
                <w:sz w:val="24"/>
                <w:szCs w:val="24"/>
                <w:lang w:val="en-US" w:eastAsia="zh-CN"/>
              </w:rPr>
              <w:t>2</w:t>
            </w:r>
            <w:r>
              <w:rPr>
                <w:rFonts w:hint="eastAsia" w:asciiTheme="minorEastAsia" w:hAnsiTheme="minorEastAsia" w:eastAsiaTheme="minorEastAsia"/>
                <w:color w:val="auto"/>
                <w:kern w:val="0"/>
                <w:sz w:val="24"/>
                <w:szCs w:val="24"/>
              </w:rPr>
              <w:t>分</w:t>
            </w:r>
            <w:r>
              <w:rPr>
                <w:rFonts w:hint="eastAsia" w:asciiTheme="minorEastAsia" w:hAnsiTheme="minorEastAsia" w:eastAsiaTheme="minorEastAsia"/>
                <w:color w:val="auto"/>
                <w:kern w:val="0"/>
                <w:sz w:val="24"/>
                <w:szCs w:val="24"/>
                <w:lang w:eastAsia="zh-CN"/>
              </w:rPr>
              <w:t>，</w:t>
            </w:r>
            <w:r>
              <w:rPr>
                <w:rFonts w:hint="eastAsia" w:asciiTheme="minorEastAsia" w:hAnsiTheme="minorEastAsia" w:eastAsiaTheme="minorEastAsia"/>
                <w:color w:val="auto"/>
                <w:kern w:val="0"/>
                <w:sz w:val="24"/>
                <w:szCs w:val="24"/>
              </w:rPr>
              <w:t>没有不得分。（提供相关证书复印件加盖制造厂家公章）</w:t>
            </w:r>
          </w:p>
          <w:p w14:paraId="280B9C45">
            <w:pPr>
              <w:widowControl/>
              <w:spacing w:beforeLines="0" w:line="360" w:lineRule="auto"/>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en-US" w:eastAsia="zh-CN"/>
              </w:rPr>
              <w:t>7</w:t>
            </w:r>
            <w:r>
              <w:rPr>
                <w:rFonts w:hint="eastAsia" w:asciiTheme="minorEastAsia" w:hAnsiTheme="minorEastAsia" w:eastAsiaTheme="minorEastAsia"/>
                <w:color w:val="auto"/>
                <w:kern w:val="0"/>
                <w:sz w:val="24"/>
                <w:szCs w:val="24"/>
              </w:rPr>
              <w:t>、所投</w:t>
            </w:r>
            <w:r>
              <w:rPr>
                <w:rFonts w:hint="eastAsia"/>
                <w:color w:val="auto"/>
                <w:sz w:val="24"/>
                <w:szCs w:val="24"/>
                <w:lang w:val="en-US" w:eastAsia="zh-CN"/>
              </w:rPr>
              <w:t>触控一体机、智慧黑板</w:t>
            </w:r>
            <w:r>
              <w:rPr>
                <w:rFonts w:hint="eastAsia" w:asciiTheme="minorEastAsia" w:hAnsiTheme="minorEastAsia" w:eastAsiaTheme="minorEastAsia"/>
                <w:color w:val="auto"/>
                <w:kern w:val="0"/>
                <w:sz w:val="24"/>
                <w:szCs w:val="24"/>
              </w:rPr>
              <w:t>制造商获得27017云服务信息安全管理体系认证证书的得</w:t>
            </w:r>
            <w:r>
              <w:rPr>
                <w:rFonts w:hint="eastAsia" w:asciiTheme="minorEastAsia" w:hAnsiTheme="minorEastAsia" w:eastAsiaTheme="minorEastAsia"/>
                <w:color w:val="auto"/>
                <w:kern w:val="0"/>
                <w:sz w:val="24"/>
                <w:szCs w:val="24"/>
                <w:lang w:val="en-US" w:eastAsia="zh-CN"/>
              </w:rPr>
              <w:t>4</w:t>
            </w:r>
            <w:r>
              <w:rPr>
                <w:rFonts w:hint="eastAsia" w:asciiTheme="minorEastAsia" w:hAnsiTheme="minorEastAsia" w:eastAsiaTheme="minorEastAsia"/>
                <w:color w:val="auto"/>
                <w:kern w:val="0"/>
                <w:sz w:val="24"/>
                <w:szCs w:val="24"/>
              </w:rPr>
              <w:t>分（提供相关证明文件复印件加盖制造厂家公章）</w:t>
            </w:r>
          </w:p>
          <w:p w14:paraId="2914DDF6">
            <w:pPr>
              <w:bidi w:val="0"/>
              <w:spacing w:line="360" w:lineRule="auto"/>
              <w:rPr>
                <w:sz w:val="24"/>
                <w:szCs w:val="24"/>
              </w:rPr>
            </w:pPr>
            <w:r>
              <w:rPr>
                <w:rFonts w:hint="eastAsia"/>
                <w:sz w:val="24"/>
                <w:szCs w:val="24"/>
                <w:lang w:val="en-US" w:eastAsia="zh-CN"/>
              </w:rPr>
              <w:t>8</w:t>
            </w:r>
            <w:r>
              <w:rPr>
                <w:rFonts w:hint="eastAsia"/>
                <w:sz w:val="24"/>
                <w:szCs w:val="24"/>
              </w:rPr>
              <w:t>、所投</w:t>
            </w:r>
            <w:r>
              <w:rPr>
                <w:rFonts w:hint="eastAsia"/>
                <w:color w:val="auto"/>
                <w:sz w:val="24"/>
                <w:szCs w:val="24"/>
                <w:lang w:val="en-US" w:eastAsia="zh-CN"/>
              </w:rPr>
              <w:t>触控一体机</w:t>
            </w:r>
            <w:r>
              <w:rPr>
                <w:rFonts w:hint="eastAsia"/>
                <w:sz w:val="24"/>
                <w:szCs w:val="24"/>
                <w:lang w:val="en-US" w:eastAsia="zh-CN"/>
              </w:rPr>
              <w:t>、智慧黑板</w:t>
            </w:r>
            <w:r>
              <w:rPr>
                <w:rFonts w:hint="eastAsia"/>
                <w:sz w:val="24"/>
                <w:szCs w:val="24"/>
              </w:rPr>
              <w:t>配套教育云平台软件获得信息系统安全等级保护三级或三级以上认证的得</w:t>
            </w:r>
            <w:r>
              <w:rPr>
                <w:rFonts w:hint="eastAsia"/>
                <w:sz w:val="24"/>
                <w:szCs w:val="24"/>
                <w:lang w:val="en-US" w:eastAsia="zh-CN"/>
              </w:rPr>
              <w:t>2</w:t>
            </w:r>
            <w:r>
              <w:rPr>
                <w:rFonts w:hint="eastAsia"/>
                <w:sz w:val="24"/>
                <w:szCs w:val="24"/>
              </w:rPr>
              <w:t>分，</w:t>
            </w:r>
            <w:r>
              <w:rPr>
                <w:rFonts w:hint="eastAsia"/>
                <w:sz w:val="24"/>
                <w:szCs w:val="24"/>
                <w:lang w:val="en-US" w:eastAsia="zh-CN"/>
              </w:rPr>
              <w:t>二级及以下的得1分，</w:t>
            </w:r>
            <w:r>
              <w:rPr>
                <w:rFonts w:hint="eastAsia"/>
                <w:sz w:val="24"/>
                <w:szCs w:val="24"/>
              </w:rPr>
              <w:t>没有不得分。（提供相关证明文件复印件加盖制造厂家公章）</w:t>
            </w:r>
          </w:p>
          <w:p w14:paraId="361F64F8">
            <w:pPr>
              <w:bidi w:val="0"/>
              <w:spacing w:line="360" w:lineRule="auto"/>
              <w:rPr>
                <w:rFonts w:hint="default"/>
                <w:sz w:val="24"/>
                <w:szCs w:val="24"/>
                <w:lang w:val="en-US" w:eastAsia="zh-CN"/>
              </w:rPr>
            </w:pPr>
            <w:r>
              <w:rPr>
                <w:rFonts w:hint="eastAsia"/>
                <w:sz w:val="24"/>
                <w:szCs w:val="24"/>
                <w:lang w:val="en-US" w:eastAsia="zh-CN"/>
              </w:rPr>
              <w:t>9、所投</w:t>
            </w:r>
            <w:r>
              <w:rPr>
                <w:rFonts w:hint="eastAsia"/>
                <w:color w:val="auto"/>
                <w:sz w:val="24"/>
                <w:szCs w:val="24"/>
                <w:lang w:val="en-US" w:eastAsia="zh-CN"/>
              </w:rPr>
              <w:t>触控一体机</w:t>
            </w:r>
            <w:r>
              <w:rPr>
                <w:rFonts w:hint="eastAsia"/>
                <w:sz w:val="24"/>
                <w:szCs w:val="24"/>
                <w:lang w:val="en-US" w:eastAsia="zh-CN"/>
              </w:rPr>
              <w:t>、智慧黑板生产制造厂家通过国家知识产权管理体系认证及信息技术服务管理体系认证的得2分。（提供相关证书复印件加盖制造厂家公章）</w:t>
            </w:r>
          </w:p>
          <w:p w14:paraId="4BEF9999">
            <w:pPr>
              <w:bidi w:val="0"/>
              <w:spacing w:line="360" w:lineRule="auto"/>
              <w:rPr>
                <w:rFonts w:ascii="宋体" w:hAnsi="宋体" w:cs="宋体"/>
              </w:rPr>
            </w:pPr>
            <w:r>
              <w:rPr>
                <w:rFonts w:hint="eastAsia"/>
                <w:sz w:val="24"/>
                <w:szCs w:val="24"/>
                <w:lang w:val="en-US" w:eastAsia="zh-CN"/>
              </w:rPr>
              <w:t>10、为确保产品高质量与产品工艺，所投</w:t>
            </w:r>
            <w:r>
              <w:rPr>
                <w:rFonts w:hint="eastAsia"/>
                <w:color w:val="auto"/>
                <w:sz w:val="24"/>
                <w:szCs w:val="24"/>
                <w:lang w:val="en-US" w:eastAsia="zh-CN"/>
              </w:rPr>
              <w:t>触控一体机</w:t>
            </w:r>
            <w:r>
              <w:rPr>
                <w:rFonts w:hint="eastAsia"/>
                <w:sz w:val="24"/>
                <w:szCs w:val="24"/>
                <w:lang w:val="en-US" w:eastAsia="zh-CN"/>
              </w:rPr>
              <w:t>、智慧黑板制造商须通过智能制造能力成熟度模型与智能制造能力成熟度评估方案，取得二级及以上得4分，一级得1分，没有不得分；（提供相关证明文件复印件加盖公章）</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35BD102">
            <w:pPr>
              <w:spacing w:line="360" w:lineRule="auto"/>
              <w:rPr>
                <w:rFonts w:hint="default" w:ascii="宋体" w:hAnsi="宋体" w:cs="宋体"/>
                <w:color w:val="000000"/>
                <w:sz w:val="24"/>
                <w:lang w:val="en-US"/>
              </w:rPr>
            </w:pPr>
            <w:r>
              <w:rPr>
                <w:rFonts w:hint="eastAsia" w:ascii="宋体" w:hAnsi="宋体" w:cs="宋体"/>
                <w:color w:val="000000"/>
                <w:sz w:val="24"/>
                <w:lang w:val="en-US" w:eastAsia="zh-CN"/>
              </w:rPr>
              <w:t>30分</w:t>
            </w:r>
          </w:p>
        </w:tc>
      </w:tr>
      <w:tr w14:paraId="7EDF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5" w:type="dxa"/>
            <w:gridSpan w:val="3"/>
            <w:tcBorders>
              <w:left w:val="single" w:color="auto" w:sz="4" w:space="0"/>
              <w:right w:val="single" w:color="auto" w:sz="4" w:space="0"/>
            </w:tcBorders>
            <w:noWrap w:val="0"/>
            <w:vAlign w:val="center"/>
          </w:tcPr>
          <w:p w14:paraId="24374F8B">
            <w:pPr>
              <w:spacing w:line="360" w:lineRule="auto"/>
              <w:rPr>
                <w:rFonts w:hint="eastAsia" w:ascii="宋体" w:hAnsi="宋体" w:cs="宋体"/>
                <w:color w:val="000000"/>
                <w:sz w:val="24"/>
                <w:lang w:val="en-US" w:eastAsia="zh-CN"/>
              </w:rPr>
            </w:pPr>
            <w:r>
              <w:rPr>
                <w:rFonts w:hint="eastAsia" w:ascii="宋体" w:hAnsi="宋体" w:cs="宋体"/>
                <w:b/>
                <w:color w:val="000000"/>
                <w:sz w:val="24"/>
                <w:lang w:val="en-US" w:eastAsia="zh-CN"/>
              </w:rPr>
              <w:t>四</w:t>
            </w:r>
            <w:r>
              <w:rPr>
                <w:rFonts w:hint="eastAsia" w:ascii="宋体" w:hAnsi="宋体" w:cs="宋体"/>
                <w:b/>
                <w:color w:val="000000"/>
                <w:sz w:val="24"/>
              </w:rPr>
              <w:t>、</w:t>
            </w:r>
            <w:r>
              <w:rPr>
                <w:rFonts w:hint="eastAsia" w:ascii="宋体" w:hAnsi="宋体" w:cs="宋体"/>
                <w:b/>
                <w:color w:val="000000"/>
                <w:sz w:val="24"/>
                <w:lang w:val="en-US" w:eastAsia="zh-CN"/>
              </w:rPr>
              <w:t>售后服务保障</w:t>
            </w:r>
            <w:r>
              <w:rPr>
                <w:rFonts w:hint="eastAsia" w:ascii="宋体" w:hAnsi="宋体" w:cs="宋体"/>
                <w:b/>
                <w:color w:val="000000"/>
                <w:sz w:val="24"/>
              </w:rPr>
              <w:t>（</w:t>
            </w:r>
            <w:r>
              <w:rPr>
                <w:rFonts w:hint="eastAsia" w:ascii="宋体" w:hAnsi="宋体" w:cs="宋体"/>
                <w:b/>
                <w:color w:val="000000"/>
                <w:sz w:val="24"/>
                <w:lang w:val="en-US" w:eastAsia="zh-CN"/>
              </w:rPr>
              <w:t>5</w:t>
            </w:r>
            <w:r>
              <w:rPr>
                <w:rFonts w:hint="eastAsia" w:ascii="宋体" w:hAnsi="宋体" w:cs="宋体"/>
                <w:b/>
                <w:color w:val="000000"/>
                <w:sz w:val="24"/>
              </w:rPr>
              <w:t>分）</w:t>
            </w:r>
          </w:p>
        </w:tc>
      </w:tr>
      <w:tr w14:paraId="5258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tcBorders>
              <w:left w:val="single" w:color="auto" w:sz="4" w:space="0"/>
              <w:right w:val="single" w:color="auto" w:sz="4" w:space="0"/>
            </w:tcBorders>
            <w:noWrap w:val="0"/>
            <w:vAlign w:val="center"/>
          </w:tcPr>
          <w:p w14:paraId="054336DC">
            <w:pPr>
              <w:snapToGri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售后服务保障</w:t>
            </w:r>
          </w:p>
        </w:tc>
        <w:tc>
          <w:tcPr>
            <w:tcW w:w="7059" w:type="dxa"/>
            <w:tcBorders>
              <w:left w:val="single" w:color="auto" w:sz="4" w:space="0"/>
              <w:right w:val="single" w:color="auto" w:sz="4" w:space="0"/>
            </w:tcBorders>
            <w:noWrap w:val="0"/>
            <w:vAlign w:val="top"/>
          </w:tcPr>
          <w:p w14:paraId="621B02CA">
            <w:pPr>
              <w:bidi w:val="0"/>
              <w:spacing w:line="360" w:lineRule="auto"/>
              <w:rPr>
                <w:sz w:val="24"/>
                <w:szCs w:val="24"/>
              </w:rPr>
            </w:pPr>
            <w:r>
              <w:rPr>
                <w:rFonts w:hint="eastAsia"/>
                <w:sz w:val="24"/>
                <w:szCs w:val="24"/>
              </w:rPr>
              <w:t>1、为保证售后服务质量和效率，所投</w:t>
            </w:r>
            <w:r>
              <w:rPr>
                <w:rFonts w:hint="eastAsia"/>
                <w:sz w:val="24"/>
                <w:szCs w:val="24"/>
                <w:lang w:val="en-US" w:eastAsia="zh-CN"/>
              </w:rPr>
              <w:t>交互平板、智慧黑板</w:t>
            </w:r>
            <w:r>
              <w:rPr>
                <w:rFonts w:hint="eastAsia"/>
                <w:sz w:val="24"/>
                <w:szCs w:val="24"/>
              </w:rPr>
              <w:t>生产厂商获得GB/T27922-2011《售后服务完善程度认证证书》规定的</w:t>
            </w:r>
            <w:r>
              <w:rPr>
                <w:rFonts w:hint="eastAsia"/>
                <w:sz w:val="24"/>
                <w:szCs w:val="24"/>
                <w:lang w:val="en-US" w:eastAsia="zh-CN"/>
              </w:rPr>
              <w:t>十</w:t>
            </w:r>
            <w:r>
              <w:rPr>
                <w:rFonts w:hint="eastAsia"/>
                <w:sz w:val="24"/>
                <w:szCs w:val="24"/>
              </w:rPr>
              <w:t>星级要求的证书复印件加盖公章的得</w:t>
            </w:r>
            <w:r>
              <w:rPr>
                <w:rFonts w:hint="eastAsia"/>
                <w:sz w:val="24"/>
                <w:szCs w:val="24"/>
                <w:lang w:val="en-US" w:eastAsia="zh-CN"/>
              </w:rPr>
              <w:t>2</w:t>
            </w:r>
            <w:r>
              <w:rPr>
                <w:rFonts w:hint="eastAsia"/>
                <w:sz w:val="24"/>
                <w:szCs w:val="24"/>
              </w:rPr>
              <w:t>分，五星级认证的得</w:t>
            </w:r>
            <w:r>
              <w:rPr>
                <w:rFonts w:hint="eastAsia"/>
                <w:sz w:val="24"/>
                <w:szCs w:val="24"/>
                <w:lang w:val="en-US" w:eastAsia="zh-CN"/>
              </w:rPr>
              <w:t>1</w:t>
            </w:r>
            <w:r>
              <w:rPr>
                <w:rFonts w:hint="eastAsia"/>
                <w:sz w:val="24"/>
                <w:szCs w:val="24"/>
              </w:rPr>
              <w:t>分，没有不得分。（提供相关证书复印件加盖制造厂家公章）</w:t>
            </w:r>
          </w:p>
          <w:p w14:paraId="04F9C8DB">
            <w:pPr>
              <w:bidi w:val="0"/>
              <w:spacing w:line="360" w:lineRule="auto"/>
              <w:rPr>
                <w:rFonts w:hint="eastAsia" w:ascii="宋体" w:hAnsi="宋体" w:eastAsia="宋体" w:cs="宋体"/>
                <w:color w:val="000000"/>
                <w:kern w:val="0"/>
                <w:lang w:val="en-US" w:eastAsia="zh-CN"/>
              </w:rPr>
            </w:pPr>
            <w:r>
              <w:rPr>
                <w:rFonts w:hint="eastAsia"/>
                <w:sz w:val="24"/>
                <w:szCs w:val="24"/>
                <w:lang w:val="en-US" w:eastAsia="zh-CN"/>
              </w:rPr>
              <w:t>2</w:t>
            </w:r>
            <w:r>
              <w:rPr>
                <w:rFonts w:hint="eastAsia"/>
                <w:sz w:val="24"/>
                <w:szCs w:val="24"/>
              </w:rPr>
              <w:t>、提供详细的售后服务承诺，包括响应时间、解决问题时间、及上门维修人员安排等得1-</w:t>
            </w:r>
            <w:r>
              <w:rPr>
                <w:rFonts w:hint="eastAsia"/>
                <w:sz w:val="24"/>
                <w:szCs w:val="24"/>
                <w:lang w:val="en-US" w:eastAsia="zh-CN"/>
              </w:rPr>
              <w:t>3</w:t>
            </w:r>
            <w:r>
              <w:rPr>
                <w:rFonts w:hint="eastAsia"/>
                <w:sz w:val="24"/>
                <w:szCs w:val="24"/>
              </w:rPr>
              <w:t>分。</w:t>
            </w:r>
          </w:p>
        </w:tc>
        <w:tc>
          <w:tcPr>
            <w:tcW w:w="819" w:type="dxa"/>
            <w:tcBorders>
              <w:top w:val="single" w:color="auto" w:sz="4" w:space="0"/>
              <w:left w:val="single" w:color="auto" w:sz="4" w:space="0"/>
              <w:right w:val="single" w:color="auto" w:sz="4" w:space="0"/>
            </w:tcBorders>
            <w:noWrap w:val="0"/>
            <w:vAlign w:val="center"/>
          </w:tcPr>
          <w:p w14:paraId="2A33C4F1">
            <w:pPr>
              <w:spacing w:line="360" w:lineRule="auto"/>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分</w:t>
            </w:r>
          </w:p>
        </w:tc>
      </w:tr>
      <w:tr w14:paraId="2DC2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5" w:type="dxa"/>
            <w:gridSpan w:val="3"/>
            <w:tcBorders>
              <w:left w:val="single" w:color="auto" w:sz="4" w:space="0"/>
              <w:right w:val="single" w:color="auto" w:sz="4" w:space="0"/>
            </w:tcBorders>
            <w:noWrap w:val="0"/>
            <w:vAlign w:val="top"/>
          </w:tcPr>
          <w:p w14:paraId="42163A3B">
            <w:pPr>
              <w:spacing w:line="360" w:lineRule="auto"/>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注：</w:t>
            </w:r>
          </w:p>
          <w:p w14:paraId="455867E9">
            <w:pPr>
              <w:spacing w:line="360" w:lineRule="auto"/>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投标人须提供制造商针对本项目的授权委托书及售后服务承诺函，且</w:t>
            </w:r>
            <w:r>
              <w:rPr>
                <w:rFonts w:hint="eastAsia" w:asciiTheme="minorEastAsia" w:hAnsiTheme="minorEastAsia" w:eastAsiaTheme="minorEastAsia"/>
                <w:color w:val="000000" w:themeColor="text1"/>
                <w:kern w:val="0"/>
                <w:sz w:val="24"/>
                <w:szCs w:val="24"/>
                <w14:textFill>
                  <w14:solidFill>
                    <w14:schemeClr w14:val="tx1"/>
                  </w14:solidFill>
                </w14:textFill>
              </w:rPr>
              <w:t>以上要求提供的材料</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，制造商及</w:t>
            </w:r>
            <w:r>
              <w:rPr>
                <w:rFonts w:hint="eastAsia" w:asciiTheme="minorEastAsia" w:hAnsiTheme="minorEastAsia" w:eastAsiaTheme="minorEastAsia"/>
                <w:color w:val="000000" w:themeColor="text1"/>
                <w:kern w:val="0"/>
                <w:sz w:val="24"/>
                <w:szCs w:val="24"/>
                <w14:textFill>
                  <w14:solidFill>
                    <w14:schemeClr w14:val="tx1"/>
                  </w14:solidFill>
                </w14:textFill>
              </w:rPr>
              <w:t>投标人对其真实性合法性负责，并承担由此产生的后果。</w:t>
            </w:r>
          </w:p>
          <w:p w14:paraId="1332DCE3">
            <w:pPr>
              <w:spacing w:line="360" w:lineRule="auto"/>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评标委员会根据采购文件、响应文件，按照评分办法评判分值，得出每个评委的评标分数。所有评标委员会打分之和的算术平均值，即为该供应商的最终得分。计分过程按四舍五入取至小数点后三位，最终得分取至小数点后两位。 </w:t>
            </w:r>
          </w:p>
          <w:p w14:paraId="3B37D382">
            <w:pPr>
              <w:spacing w:line="360" w:lineRule="auto"/>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在评标过程中，凡遇到采购文件中无界定或界定不清、前后不一致使评审小组成员意见有分歧且又难以协商一致的问题，均由评审小组予以表决，获半数以上同意的即为通过，未获半数同意的即为否决。 </w:t>
            </w:r>
          </w:p>
          <w:p w14:paraId="6B1AC305">
            <w:pPr>
              <w:spacing w:line="360" w:lineRule="auto"/>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 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 </w:t>
            </w:r>
          </w:p>
          <w:p w14:paraId="030D79E6">
            <w:pPr>
              <w:spacing w:line="360" w:lineRule="auto"/>
              <w:rPr>
                <w:rFonts w:hint="eastAsi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tc>
      </w:tr>
    </w:tbl>
    <w:p w14:paraId="6FF40936">
      <w:pPr>
        <w:numPr>
          <w:ilvl w:val="0"/>
          <w:numId w:val="0"/>
        </w:numPr>
        <w:rPr>
          <w:rFonts w:hint="default"/>
          <w:lang w:val="en-US" w:eastAsia="zh-CN"/>
        </w:rPr>
      </w:pPr>
    </w:p>
    <w:p w14:paraId="44C08C63">
      <w:pPr>
        <w:pStyle w:val="2"/>
        <w:rPr>
          <w:rFonts w:ascii="黑体" w:hAnsi="黑体" w:eastAsia="黑体"/>
          <w:color w:val="000000"/>
          <w:sz w:val="36"/>
          <w:szCs w:val="36"/>
        </w:rPr>
      </w:pPr>
      <w:r>
        <w:rPr>
          <w:rFonts w:hint="eastAsia" w:ascii="黑体" w:hAnsi="黑体" w:eastAsia="黑体"/>
          <w:bCs/>
          <w:color w:val="000000"/>
          <w:sz w:val="36"/>
          <w:szCs w:val="36"/>
        </w:rPr>
        <w:t>第</w:t>
      </w:r>
      <w:r>
        <w:rPr>
          <w:rFonts w:hint="eastAsia" w:ascii="黑体" w:hAnsi="黑体" w:eastAsia="黑体"/>
          <w:color w:val="000000"/>
          <w:sz w:val="36"/>
          <w:szCs w:val="36"/>
        </w:rPr>
        <w:t>五章 合同文本格式</w:t>
      </w:r>
      <w:bookmarkEnd w:id="61"/>
      <w:bookmarkEnd w:id="62"/>
      <w:bookmarkEnd w:id="63"/>
      <w:bookmarkEnd w:id="64"/>
      <w:bookmarkEnd w:id="65"/>
      <w:bookmarkEnd w:id="66"/>
      <w:bookmarkEnd w:id="67"/>
      <w:bookmarkEnd w:id="68"/>
      <w:bookmarkEnd w:id="69"/>
    </w:p>
    <w:p w14:paraId="088598D6">
      <w:pPr>
        <w:jc w:val="center"/>
        <w:rPr>
          <w:rFonts w:ascii="宋体" w:hAnsi="宋体"/>
          <w:b/>
          <w:color w:val="000000"/>
          <w:sz w:val="32"/>
          <w:szCs w:val="32"/>
        </w:rPr>
      </w:pPr>
      <w:r>
        <w:rPr>
          <w:rFonts w:hint="eastAsia" w:ascii="宋体" w:hAnsi="宋体"/>
          <w:b/>
          <w:color w:val="000000"/>
          <w:sz w:val="32"/>
          <w:szCs w:val="32"/>
        </w:rPr>
        <w:t>（仅做参考）</w:t>
      </w:r>
    </w:p>
    <w:p w14:paraId="0F6595A4">
      <w:pPr>
        <w:widowControl/>
        <w:spacing w:line="520" w:lineRule="atLeast"/>
        <w:ind w:firstLine="480"/>
        <w:jc w:val="center"/>
        <w:rPr>
          <w:rFonts w:ascii="宋体" w:hAnsi="宋体" w:cs="宋体"/>
          <w:color w:val="000000"/>
          <w:kern w:val="0"/>
          <w:sz w:val="24"/>
        </w:rPr>
      </w:pPr>
      <w:bookmarkStart w:id="70" w:name="_Toc27356"/>
      <w:bookmarkStart w:id="71" w:name="_Toc14753"/>
      <w:bookmarkStart w:id="72" w:name="_Toc4343"/>
      <w:bookmarkStart w:id="73" w:name="_Toc99007055"/>
      <w:bookmarkStart w:id="74" w:name="_Toc18857"/>
      <w:bookmarkStart w:id="75" w:name="_Toc57277892"/>
      <w:bookmarkStart w:id="76" w:name="_Toc21580"/>
      <w:bookmarkStart w:id="77" w:name="_Toc516499663"/>
      <w:bookmarkStart w:id="78" w:name="_Toc13778"/>
      <w:r>
        <w:rPr>
          <w:rFonts w:hint="eastAsia" w:ascii="宋体" w:hAnsi="宋体" w:cs="宋体"/>
          <w:b/>
          <w:bCs/>
          <w:color w:val="000000"/>
          <w:kern w:val="0"/>
          <w:sz w:val="24"/>
        </w:rPr>
        <w:t>（</w:t>
      </w:r>
      <w:r>
        <w:rPr>
          <w:rFonts w:hint="eastAsia" w:ascii="宋体" w:hAnsi="宋体" w:cs="宋体"/>
          <w:color w:val="000000"/>
          <w:kern w:val="0"/>
          <w:sz w:val="24"/>
        </w:rPr>
        <w:t>招标人可根据招标项目的实际情况增减条款和内容</w:t>
      </w:r>
      <w:r>
        <w:rPr>
          <w:rFonts w:hint="eastAsia" w:ascii="宋体" w:hAnsi="宋体" w:cs="宋体"/>
          <w:b/>
          <w:bCs/>
          <w:color w:val="000000"/>
          <w:kern w:val="0"/>
          <w:sz w:val="24"/>
        </w:rPr>
        <w:t>）</w:t>
      </w:r>
    </w:p>
    <w:p w14:paraId="141BC710">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项目名称：                          </w:t>
      </w:r>
    </w:p>
    <w:p w14:paraId="2FDEBF36">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甲方：（招标人）</w:t>
      </w:r>
    </w:p>
    <w:p w14:paraId="71E78697">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乙方：（中标投标人）</w:t>
      </w:r>
    </w:p>
    <w:p w14:paraId="4134D6B9">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甲、乙双方根据《中华人民共和国采购法》、《中华人民共和国民法典》等法律法规的规定，按照</w:t>
      </w:r>
      <w:r>
        <w:rPr>
          <w:rFonts w:hint="eastAsia" w:ascii="宋体" w:hAnsi="宋体" w:cs="宋体"/>
          <w:color w:val="000000"/>
          <w:kern w:val="0"/>
          <w:sz w:val="24"/>
          <w:u w:val="single"/>
        </w:rPr>
        <w:t xml:space="preserve">            （</w:t>
      </w:r>
      <w:r>
        <w:rPr>
          <w:rFonts w:hint="eastAsia" w:ascii="宋体" w:hAnsi="宋体" w:cs="宋体"/>
          <w:color w:val="000000"/>
          <w:kern w:val="0"/>
          <w:sz w:val="24"/>
        </w:rPr>
        <w:t>项目名称）的中标结果签订本合同。</w:t>
      </w:r>
    </w:p>
    <w:p w14:paraId="3B5001F1">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1.合同内容</w:t>
      </w:r>
    </w:p>
    <w:p w14:paraId="1A7E3530">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 项目名称：</w:t>
      </w:r>
    </w:p>
    <w:p w14:paraId="4478DDD7">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 型号规格：</w:t>
      </w:r>
    </w:p>
    <w:p w14:paraId="023B6A05">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 技术参数：</w:t>
      </w:r>
    </w:p>
    <w:p w14:paraId="268B2E6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1.4 数量（单位）：</w:t>
      </w:r>
    </w:p>
    <w:p w14:paraId="49FFB584">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2.合同金额</w:t>
      </w:r>
    </w:p>
    <w:p w14:paraId="2E5EB3AC">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本合同金额为人民币（大写）：_________（¥________元）。</w:t>
      </w:r>
    </w:p>
    <w:p w14:paraId="0C6C4B35">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3.技术资料</w:t>
      </w:r>
    </w:p>
    <w:p w14:paraId="54D559B3">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3.1乙方按磋商文件规定的时间向甲方提供使用货物的有关技术资料。</w:t>
      </w:r>
    </w:p>
    <w:p w14:paraId="5605FB8C">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3.2 没有甲方事先书面同意，乙方不得将由甲方提供的有关合同或任何合同条文、规格、计划、样品或资料提供给与履行本合同无关的任何其他人。</w:t>
      </w:r>
    </w:p>
    <w:p w14:paraId="140D01B7">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4.知识产权</w:t>
      </w:r>
    </w:p>
    <w:p w14:paraId="19591FA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乙方保证所提供的货物或其任何一部分均不会侵犯任何第三方的知识产权。</w:t>
      </w:r>
    </w:p>
    <w:p w14:paraId="5592EC24">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5.产权担保</w:t>
      </w:r>
    </w:p>
    <w:p w14:paraId="2416D76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乙方保证所交付的货物的所有权完全属于乙方且无任何抵押、查封等产权瑕疵。</w:t>
      </w:r>
    </w:p>
    <w:p w14:paraId="1F56772C">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6.质量保证金</w:t>
      </w:r>
    </w:p>
    <w:p w14:paraId="6BD03E9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6.1扣除合同总价的3﹪作为质量保证金。</w:t>
      </w:r>
    </w:p>
    <w:p w14:paraId="7762F9F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6.2在保修期内中标投标人提供的货物质量和服务符合合同约定，经验收合格，保修期满后10个工作日内该款无息退还。</w:t>
      </w:r>
    </w:p>
    <w:p w14:paraId="500BBFC7">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7.转包或分包</w:t>
      </w:r>
    </w:p>
    <w:p w14:paraId="366370D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7.1本合同范围的货物，由乙方直接供应，不得转让他人供应。</w:t>
      </w:r>
    </w:p>
    <w:p w14:paraId="493E413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7.2 除非得到甲方的书面同意，乙方不得部分分包给他人供应。</w:t>
      </w:r>
    </w:p>
    <w:p w14:paraId="7B867FA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7.3如有转让和未经甲方同意的分包行为，甲方有权给予终止合同。</w:t>
      </w:r>
    </w:p>
    <w:p w14:paraId="3AF045EB">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8.交货期、交货方式及交货地点</w:t>
      </w:r>
    </w:p>
    <w:p w14:paraId="339C1E0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8.1 交货期： </w:t>
      </w:r>
    </w:p>
    <w:p w14:paraId="74093B3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8.2 交货方式：</w:t>
      </w:r>
    </w:p>
    <w:p w14:paraId="37604B4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8.3 交货地点： </w:t>
      </w:r>
    </w:p>
    <w:p w14:paraId="43488FEF">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9.货款支付：</w:t>
      </w:r>
      <w:r>
        <w:rPr>
          <w:rFonts w:hint="eastAsia" w:ascii="宋体" w:hAnsi="宋体" w:cs="宋体"/>
          <w:color w:val="000000"/>
          <w:kern w:val="0"/>
          <w:sz w:val="24"/>
        </w:rPr>
        <w:t xml:space="preserve">详见投标人须知前附表 </w:t>
      </w:r>
    </w:p>
    <w:p w14:paraId="0D2E5580">
      <w:pPr>
        <w:widowControl/>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10.税费</w:t>
      </w:r>
    </w:p>
    <w:p w14:paraId="273B5A8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本合同执行中相关的一切税费均由乙方负担。</w:t>
      </w:r>
    </w:p>
    <w:p w14:paraId="3D89BD9F">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11.货物包装、发运及运输</w:t>
      </w:r>
    </w:p>
    <w:p w14:paraId="74475D6A">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11.1 乙方在货物发运前对其进行满足运输距离、防潮、防震、防锈和防破损装卸等要求包装，以保证货物安全运达甲方指定地点。</w:t>
      </w:r>
    </w:p>
    <w:p w14:paraId="4E3428F6">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11.2 使用说明书、质量检验证明书、随配附件和工具以及清单一并附于货物内。</w:t>
      </w:r>
    </w:p>
    <w:p w14:paraId="67D7E0AE">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11.3 乙方在货物发运手续办理完毕后24小时内或货到甲方48小时前通知甲方，以准备接货。</w:t>
      </w:r>
    </w:p>
    <w:p w14:paraId="53FA3EBF">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11.4 货物在交付甲方前发生的风险均由乙方负责。</w:t>
      </w:r>
    </w:p>
    <w:p w14:paraId="3747B1D4">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11.5 货物在规定的交付期限内由乙方送达甲方指定的地点视为交付，乙方同时需通知甲方货物已送达。</w:t>
      </w:r>
    </w:p>
    <w:p w14:paraId="112313EA">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12.质量保证及售后服务</w:t>
      </w:r>
    </w:p>
    <w:p w14:paraId="56D996C4">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12.1 乙方提供的货物是全新、未使用过的，并完全符合强制性的国家技术质量规范和磋商文件规定的质量、规格、性能和技术规范等的要求。</w:t>
      </w:r>
    </w:p>
    <w:p w14:paraId="65795BE7">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1BEC05C2">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cs="宋体"/>
          <w:color w:val="000000"/>
          <w:kern w:val="0"/>
          <w:sz w:val="24"/>
          <w:u w:val="single"/>
        </w:rPr>
        <w:t>7</w:t>
      </w:r>
      <w:r>
        <w:rPr>
          <w:rFonts w:hint="eastAsia" w:ascii="宋体" w:hAnsi="宋体" w:cs="宋体"/>
          <w:color w:val="000000"/>
          <w:kern w:val="0"/>
          <w:sz w:val="24"/>
        </w:rPr>
        <w:t>日内应免费维修或更换有缺陷的货物或部件。如果乙方在收到通知后</w:t>
      </w:r>
      <w:r>
        <w:rPr>
          <w:rFonts w:hint="eastAsia" w:ascii="宋体" w:hAnsi="宋体" w:cs="宋体"/>
          <w:color w:val="000000"/>
          <w:kern w:val="0"/>
          <w:sz w:val="24"/>
          <w:u w:val="single"/>
        </w:rPr>
        <w:t>7</w:t>
      </w:r>
      <w:r>
        <w:rPr>
          <w:rFonts w:hint="eastAsia" w:ascii="宋体" w:hAnsi="宋体" w:cs="宋体"/>
          <w:color w:val="000000"/>
          <w:kern w:val="0"/>
          <w:sz w:val="24"/>
        </w:rPr>
        <w:t>日内没有弥补缺陷，甲方可采取必要的补救措施，但由此引发的风险和费用将由乙方承担。</w:t>
      </w:r>
    </w:p>
    <w:p w14:paraId="6240E92A">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12.4合同项下货物的质量保证期为自货物通过最终验收起个月，在保修期内，因人为因素出现故障外，乙方对货物出现的质量及安全问题负责处理解决并承担一切费用。</w:t>
      </w:r>
    </w:p>
    <w:p w14:paraId="1A0F56E7">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12.5合同项下货物免费保修期为质量保证期满后个月，因人为因素出现的故障不在免费保修范围内。对超过保修期的货物终生维修，维修时只收部件成本费。</w:t>
      </w:r>
    </w:p>
    <w:p w14:paraId="5B424C20">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12.6在使用过程中发生故障，乙方在接到甲方通知后在小时内到达甲方现场，小时内解除故障。</w:t>
      </w:r>
    </w:p>
    <w:p w14:paraId="4E92FDA9">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13.调试和验收</w:t>
      </w:r>
    </w:p>
    <w:p w14:paraId="43F7D23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13.1乙方交货前对产品作出全面检查和对验收文件进行整理，并列出清单，作为甲方收货验收和使用的技术条件依据，检验的结果应随货物交甲方。</w:t>
      </w:r>
    </w:p>
    <w:p w14:paraId="69EB513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13.2货物运抵现场后，甲方依据磋商文件上的技术规格要求和国家有关质量标准在3个工作日内组织初步验收，并制作验收备忘录，签署验收意见。初步验收不合格的不予签收。</w:t>
      </w:r>
    </w:p>
    <w:p w14:paraId="0A174FC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13.3 甲方对乙方提供的货物在使用前进行调试时，乙方负责安装并培训甲方的使用操作人员，并协助甲方一起调试，直到符合技术要求，甲方才做最终验收并签署验收意见。</w:t>
      </w:r>
    </w:p>
    <w:p w14:paraId="2794D818">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13.4 对大型或技术复杂的货物，甲方应邀请国家认可的专业检测机构参与初步验收及最终验收，并由其出具质量检测报告。</w:t>
      </w:r>
    </w:p>
    <w:p w14:paraId="2A876E3E">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13.5 验收时乙方必须在现场，验收完毕后作出验收结果报告。验收费用由乙方负责。</w:t>
      </w:r>
    </w:p>
    <w:p w14:paraId="319AF6C5">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14.索赔</w:t>
      </w:r>
    </w:p>
    <w:p w14:paraId="6E7522DA">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482456C9">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14.2 在根据合同第12条和第13条规定的检验期和质量保证期内，如果乙方对甲方提出的索赔负有责任，乙方应按照甲方同意的下列一种或多种方式解决索赔事宜：</w:t>
      </w:r>
    </w:p>
    <w:p w14:paraId="6B834123">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5417C70">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14.2.2 根据货物低劣程度、损坏程度以及甲方所遭受损失的数额，经双方商定降低货物的价格，或由有权的部门评估，以降低后的价格或评估价格为准。</w:t>
      </w:r>
    </w:p>
    <w:p w14:paraId="7B197A9D">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4EAD08C3">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2DC93090">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15.违约责任</w:t>
      </w:r>
    </w:p>
    <w:p w14:paraId="5AEC32F2">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15.1 甲方无正当理由拒收货物的，甲方向乙方偿付拒收货款总值的百分之五违约金。</w:t>
      </w:r>
    </w:p>
    <w:p w14:paraId="706F35FD">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15.2 甲方无故逾期验收和办理货款支付手续的,甲方按逾期付款总额每日万分之五向乙方支付违约金。</w:t>
      </w:r>
    </w:p>
    <w:p w14:paraId="58FB5E58">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B623FA7">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16.不可抗力事件处理</w:t>
      </w:r>
    </w:p>
    <w:p w14:paraId="195E2206">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C6C3BE5">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55DB0F77">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17.合同纠纷处理</w:t>
      </w:r>
    </w:p>
    <w:p w14:paraId="0A17811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因本合同或与本合同有关的一切事项发生争议，由双方友好协商解决。协商不成的，任何一方均可选择以下方式解决：</w:t>
      </w:r>
    </w:p>
    <w:p w14:paraId="14F2A194">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17.1 向合同签订地人民法院提起诉讼。</w:t>
      </w:r>
    </w:p>
    <w:p w14:paraId="2FDDD16B">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18.违约解除合同</w:t>
      </w:r>
    </w:p>
    <w:p w14:paraId="0C9FC0B0">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18.1在乙方违约的情况下，甲方可向乙方发出书面通知，部分或全部终止合同，同时保留向对方追诉的权利。</w:t>
      </w:r>
    </w:p>
    <w:p w14:paraId="49C0EBE0">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18.1.1 乙方未能在合同规定的限期或甲方同意延长的限期内提供全部或部分货物，按合同第15.3的规定可以解除合同的。</w:t>
      </w:r>
    </w:p>
    <w:p w14:paraId="7BEFF6A8">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18.1.2 乙方有转让和未经甲方同意的分包行为，按合同第7.3的规定可以解除合同的。</w:t>
      </w:r>
    </w:p>
    <w:p w14:paraId="7672379F">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18.1.3 乙方未能履行合同规定的其它主要义务的。</w:t>
      </w:r>
    </w:p>
    <w:p w14:paraId="48ECF79D">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18.1.4 在本合同履行过程中有腐败和欺诈行为的。</w:t>
      </w:r>
    </w:p>
    <w:p w14:paraId="7A66B736">
      <w:pPr>
        <w:widowControl/>
        <w:spacing w:line="360" w:lineRule="auto"/>
        <w:ind w:firstLine="360"/>
        <w:jc w:val="left"/>
        <w:rPr>
          <w:rFonts w:ascii="宋体" w:hAnsi="宋体" w:cs="宋体"/>
          <w:color w:val="000000"/>
          <w:kern w:val="0"/>
          <w:sz w:val="24"/>
        </w:rPr>
      </w:pPr>
      <w:r>
        <w:rPr>
          <w:rFonts w:hint="eastAsia" w:ascii="宋体" w:hAnsi="宋体" w:cs="宋体"/>
          <w:color w:val="000000"/>
          <w:kern w:val="0"/>
          <w:sz w:val="24"/>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368CD465">
      <w:pPr>
        <w:widowControl/>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19.其他约定</w:t>
      </w:r>
    </w:p>
    <w:p w14:paraId="30553671">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19.1 本采购项目的磋商文件、中标投标人的投标文件以及相关的澄清确认函（如果有的话）均为本合同不可分割的一部分，与本合同具有同等法律效力。</w:t>
      </w:r>
    </w:p>
    <w:p w14:paraId="1B9004CF">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19.2 本合同未尽事宜，双方另行补充。</w:t>
      </w:r>
    </w:p>
    <w:p w14:paraId="5C8CDF06">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19.3本合同正本一式份，具有同等法律效力，甲、乙双方各执两份。自采购合同签订之日起7个工作日内，甲方按照有关规定将合同副本报同级财政部门备案。</w:t>
      </w:r>
    </w:p>
    <w:p w14:paraId="4B7A6EDC">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19.4 签定地点：</w:t>
      </w:r>
    </w:p>
    <w:p w14:paraId="45781509">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甲 方：                          乙 方：</w:t>
      </w:r>
    </w:p>
    <w:p w14:paraId="63C4BD28">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单位地址：                       单位地址：</w:t>
      </w:r>
    </w:p>
    <w:p w14:paraId="111CF6FE">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法定代表人：                     法定代表人：</w:t>
      </w:r>
    </w:p>
    <w:p w14:paraId="4F9BB71B">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委托代理人：                     委托代理人：</w:t>
      </w:r>
    </w:p>
    <w:p w14:paraId="0A34E197">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电 话：                          电 话：</w:t>
      </w:r>
    </w:p>
    <w:p w14:paraId="3946CE6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（监督管理部门）</w:t>
      </w:r>
    </w:p>
    <w:p w14:paraId="08850411">
      <w:pPr>
        <w:widowControl/>
        <w:spacing w:line="360" w:lineRule="auto"/>
        <w:ind w:firstLine="4200" w:firstLineChars="1750"/>
        <w:jc w:val="left"/>
        <w:rPr>
          <w:rFonts w:ascii="宋体" w:hAnsi="宋体" w:cs="宋体"/>
          <w:color w:val="000000"/>
          <w:kern w:val="0"/>
          <w:sz w:val="24"/>
        </w:rPr>
      </w:pPr>
      <w:r>
        <w:rPr>
          <w:rFonts w:hint="eastAsia" w:ascii="宋体" w:hAnsi="宋体" w:cs="宋体"/>
          <w:color w:val="000000"/>
          <w:kern w:val="0"/>
          <w:sz w:val="24"/>
        </w:rPr>
        <w:t>签订日期： 年 月 日</w:t>
      </w:r>
    </w:p>
    <w:p w14:paraId="620D14B2">
      <w:pPr>
        <w:widowControl/>
        <w:jc w:val="both"/>
        <w:rPr>
          <w:rFonts w:ascii="宋体" w:hAnsi="宋体"/>
          <w:b/>
          <w:bCs/>
          <w:color w:val="000000"/>
          <w:kern w:val="0"/>
          <w:sz w:val="44"/>
          <w:szCs w:val="44"/>
        </w:rPr>
      </w:pPr>
    </w:p>
    <w:p w14:paraId="279A3796">
      <w:pPr>
        <w:rPr>
          <w:rFonts w:hint="eastAsia" w:ascii="黑体" w:hAnsi="黑体" w:eastAsia="黑体"/>
          <w:b/>
          <w:color w:val="000000"/>
          <w:sz w:val="36"/>
          <w:szCs w:val="36"/>
        </w:rPr>
      </w:pPr>
      <w:bookmarkStart w:id="79" w:name="_Toc30109"/>
      <w:r>
        <w:rPr>
          <w:rFonts w:hint="eastAsia" w:ascii="黑体" w:hAnsi="黑体" w:eastAsia="黑体"/>
          <w:b/>
          <w:color w:val="000000"/>
          <w:sz w:val="36"/>
          <w:szCs w:val="36"/>
        </w:rPr>
        <w:br w:type="page"/>
      </w:r>
    </w:p>
    <w:p w14:paraId="3117D9CF">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第六章   </w:t>
      </w:r>
      <w:bookmarkEnd w:id="70"/>
      <w:bookmarkEnd w:id="71"/>
      <w:bookmarkEnd w:id="72"/>
      <w:bookmarkEnd w:id="73"/>
      <w:bookmarkEnd w:id="74"/>
      <w:bookmarkEnd w:id="75"/>
      <w:bookmarkEnd w:id="76"/>
      <w:bookmarkEnd w:id="77"/>
      <w:bookmarkEnd w:id="78"/>
      <w:r>
        <w:rPr>
          <w:rFonts w:hint="eastAsia" w:ascii="宋体" w:hAnsi="宋体"/>
          <w:b/>
          <w:color w:val="000000"/>
          <w:sz w:val="36"/>
          <w:szCs w:val="36"/>
        </w:rPr>
        <w:t xml:space="preserve"> 响应性文件格式</w:t>
      </w:r>
      <w:bookmarkEnd w:id="79"/>
    </w:p>
    <w:p w14:paraId="4B4B1445">
      <w:pPr>
        <w:spacing w:line="360" w:lineRule="auto"/>
        <w:rPr>
          <w:rFonts w:ascii="宋体" w:hAnsi="宋体" w:cs="宋体"/>
          <w:color w:val="000000"/>
          <w:kern w:val="10"/>
          <w:sz w:val="24"/>
        </w:rPr>
      </w:pPr>
    </w:p>
    <w:p w14:paraId="751263C6">
      <w:pPr>
        <w:spacing w:line="360" w:lineRule="auto"/>
        <w:rPr>
          <w:rFonts w:ascii="宋体" w:hAnsi="宋体" w:cs="宋体"/>
          <w:color w:val="000000"/>
          <w:kern w:val="10"/>
          <w:sz w:val="24"/>
        </w:rPr>
      </w:pPr>
    </w:p>
    <w:p w14:paraId="3BA0172F">
      <w:pPr>
        <w:spacing w:line="360" w:lineRule="auto"/>
        <w:jc w:val="center"/>
        <w:rPr>
          <w:rFonts w:ascii="宋体" w:hAnsi="宋体" w:cs="宋体"/>
          <w:b/>
          <w:color w:val="000000"/>
          <w:kern w:val="10"/>
          <w:sz w:val="24"/>
        </w:rPr>
      </w:pPr>
      <w:r>
        <w:rPr>
          <w:rFonts w:hint="eastAsia" w:ascii="宋体" w:hAnsi="宋体" w:cs="宋体"/>
          <w:b/>
          <w:color w:val="000000"/>
          <w:kern w:val="10"/>
          <w:sz w:val="32"/>
          <w:szCs w:val="32"/>
          <w:u w:val="single"/>
        </w:rPr>
        <w:t xml:space="preserve">                        （项目名称）</w:t>
      </w:r>
    </w:p>
    <w:p w14:paraId="3AD83155">
      <w:pPr>
        <w:spacing w:line="360" w:lineRule="auto"/>
        <w:rPr>
          <w:rFonts w:ascii="宋体" w:hAnsi="宋体" w:cs="宋体"/>
          <w:b/>
          <w:color w:val="000000"/>
          <w:kern w:val="10"/>
          <w:sz w:val="24"/>
        </w:rPr>
      </w:pPr>
    </w:p>
    <w:p w14:paraId="3B545582">
      <w:pPr>
        <w:spacing w:line="360" w:lineRule="auto"/>
        <w:rPr>
          <w:rFonts w:ascii="宋体" w:hAnsi="宋体" w:cs="宋体"/>
          <w:b/>
          <w:color w:val="000000"/>
          <w:kern w:val="10"/>
          <w:sz w:val="44"/>
          <w:szCs w:val="44"/>
        </w:rPr>
      </w:pPr>
    </w:p>
    <w:p w14:paraId="234DC51B">
      <w:pPr>
        <w:spacing w:line="360" w:lineRule="auto"/>
        <w:rPr>
          <w:rFonts w:ascii="宋体" w:hAnsi="宋体" w:cs="宋体"/>
          <w:b/>
          <w:color w:val="000000"/>
          <w:kern w:val="10"/>
          <w:sz w:val="44"/>
          <w:szCs w:val="44"/>
        </w:rPr>
      </w:pPr>
    </w:p>
    <w:p w14:paraId="514AF219">
      <w:pPr>
        <w:spacing w:line="360" w:lineRule="auto"/>
        <w:jc w:val="center"/>
        <w:rPr>
          <w:rFonts w:ascii="宋体" w:hAnsi="宋体" w:cs="宋体"/>
          <w:b/>
          <w:color w:val="000000"/>
          <w:kern w:val="10"/>
          <w:sz w:val="44"/>
          <w:szCs w:val="44"/>
        </w:rPr>
      </w:pPr>
      <w:r>
        <w:rPr>
          <w:rFonts w:hint="eastAsia" w:ascii="宋体" w:hAnsi="宋体" w:cs="宋体"/>
          <w:b/>
          <w:color w:val="000000"/>
          <w:kern w:val="10"/>
          <w:sz w:val="44"/>
          <w:szCs w:val="44"/>
          <w:lang w:val="en-US" w:eastAsia="zh-CN"/>
        </w:rPr>
        <w:t xml:space="preserve">响 应 性 </w:t>
      </w:r>
      <w:r>
        <w:rPr>
          <w:rFonts w:hint="eastAsia" w:ascii="宋体" w:hAnsi="宋体" w:cs="宋体"/>
          <w:b/>
          <w:color w:val="000000"/>
          <w:kern w:val="10"/>
          <w:sz w:val="44"/>
          <w:szCs w:val="44"/>
        </w:rPr>
        <w:t>文 件</w:t>
      </w:r>
    </w:p>
    <w:p w14:paraId="463037E4">
      <w:pPr>
        <w:spacing w:line="360" w:lineRule="auto"/>
        <w:jc w:val="center"/>
        <w:rPr>
          <w:rFonts w:ascii="宋体" w:hAnsi="宋体" w:cs="宋体"/>
          <w:b/>
          <w:color w:val="000000"/>
          <w:kern w:val="10"/>
          <w:sz w:val="32"/>
          <w:szCs w:val="32"/>
        </w:rPr>
      </w:pPr>
    </w:p>
    <w:p w14:paraId="54230ABC">
      <w:pPr>
        <w:spacing w:line="360" w:lineRule="auto"/>
        <w:jc w:val="center"/>
        <w:rPr>
          <w:rFonts w:ascii="宋体" w:hAnsi="宋体" w:cs="宋体"/>
          <w:b/>
          <w:color w:val="000000"/>
          <w:kern w:val="10"/>
          <w:sz w:val="32"/>
          <w:szCs w:val="32"/>
        </w:rPr>
      </w:pPr>
      <w:r>
        <w:rPr>
          <w:rFonts w:hint="eastAsia" w:ascii="宋体" w:hAnsi="宋体"/>
          <w:b/>
          <w:color w:val="000000"/>
          <w:sz w:val="32"/>
          <w:szCs w:val="32"/>
        </w:rPr>
        <w:t>项目编号：</w:t>
      </w:r>
    </w:p>
    <w:p w14:paraId="753EBB58">
      <w:pPr>
        <w:spacing w:line="360" w:lineRule="auto"/>
        <w:rPr>
          <w:rFonts w:ascii="宋体" w:hAnsi="宋体" w:cs="宋体"/>
          <w:b/>
          <w:color w:val="000000"/>
          <w:kern w:val="10"/>
          <w:sz w:val="24"/>
        </w:rPr>
      </w:pPr>
    </w:p>
    <w:p w14:paraId="67F925C0">
      <w:pPr>
        <w:spacing w:line="360" w:lineRule="auto"/>
        <w:rPr>
          <w:rFonts w:ascii="宋体" w:hAnsi="宋体" w:cs="宋体"/>
          <w:b/>
          <w:color w:val="000000"/>
          <w:kern w:val="10"/>
          <w:sz w:val="24"/>
        </w:rPr>
      </w:pPr>
    </w:p>
    <w:p w14:paraId="7F6D8A43">
      <w:pPr>
        <w:spacing w:line="360" w:lineRule="auto"/>
        <w:rPr>
          <w:rFonts w:ascii="宋体" w:hAnsi="宋体" w:cs="宋体"/>
          <w:b/>
          <w:color w:val="000000"/>
          <w:kern w:val="10"/>
          <w:sz w:val="24"/>
        </w:rPr>
      </w:pPr>
    </w:p>
    <w:p w14:paraId="5B44C339">
      <w:pPr>
        <w:spacing w:line="360" w:lineRule="auto"/>
        <w:rPr>
          <w:rFonts w:ascii="宋体" w:hAnsi="宋体" w:cs="宋体"/>
          <w:b/>
          <w:color w:val="000000"/>
          <w:kern w:val="10"/>
          <w:sz w:val="24"/>
        </w:rPr>
      </w:pPr>
    </w:p>
    <w:p w14:paraId="26A05175">
      <w:pPr>
        <w:spacing w:line="360" w:lineRule="auto"/>
        <w:rPr>
          <w:rFonts w:ascii="宋体" w:hAnsi="宋体" w:cs="宋体"/>
          <w:b/>
          <w:color w:val="000000"/>
          <w:kern w:val="10"/>
          <w:sz w:val="24"/>
        </w:rPr>
      </w:pPr>
    </w:p>
    <w:p w14:paraId="3C1B0E7A">
      <w:pPr>
        <w:spacing w:line="360" w:lineRule="auto"/>
        <w:rPr>
          <w:rFonts w:ascii="宋体" w:hAnsi="宋体" w:cs="宋体"/>
          <w:b/>
          <w:color w:val="000000"/>
          <w:kern w:val="10"/>
          <w:sz w:val="24"/>
        </w:rPr>
      </w:pPr>
    </w:p>
    <w:p w14:paraId="418C2EE9">
      <w:pPr>
        <w:spacing w:line="360" w:lineRule="auto"/>
        <w:rPr>
          <w:rFonts w:ascii="宋体" w:hAnsi="宋体" w:cs="宋体"/>
          <w:b/>
          <w:color w:val="000000"/>
          <w:kern w:val="10"/>
          <w:sz w:val="24"/>
        </w:rPr>
      </w:pPr>
    </w:p>
    <w:p w14:paraId="4B22236E">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lang w:val="en-US" w:eastAsia="zh-CN"/>
        </w:rPr>
        <w:t>供应商</w:t>
      </w:r>
      <w:r>
        <w:rPr>
          <w:rFonts w:hint="eastAsia" w:ascii="宋体" w:hAnsi="宋体" w:cs="宋体"/>
          <w:b/>
          <w:color w:val="000000"/>
          <w:kern w:val="10"/>
          <w:sz w:val="28"/>
          <w:szCs w:val="28"/>
        </w:rPr>
        <w:t>：</w:t>
      </w:r>
      <w:r>
        <w:rPr>
          <w:rFonts w:hint="eastAsia" w:ascii="宋体" w:hAnsi="宋体" w:cs="宋体"/>
          <w:b/>
          <w:color w:val="000000"/>
          <w:kern w:val="10"/>
          <w:sz w:val="28"/>
          <w:szCs w:val="28"/>
          <w:u w:val="single"/>
        </w:rPr>
        <w:t xml:space="preserve">                          （电子签章）</w:t>
      </w:r>
    </w:p>
    <w:p w14:paraId="481FE1EA">
      <w:pPr>
        <w:spacing w:line="360" w:lineRule="auto"/>
        <w:jc w:val="center"/>
        <w:rPr>
          <w:rFonts w:ascii="宋体" w:hAnsi="宋体" w:cs="宋体"/>
          <w:b/>
          <w:color w:val="000000"/>
          <w:kern w:val="10"/>
          <w:sz w:val="28"/>
          <w:szCs w:val="28"/>
        </w:rPr>
      </w:pPr>
    </w:p>
    <w:p w14:paraId="7F1DD54C">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法定代表人：</w:t>
      </w:r>
      <w:r>
        <w:rPr>
          <w:rFonts w:hint="eastAsia" w:ascii="宋体" w:hAnsi="宋体" w:cs="宋体"/>
          <w:b/>
          <w:color w:val="000000"/>
          <w:kern w:val="10"/>
          <w:sz w:val="28"/>
          <w:szCs w:val="28"/>
          <w:u w:val="single"/>
        </w:rPr>
        <w:t xml:space="preserve">                       （电子签章）</w:t>
      </w:r>
    </w:p>
    <w:p w14:paraId="09B4623B">
      <w:pPr>
        <w:spacing w:line="360" w:lineRule="auto"/>
        <w:rPr>
          <w:rFonts w:ascii="宋体" w:hAnsi="宋体" w:cs="宋体"/>
          <w:b/>
          <w:color w:val="000000"/>
          <w:kern w:val="10"/>
          <w:sz w:val="28"/>
          <w:szCs w:val="28"/>
        </w:rPr>
      </w:pPr>
    </w:p>
    <w:p w14:paraId="0B948B17">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年      月     日</w:t>
      </w:r>
    </w:p>
    <w:p w14:paraId="3205F341">
      <w:pPr>
        <w:spacing w:line="360" w:lineRule="auto"/>
        <w:jc w:val="center"/>
        <w:rPr>
          <w:rFonts w:ascii="宋体" w:hAnsi="宋体" w:cs="宋体"/>
          <w:b/>
          <w:color w:val="000000"/>
          <w:kern w:val="10"/>
          <w:sz w:val="28"/>
          <w:szCs w:val="28"/>
        </w:rPr>
      </w:pPr>
    </w:p>
    <w:p w14:paraId="089D8EE8">
      <w:pPr>
        <w:spacing w:line="360" w:lineRule="auto"/>
        <w:rPr>
          <w:rFonts w:ascii="宋体" w:hAnsi="宋体" w:cs="宋体"/>
          <w:b/>
          <w:color w:val="000000"/>
          <w:kern w:val="10"/>
          <w:sz w:val="32"/>
          <w:szCs w:val="32"/>
        </w:rPr>
      </w:pPr>
    </w:p>
    <w:p w14:paraId="22B5D142">
      <w:pPr>
        <w:spacing w:line="360" w:lineRule="auto"/>
        <w:jc w:val="center"/>
        <w:rPr>
          <w:rFonts w:ascii="宋体" w:hAnsi="宋体" w:cs="宋体"/>
          <w:b/>
          <w:color w:val="000000"/>
          <w:kern w:val="10"/>
          <w:sz w:val="32"/>
          <w:szCs w:val="32"/>
        </w:rPr>
      </w:pPr>
      <w:r>
        <w:rPr>
          <w:rFonts w:hint="eastAsia" w:ascii="宋体" w:hAnsi="宋体" w:cs="宋体"/>
          <w:b/>
          <w:color w:val="000000"/>
          <w:kern w:val="10"/>
          <w:sz w:val="32"/>
          <w:szCs w:val="32"/>
        </w:rPr>
        <w:t>目  录</w:t>
      </w:r>
    </w:p>
    <w:p w14:paraId="7A85DBF6">
      <w:pPr>
        <w:spacing w:line="360" w:lineRule="auto"/>
        <w:rPr>
          <w:rFonts w:ascii="宋体" w:hAnsi="宋体" w:cs="宋体"/>
          <w:color w:val="000000"/>
          <w:kern w:val="10"/>
          <w:sz w:val="24"/>
        </w:rPr>
      </w:pPr>
    </w:p>
    <w:p w14:paraId="7E17A834">
      <w:pPr>
        <w:spacing w:line="360" w:lineRule="auto"/>
        <w:ind w:firstLine="480" w:firstLineChars="200"/>
        <w:rPr>
          <w:rFonts w:ascii="宋体" w:hAnsi="宋体"/>
          <w:color w:val="000000"/>
          <w:sz w:val="24"/>
        </w:rPr>
      </w:pPr>
      <w:r>
        <w:rPr>
          <w:rFonts w:hint="eastAsia" w:ascii="宋体" w:hAnsi="宋体"/>
          <w:color w:val="000000"/>
          <w:sz w:val="24"/>
        </w:rPr>
        <w:t>一、投标函</w:t>
      </w:r>
    </w:p>
    <w:p w14:paraId="4DD603AD">
      <w:pPr>
        <w:spacing w:line="360" w:lineRule="auto"/>
        <w:ind w:firstLine="480" w:firstLineChars="200"/>
        <w:rPr>
          <w:rFonts w:ascii="宋体" w:hAnsi="宋体"/>
          <w:color w:val="000000"/>
          <w:sz w:val="24"/>
        </w:rPr>
      </w:pPr>
      <w:r>
        <w:rPr>
          <w:rFonts w:hint="eastAsia" w:ascii="宋体" w:hAnsi="宋体"/>
          <w:color w:val="000000"/>
          <w:sz w:val="24"/>
        </w:rPr>
        <w:t>二、法定代表人身份证明及授权委托书</w:t>
      </w:r>
    </w:p>
    <w:p w14:paraId="7221AA44">
      <w:pPr>
        <w:spacing w:line="360" w:lineRule="auto"/>
        <w:ind w:firstLine="480" w:firstLineChars="200"/>
        <w:rPr>
          <w:rFonts w:ascii="宋体" w:hAnsi="宋体"/>
          <w:color w:val="000000"/>
          <w:sz w:val="24"/>
        </w:rPr>
      </w:pPr>
      <w:r>
        <w:rPr>
          <w:rFonts w:hint="eastAsia" w:ascii="宋体" w:hAnsi="宋体"/>
          <w:color w:val="000000"/>
          <w:sz w:val="24"/>
        </w:rPr>
        <w:t>三、投标承诺函</w:t>
      </w:r>
    </w:p>
    <w:p w14:paraId="07F7CE38">
      <w:pPr>
        <w:spacing w:line="360" w:lineRule="auto"/>
        <w:ind w:firstLine="480" w:firstLineChars="200"/>
        <w:rPr>
          <w:rFonts w:ascii="宋体" w:hAnsi="宋体"/>
          <w:color w:val="000000"/>
          <w:sz w:val="24"/>
        </w:rPr>
      </w:pPr>
      <w:r>
        <w:rPr>
          <w:rFonts w:hint="eastAsia" w:ascii="宋体" w:hAnsi="宋体"/>
          <w:color w:val="000000"/>
          <w:sz w:val="24"/>
        </w:rPr>
        <w:t xml:space="preserve">四、报价一览表 </w:t>
      </w:r>
    </w:p>
    <w:p w14:paraId="00A71CB7">
      <w:pPr>
        <w:spacing w:line="360" w:lineRule="auto"/>
        <w:ind w:firstLine="480" w:firstLineChars="200"/>
        <w:rPr>
          <w:rFonts w:ascii="宋体" w:hAnsi="宋体"/>
          <w:color w:val="000000"/>
          <w:sz w:val="24"/>
        </w:rPr>
      </w:pPr>
      <w:r>
        <w:rPr>
          <w:rFonts w:hint="eastAsia" w:ascii="宋体" w:hAnsi="宋体"/>
          <w:color w:val="000000"/>
          <w:sz w:val="24"/>
        </w:rPr>
        <w:t>五、实施方案及技术方案</w:t>
      </w:r>
    </w:p>
    <w:p w14:paraId="546E609E">
      <w:pPr>
        <w:spacing w:line="360" w:lineRule="auto"/>
        <w:ind w:firstLine="480" w:firstLineChars="200"/>
        <w:rPr>
          <w:rFonts w:ascii="宋体" w:hAnsi="宋体"/>
          <w:color w:val="000000"/>
          <w:sz w:val="24"/>
        </w:rPr>
      </w:pPr>
      <w:r>
        <w:rPr>
          <w:rFonts w:hint="eastAsia" w:ascii="宋体" w:hAnsi="宋体"/>
          <w:color w:val="000000"/>
          <w:sz w:val="24"/>
        </w:rPr>
        <w:t>六、质保及售后服务承诺</w:t>
      </w:r>
    </w:p>
    <w:p w14:paraId="2210E294">
      <w:pPr>
        <w:spacing w:line="360" w:lineRule="auto"/>
        <w:ind w:firstLine="480" w:firstLineChars="200"/>
        <w:rPr>
          <w:rFonts w:ascii="宋体" w:hAnsi="宋体"/>
          <w:color w:val="000000"/>
          <w:sz w:val="24"/>
        </w:rPr>
      </w:pPr>
      <w:r>
        <w:rPr>
          <w:rFonts w:hint="eastAsia" w:ascii="宋体" w:hAnsi="宋体"/>
          <w:color w:val="000000"/>
          <w:sz w:val="24"/>
        </w:rPr>
        <w:t>七、中小微企业声明函</w:t>
      </w:r>
    </w:p>
    <w:p w14:paraId="27DEE7C5">
      <w:pPr>
        <w:spacing w:line="360" w:lineRule="auto"/>
        <w:ind w:firstLine="480" w:firstLineChars="200"/>
        <w:rPr>
          <w:rFonts w:ascii="宋体" w:hAnsi="宋体"/>
          <w:color w:val="000000"/>
          <w:sz w:val="24"/>
        </w:rPr>
      </w:pPr>
      <w:r>
        <w:rPr>
          <w:rFonts w:hint="eastAsia" w:ascii="宋体" w:hAnsi="宋体"/>
          <w:color w:val="000000"/>
          <w:sz w:val="24"/>
        </w:rPr>
        <w:t>八、监狱企业证明材料</w:t>
      </w:r>
    </w:p>
    <w:p w14:paraId="5A0E8866">
      <w:pPr>
        <w:spacing w:line="360" w:lineRule="auto"/>
        <w:ind w:firstLine="480" w:firstLineChars="200"/>
        <w:rPr>
          <w:rFonts w:ascii="宋体" w:hAnsi="宋体"/>
          <w:color w:val="000000"/>
          <w:sz w:val="24"/>
        </w:rPr>
      </w:pPr>
      <w:r>
        <w:rPr>
          <w:rFonts w:hint="eastAsia" w:ascii="宋体" w:hAnsi="宋体"/>
          <w:color w:val="000000"/>
          <w:sz w:val="24"/>
        </w:rPr>
        <w:t>九、资格审查资料</w:t>
      </w:r>
    </w:p>
    <w:p w14:paraId="2C6FB3B8">
      <w:pPr>
        <w:spacing w:line="360" w:lineRule="auto"/>
        <w:ind w:firstLine="480" w:firstLineChars="200"/>
        <w:rPr>
          <w:rFonts w:ascii="宋体" w:hAnsi="宋体"/>
          <w:color w:val="000000"/>
          <w:sz w:val="24"/>
        </w:rPr>
      </w:pPr>
      <w:r>
        <w:rPr>
          <w:rFonts w:hint="eastAsia" w:ascii="宋体" w:hAnsi="宋体"/>
          <w:color w:val="000000"/>
          <w:sz w:val="24"/>
        </w:rPr>
        <w:t>十、其他材料</w:t>
      </w:r>
    </w:p>
    <w:p w14:paraId="2A47AA93">
      <w:pPr>
        <w:spacing w:line="360" w:lineRule="auto"/>
        <w:rPr>
          <w:rFonts w:ascii="宋体" w:hAnsi="宋体" w:cs="宋体"/>
          <w:color w:val="000000"/>
          <w:kern w:val="10"/>
          <w:sz w:val="24"/>
        </w:rPr>
      </w:pPr>
    </w:p>
    <w:p w14:paraId="7E0B060F">
      <w:pPr>
        <w:spacing w:line="360" w:lineRule="auto"/>
        <w:rPr>
          <w:rFonts w:ascii="宋体" w:hAnsi="宋体" w:cs="宋体"/>
          <w:color w:val="000000"/>
          <w:kern w:val="10"/>
          <w:sz w:val="24"/>
        </w:rPr>
      </w:pPr>
    </w:p>
    <w:p w14:paraId="1BA07144">
      <w:pPr>
        <w:spacing w:line="360" w:lineRule="auto"/>
        <w:rPr>
          <w:rFonts w:ascii="宋体" w:hAnsi="宋体" w:cs="宋体"/>
          <w:color w:val="000000"/>
          <w:kern w:val="10"/>
          <w:sz w:val="24"/>
        </w:rPr>
      </w:pPr>
    </w:p>
    <w:p w14:paraId="0D90618D">
      <w:pPr>
        <w:spacing w:line="360" w:lineRule="auto"/>
        <w:rPr>
          <w:rFonts w:ascii="宋体" w:hAnsi="宋体" w:cs="宋体"/>
          <w:color w:val="000000"/>
          <w:kern w:val="10"/>
          <w:sz w:val="24"/>
        </w:rPr>
      </w:pPr>
    </w:p>
    <w:p w14:paraId="36C89138">
      <w:pPr>
        <w:spacing w:line="360" w:lineRule="auto"/>
        <w:rPr>
          <w:rFonts w:ascii="宋体" w:hAnsi="宋体" w:cs="宋体"/>
          <w:color w:val="000000"/>
          <w:kern w:val="10"/>
          <w:sz w:val="24"/>
        </w:rPr>
      </w:pPr>
    </w:p>
    <w:p w14:paraId="73CA8567">
      <w:pPr>
        <w:spacing w:line="360" w:lineRule="auto"/>
        <w:rPr>
          <w:rFonts w:ascii="宋体" w:hAnsi="宋体" w:cs="宋体"/>
          <w:color w:val="000000"/>
          <w:kern w:val="10"/>
          <w:sz w:val="24"/>
        </w:rPr>
      </w:pPr>
    </w:p>
    <w:p w14:paraId="08100A4C">
      <w:pPr>
        <w:pStyle w:val="14"/>
      </w:pPr>
    </w:p>
    <w:p w14:paraId="6E903B63">
      <w:pPr>
        <w:pStyle w:val="13"/>
        <w:ind w:firstLine="210"/>
      </w:pPr>
    </w:p>
    <w:p w14:paraId="00A28FD9">
      <w:pPr>
        <w:pStyle w:val="13"/>
        <w:ind w:firstLine="210"/>
      </w:pPr>
    </w:p>
    <w:p w14:paraId="23B62A80">
      <w:pPr>
        <w:pStyle w:val="13"/>
        <w:ind w:firstLine="210"/>
      </w:pPr>
    </w:p>
    <w:p w14:paraId="03D9FB75">
      <w:pPr>
        <w:pStyle w:val="13"/>
        <w:ind w:firstLine="210"/>
      </w:pPr>
    </w:p>
    <w:p w14:paraId="794B07ED">
      <w:pPr>
        <w:pStyle w:val="13"/>
        <w:ind w:firstLine="210"/>
      </w:pPr>
    </w:p>
    <w:p w14:paraId="249D7069">
      <w:pPr>
        <w:pStyle w:val="13"/>
        <w:ind w:firstLine="210"/>
      </w:pPr>
    </w:p>
    <w:p w14:paraId="6594A4CE">
      <w:pPr>
        <w:pStyle w:val="13"/>
        <w:ind w:firstLine="210"/>
      </w:pPr>
    </w:p>
    <w:p w14:paraId="278D0516">
      <w:pPr>
        <w:pStyle w:val="13"/>
        <w:ind w:firstLine="210"/>
      </w:pPr>
    </w:p>
    <w:p w14:paraId="4E5AB538">
      <w:pPr>
        <w:pStyle w:val="13"/>
        <w:ind w:firstLine="210"/>
      </w:pPr>
    </w:p>
    <w:p w14:paraId="1507AF25">
      <w:pPr>
        <w:pStyle w:val="13"/>
        <w:ind w:firstLine="210"/>
      </w:pPr>
    </w:p>
    <w:p w14:paraId="47BD8410">
      <w:pPr>
        <w:spacing w:line="360" w:lineRule="auto"/>
        <w:jc w:val="center"/>
        <w:outlineLvl w:val="1"/>
        <w:rPr>
          <w:rFonts w:ascii="宋体" w:hAnsi="宋体" w:cs="宋体"/>
          <w:b/>
          <w:bCs/>
          <w:color w:val="000000"/>
          <w:kern w:val="10"/>
          <w:sz w:val="28"/>
          <w:szCs w:val="28"/>
        </w:rPr>
      </w:pPr>
      <w:bookmarkStart w:id="80" w:name="_Toc31372"/>
      <w:bookmarkStart w:id="81" w:name="_Toc7366"/>
      <w:bookmarkStart w:id="82" w:name="_Toc99007056"/>
      <w:bookmarkStart w:id="83" w:name="_Toc22238"/>
      <w:bookmarkStart w:id="84" w:name="_Toc11591"/>
      <w:bookmarkStart w:id="85" w:name="_Toc15192"/>
      <w:bookmarkStart w:id="86" w:name="_Toc11031"/>
      <w:bookmarkStart w:id="87" w:name="_Toc516499664"/>
      <w:bookmarkStart w:id="88" w:name="_Toc57277893"/>
      <w:bookmarkStart w:id="89" w:name="_Toc17554"/>
      <w:bookmarkStart w:id="90" w:name="_Toc20924"/>
      <w:r>
        <w:rPr>
          <w:rFonts w:hint="eastAsia" w:ascii="宋体" w:hAnsi="宋体" w:cs="宋体"/>
          <w:b/>
          <w:bCs/>
          <w:color w:val="000000"/>
          <w:kern w:val="10"/>
          <w:sz w:val="28"/>
          <w:szCs w:val="28"/>
        </w:rPr>
        <w:t>一、投标函</w:t>
      </w:r>
      <w:bookmarkEnd w:id="80"/>
      <w:bookmarkEnd w:id="81"/>
      <w:bookmarkEnd w:id="82"/>
      <w:bookmarkEnd w:id="83"/>
      <w:bookmarkEnd w:id="84"/>
      <w:bookmarkEnd w:id="85"/>
      <w:bookmarkEnd w:id="86"/>
      <w:bookmarkEnd w:id="87"/>
      <w:bookmarkEnd w:id="88"/>
      <w:bookmarkEnd w:id="89"/>
      <w:bookmarkEnd w:id="90"/>
      <w:bookmarkStart w:id="91" w:name="_Toc234382958"/>
    </w:p>
    <w:bookmarkEnd w:id="91"/>
    <w:p w14:paraId="77CC2354">
      <w:pPr>
        <w:spacing w:line="360" w:lineRule="auto"/>
        <w:rPr>
          <w:rFonts w:ascii="宋体" w:hAnsi="宋体" w:cs="宋体"/>
          <w:color w:val="000000"/>
          <w:kern w:val="10"/>
          <w:sz w:val="24"/>
        </w:rPr>
      </w:pPr>
      <w:r>
        <w:rPr>
          <w:rFonts w:hint="eastAsia" w:ascii="宋体" w:hAnsi="宋体" w:cs="宋体"/>
          <w:color w:val="000000"/>
          <w:kern w:val="10"/>
          <w:sz w:val="24"/>
        </w:rPr>
        <w:t>致：</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lang w:val="en-US" w:eastAsia="zh-CN"/>
        </w:rPr>
        <w:t>采购</w:t>
      </w:r>
      <w:r>
        <w:rPr>
          <w:rFonts w:hint="eastAsia" w:ascii="宋体" w:hAnsi="宋体" w:cs="宋体"/>
          <w:color w:val="000000"/>
          <w:kern w:val="10"/>
          <w:sz w:val="24"/>
        </w:rPr>
        <w:t>人名称）：</w:t>
      </w:r>
    </w:p>
    <w:p w14:paraId="6624F56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1、根据贵方为</w:t>
      </w:r>
      <w:r>
        <w:rPr>
          <w:rFonts w:hint="eastAsia" w:ascii="宋体" w:hAnsi="宋体" w:cs="宋体"/>
          <w:color w:val="000000"/>
          <w:kern w:val="10"/>
          <w:sz w:val="24"/>
          <w:u w:val="single"/>
        </w:rPr>
        <w:t xml:space="preserve">                        </w:t>
      </w:r>
      <w:r>
        <w:rPr>
          <w:rFonts w:hint="eastAsia" w:ascii="宋体" w:hAnsi="宋体" w:cs="宋体"/>
          <w:color w:val="000000"/>
          <w:kern w:val="10"/>
          <w:sz w:val="24"/>
        </w:rPr>
        <w:t>项目的竞争性磋商公告，遵照《中华人民共和国政府采购法》等有关法律、法规的规定，经认真研究竞争性磋商文件后，我方投标报价为人民币（大写）</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u w:val="single"/>
        </w:rPr>
        <w:t xml:space="preserve">       </w:t>
      </w:r>
      <w:r>
        <w:rPr>
          <w:rFonts w:hint="eastAsia" w:ascii="宋体" w:hAnsi="宋体" w:cs="宋体"/>
          <w:color w:val="000000"/>
          <w:kern w:val="10"/>
          <w:sz w:val="24"/>
        </w:rPr>
        <w:t>），交货期</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762B892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2、如果我们的投标书被接受，我们将履行竞争性磋商文件中规定的每一项要求，按期、按质、按量履行合同。</w:t>
      </w:r>
    </w:p>
    <w:p w14:paraId="7075DD5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3、我方愿按《中华人民共和国合同法》履行我方的全部责任。</w:t>
      </w:r>
    </w:p>
    <w:p w14:paraId="7A4465D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4、我方已详细研究全部竞争性磋商文件，包括修改文件以及全部参考资料和有关附件。我们完全理解并同意放弃对这方面有不明及误解的权力。</w:t>
      </w:r>
    </w:p>
    <w:p w14:paraId="61A0931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5、本项目投标有效期为</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3584D36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6、我方同意提供按照贵方可能要求的与投标有关的一切数据或资料，理解贵方不一定接受最低价的投标或收到的任何投标。</w:t>
      </w:r>
    </w:p>
    <w:p w14:paraId="3480C32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7、我单位声明参加本次政府采购活动前3年内在经营活动中没有重大违法记录（重大违法记录，是指投标人因违法经营受到刑事处罚或者责令停产停业、吊销许可证或者执照、较大数额罚款等行政处罚）。</w:t>
      </w:r>
    </w:p>
    <w:p w14:paraId="4DFB0072">
      <w:pPr>
        <w:spacing w:line="360" w:lineRule="auto"/>
        <w:ind w:firstLine="482" w:firstLineChars="200"/>
        <w:rPr>
          <w:rFonts w:ascii="宋体" w:hAnsi="宋体" w:cs="宋体"/>
          <w:b/>
          <w:bCs/>
          <w:color w:val="000000"/>
          <w:kern w:val="10"/>
          <w:sz w:val="24"/>
        </w:rPr>
      </w:pPr>
      <w:r>
        <w:rPr>
          <w:rFonts w:hint="eastAsia" w:ascii="宋体" w:hAnsi="宋体" w:cs="宋体"/>
          <w:b/>
          <w:bCs/>
          <w:color w:val="000000"/>
          <w:kern w:val="10"/>
          <w:sz w:val="24"/>
        </w:rPr>
        <w:t>8、我方保证投标文件中的所有资料均为真实、有效的，如有虚假，我方承诺投标文件无效并愿承担一切责任。</w:t>
      </w:r>
    </w:p>
    <w:p w14:paraId="4B3C2BFF">
      <w:pPr>
        <w:spacing w:line="360" w:lineRule="auto"/>
        <w:rPr>
          <w:rFonts w:ascii="宋体" w:hAnsi="宋体" w:cs="宋体"/>
          <w:color w:val="000000"/>
          <w:kern w:val="10"/>
          <w:sz w:val="24"/>
        </w:rPr>
      </w:pPr>
    </w:p>
    <w:p w14:paraId="0EB2193A">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供应商</w:t>
      </w:r>
      <w:r>
        <w:rPr>
          <w:rFonts w:hint="eastAsia" w:ascii="宋体" w:hAnsi="宋体" w:cs="宋体"/>
          <w:color w:val="000000"/>
          <w:kern w:val="10"/>
          <w:sz w:val="24"/>
        </w:rPr>
        <w:t>(电子签章)：</w:t>
      </w:r>
    </w:p>
    <w:p w14:paraId="393DCEA0">
      <w:pPr>
        <w:spacing w:line="360" w:lineRule="auto"/>
        <w:rPr>
          <w:rFonts w:ascii="宋体" w:hAnsi="宋体" w:cs="宋体"/>
          <w:color w:val="000000"/>
          <w:kern w:val="10"/>
          <w:sz w:val="24"/>
        </w:rPr>
      </w:pPr>
      <w:r>
        <w:rPr>
          <w:rFonts w:hint="eastAsia" w:ascii="宋体" w:hAnsi="宋体" w:cs="宋体"/>
          <w:color w:val="000000"/>
          <w:kern w:val="10"/>
          <w:sz w:val="24"/>
        </w:rPr>
        <w:t>法定代表人(电子签章)：</w:t>
      </w:r>
    </w:p>
    <w:p w14:paraId="40A93BD8">
      <w:pPr>
        <w:spacing w:line="360" w:lineRule="auto"/>
        <w:rPr>
          <w:rFonts w:ascii="宋体" w:hAnsi="宋体" w:cs="宋体"/>
          <w:color w:val="000000"/>
          <w:kern w:val="10"/>
          <w:sz w:val="24"/>
        </w:rPr>
      </w:pPr>
      <w:r>
        <w:rPr>
          <w:rFonts w:hint="eastAsia" w:ascii="宋体" w:hAnsi="宋体" w:cs="宋体"/>
          <w:color w:val="000000"/>
          <w:kern w:val="10"/>
          <w:sz w:val="24"/>
        </w:rPr>
        <w:t>单位地址：</w:t>
      </w:r>
    </w:p>
    <w:p w14:paraId="064920A0">
      <w:pPr>
        <w:spacing w:line="360" w:lineRule="auto"/>
        <w:rPr>
          <w:rFonts w:ascii="宋体" w:hAnsi="宋体" w:cs="宋体"/>
          <w:color w:val="000000"/>
          <w:kern w:val="10"/>
          <w:sz w:val="24"/>
        </w:rPr>
      </w:pPr>
      <w:r>
        <w:rPr>
          <w:rFonts w:hint="eastAsia" w:ascii="宋体" w:hAnsi="宋体" w:cs="宋体"/>
          <w:color w:val="000000"/>
          <w:kern w:val="10"/>
          <w:sz w:val="24"/>
        </w:rPr>
        <w:t>电话： （填写能联系到的电话号码，方便通知二次报价）</w:t>
      </w:r>
    </w:p>
    <w:p w14:paraId="0430D982">
      <w:pPr>
        <w:spacing w:line="360" w:lineRule="auto"/>
        <w:rPr>
          <w:rFonts w:ascii="宋体" w:hAnsi="宋体" w:cs="宋体"/>
          <w:color w:val="000000"/>
          <w:sz w:val="24"/>
        </w:rPr>
      </w:pPr>
      <w:bookmarkStart w:id="92" w:name="_Toc14945"/>
      <w:bookmarkStart w:id="93" w:name="_Toc8145"/>
      <w:bookmarkStart w:id="94" w:name="_Toc234382961"/>
      <w:bookmarkStart w:id="95" w:name="_Toc78"/>
      <w:bookmarkStart w:id="96" w:name="_Toc16260"/>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679C3FE">
      <w:pPr>
        <w:spacing w:line="360" w:lineRule="auto"/>
        <w:rPr>
          <w:rFonts w:ascii="宋体" w:hAnsi="宋体" w:cs="宋体"/>
          <w:color w:val="000000"/>
          <w:sz w:val="24"/>
        </w:rPr>
      </w:pPr>
    </w:p>
    <w:p w14:paraId="29DEEEF0">
      <w:pPr>
        <w:spacing w:line="360" w:lineRule="auto"/>
        <w:rPr>
          <w:rFonts w:ascii="宋体" w:hAnsi="宋体" w:cs="宋体"/>
          <w:color w:val="000000"/>
          <w:sz w:val="24"/>
        </w:rPr>
      </w:pPr>
    </w:p>
    <w:p w14:paraId="3C2A5ACA">
      <w:pPr>
        <w:spacing w:line="360" w:lineRule="auto"/>
        <w:rPr>
          <w:rFonts w:ascii="宋体" w:hAnsi="宋体" w:cs="宋体"/>
          <w:color w:val="000000"/>
          <w:sz w:val="24"/>
        </w:rPr>
      </w:pPr>
    </w:p>
    <w:p w14:paraId="2EDBFB40">
      <w:pPr>
        <w:spacing w:line="360" w:lineRule="auto"/>
        <w:rPr>
          <w:rFonts w:ascii="宋体" w:hAnsi="宋体" w:cs="宋体"/>
          <w:color w:val="000000"/>
          <w:sz w:val="24"/>
        </w:rPr>
      </w:pPr>
    </w:p>
    <w:p w14:paraId="1FECD992">
      <w:pPr>
        <w:spacing w:line="360" w:lineRule="auto"/>
        <w:rPr>
          <w:rFonts w:ascii="宋体" w:hAnsi="宋体" w:cs="宋体"/>
          <w:b/>
          <w:bCs/>
          <w:color w:val="000000"/>
          <w:kern w:val="10"/>
          <w:sz w:val="24"/>
        </w:rPr>
      </w:pPr>
      <w:bookmarkStart w:id="97" w:name="_Toc516499665"/>
    </w:p>
    <w:p w14:paraId="7FE0FF73">
      <w:pPr>
        <w:spacing w:line="360" w:lineRule="auto"/>
        <w:jc w:val="center"/>
        <w:outlineLvl w:val="1"/>
        <w:rPr>
          <w:rFonts w:ascii="宋体" w:hAnsi="宋体" w:cs="宋体"/>
          <w:b/>
          <w:bCs/>
          <w:color w:val="000000"/>
          <w:kern w:val="10"/>
          <w:sz w:val="28"/>
          <w:szCs w:val="28"/>
        </w:rPr>
      </w:pPr>
      <w:bookmarkStart w:id="98" w:name="_Toc13521"/>
      <w:bookmarkStart w:id="99" w:name="_Toc57277894"/>
      <w:bookmarkStart w:id="100" w:name="_Toc99007057"/>
      <w:bookmarkStart w:id="101" w:name="_Toc9610"/>
      <w:bookmarkStart w:id="102" w:name="_Toc24521"/>
      <w:bookmarkStart w:id="103" w:name="_Toc18464"/>
      <w:r>
        <w:rPr>
          <w:rFonts w:hint="eastAsia" w:ascii="宋体" w:hAnsi="宋体" w:cs="宋体"/>
          <w:b/>
          <w:bCs/>
          <w:color w:val="000000"/>
          <w:kern w:val="10"/>
          <w:sz w:val="28"/>
          <w:szCs w:val="28"/>
        </w:rPr>
        <w:t>二、法定代表人身份证明及授权委托书</w:t>
      </w:r>
      <w:bookmarkEnd w:id="92"/>
      <w:bookmarkEnd w:id="93"/>
      <w:bookmarkEnd w:id="94"/>
      <w:bookmarkEnd w:id="95"/>
      <w:bookmarkEnd w:id="96"/>
      <w:bookmarkEnd w:id="97"/>
      <w:bookmarkEnd w:id="98"/>
      <w:bookmarkEnd w:id="99"/>
      <w:bookmarkEnd w:id="100"/>
      <w:bookmarkEnd w:id="101"/>
      <w:bookmarkEnd w:id="102"/>
      <w:bookmarkEnd w:id="103"/>
      <w:bookmarkStart w:id="104" w:name="_Toc234382962"/>
    </w:p>
    <w:p w14:paraId="02CDC76B">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（一）法定代表人身份证明</w:t>
      </w:r>
      <w:bookmarkEnd w:id="104"/>
    </w:p>
    <w:p w14:paraId="5E52E398">
      <w:pPr>
        <w:spacing w:line="360" w:lineRule="auto"/>
        <w:rPr>
          <w:rFonts w:ascii="宋体" w:hAnsi="宋体" w:cs="宋体"/>
          <w:color w:val="000000"/>
          <w:kern w:val="10"/>
          <w:sz w:val="24"/>
        </w:rPr>
      </w:pPr>
    </w:p>
    <w:p w14:paraId="37443BE7">
      <w:pPr>
        <w:spacing w:line="360" w:lineRule="auto"/>
        <w:rPr>
          <w:rFonts w:ascii="宋体" w:hAnsi="宋体" w:cs="宋体"/>
          <w:color w:val="000000"/>
          <w:kern w:val="10"/>
          <w:sz w:val="24"/>
        </w:rPr>
      </w:pPr>
      <w:r>
        <w:rPr>
          <w:rFonts w:hint="eastAsia" w:ascii="宋体" w:hAnsi="宋体" w:cs="宋体"/>
          <w:color w:val="000000"/>
          <w:kern w:val="10"/>
          <w:sz w:val="24"/>
          <w:lang w:val="en-US" w:eastAsia="zh-CN"/>
        </w:rPr>
        <w:t>供应商</w:t>
      </w:r>
      <w:r>
        <w:rPr>
          <w:rFonts w:hint="eastAsia" w:ascii="宋体" w:hAnsi="宋体" w:cs="宋体"/>
          <w:color w:val="000000"/>
          <w:kern w:val="10"/>
          <w:sz w:val="24"/>
        </w:rPr>
        <w:t>名称：</w:t>
      </w:r>
      <w:r>
        <w:rPr>
          <w:rFonts w:hint="eastAsia" w:ascii="宋体" w:hAnsi="宋体" w:cs="宋体"/>
          <w:color w:val="000000"/>
          <w:kern w:val="10"/>
          <w:sz w:val="24"/>
          <w:u w:val="single"/>
        </w:rPr>
        <w:t xml:space="preserve">                        </w:t>
      </w:r>
    </w:p>
    <w:p w14:paraId="5465909B">
      <w:pPr>
        <w:spacing w:line="360" w:lineRule="auto"/>
        <w:rPr>
          <w:rFonts w:ascii="宋体" w:hAnsi="宋体" w:cs="宋体"/>
          <w:color w:val="000000"/>
          <w:kern w:val="10"/>
          <w:sz w:val="24"/>
        </w:rPr>
      </w:pPr>
      <w:r>
        <w:rPr>
          <w:rFonts w:hint="eastAsia" w:ascii="宋体" w:hAnsi="宋体" w:cs="宋体"/>
          <w:color w:val="000000"/>
          <w:kern w:val="10"/>
          <w:sz w:val="24"/>
        </w:rPr>
        <w:t>单位性质：</w:t>
      </w:r>
      <w:r>
        <w:rPr>
          <w:rFonts w:hint="eastAsia" w:ascii="宋体" w:hAnsi="宋体" w:cs="宋体"/>
          <w:color w:val="000000"/>
          <w:kern w:val="10"/>
          <w:sz w:val="24"/>
          <w:u w:val="single"/>
        </w:rPr>
        <w:t xml:space="preserve">                        </w:t>
      </w:r>
    </w:p>
    <w:p w14:paraId="3EE9CFE7">
      <w:pPr>
        <w:spacing w:line="360" w:lineRule="auto"/>
        <w:rPr>
          <w:rFonts w:ascii="宋体" w:hAnsi="宋体" w:cs="宋体"/>
          <w:color w:val="000000"/>
          <w:kern w:val="10"/>
          <w:sz w:val="24"/>
        </w:rPr>
      </w:pPr>
      <w:r>
        <w:rPr>
          <w:rFonts w:hint="eastAsia" w:ascii="宋体" w:hAnsi="宋体" w:cs="宋体"/>
          <w:color w:val="000000"/>
          <w:kern w:val="10"/>
          <w:sz w:val="24"/>
        </w:rPr>
        <w:t>地址：</w:t>
      </w:r>
      <w:r>
        <w:rPr>
          <w:rFonts w:hint="eastAsia" w:ascii="宋体" w:hAnsi="宋体" w:cs="宋体"/>
          <w:color w:val="000000"/>
          <w:kern w:val="10"/>
          <w:sz w:val="24"/>
          <w:u w:val="single"/>
        </w:rPr>
        <w:t xml:space="preserve">                        </w:t>
      </w:r>
    </w:p>
    <w:p w14:paraId="6925D7C6">
      <w:pPr>
        <w:spacing w:line="360" w:lineRule="auto"/>
        <w:rPr>
          <w:rFonts w:ascii="宋体" w:hAnsi="宋体" w:cs="宋体"/>
          <w:color w:val="000000"/>
          <w:kern w:val="10"/>
          <w:sz w:val="24"/>
        </w:rPr>
      </w:pPr>
      <w:r>
        <w:rPr>
          <w:rFonts w:hint="eastAsia" w:ascii="宋体" w:hAnsi="宋体" w:cs="宋体"/>
          <w:color w:val="000000"/>
          <w:kern w:val="10"/>
          <w:sz w:val="24"/>
        </w:rPr>
        <w:t>成立时间：</w:t>
      </w:r>
      <w:r>
        <w:rPr>
          <w:rFonts w:hint="eastAsia" w:ascii="宋体" w:hAnsi="宋体" w:cs="宋体"/>
          <w:color w:val="000000"/>
          <w:kern w:val="10"/>
          <w:sz w:val="24"/>
          <w:u w:val="single"/>
        </w:rPr>
        <w:t xml:space="preserve">        年      月      日</w:t>
      </w:r>
    </w:p>
    <w:p w14:paraId="4AB0E451">
      <w:pPr>
        <w:spacing w:line="360" w:lineRule="auto"/>
        <w:rPr>
          <w:rFonts w:ascii="宋体" w:hAnsi="宋体" w:cs="宋体"/>
          <w:color w:val="000000"/>
          <w:kern w:val="10"/>
          <w:sz w:val="24"/>
        </w:rPr>
      </w:pPr>
      <w:r>
        <w:rPr>
          <w:rFonts w:hint="eastAsia" w:ascii="宋体" w:hAnsi="宋体" w:cs="宋体"/>
          <w:color w:val="000000"/>
          <w:kern w:val="10"/>
          <w:sz w:val="24"/>
        </w:rPr>
        <w:t>经营期限：</w:t>
      </w:r>
      <w:r>
        <w:rPr>
          <w:rFonts w:hint="eastAsia" w:ascii="宋体" w:hAnsi="宋体" w:cs="宋体"/>
          <w:color w:val="000000"/>
          <w:kern w:val="10"/>
          <w:sz w:val="24"/>
          <w:u w:val="single"/>
        </w:rPr>
        <w:t xml:space="preserve">          </w:t>
      </w:r>
    </w:p>
    <w:p w14:paraId="08F08209">
      <w:pPr>
        <w:spacing w:line="360" w:lineRule="auto"/>
        <w:rPr>
          <w:rFonts w:ascii="宋体" w:hAnsi="宋体" w:cs="宋体"/>
          <w:color w:val="000000"/>
          <w:kern w:val="10"/>
          <w:sz w:val="24"/>
        </w:rPr>
      </w:pPr>
      <w:r>
        <w:rPr>
          <w:rFonts w:hint="eastAsia" w:ascii="宋体" w:hAnsi="宋体" w:cs="宋体"/>
          <w:color w:val="000000"/>
          <w:kern w:val="10"/>
          <w:sz w:val="24"/>
        </w:rPr>
        <w:t>姓名：</w:t>
      </w:r>
      <w:r>
        <w:rPr>
          <w:rFonts w:hint="eastAsia" w:ascii="宋体" w:hAnsi="宋体" w:cs="宋体"/>
          <w:color w:val="000000"/>
          <w:kern w:val="10"/>
          <w:sz w:val="24"/>
          <w:u w:val="single"/>
        </w:rPr>
        <w:t xml:space="preserve">                     </w:t>
      </w:r>
      <w:r>
        <w:rPr>
          <w:rFonts w:hint="eastAsia" w:ascii="宋体" w:hAnsi="宋体" w:cs="宋体"/>
          <w:color w:val="000000"/>
          <w:kern w:val="10"/>
          <w:sz w:val="24"/>
        </w:rPr>
        <w:t>性别：</w:t>
      </w:r>
      <w:r>
        <w:rPr>
          <w:rFonts w:hint="eastAsia" w:ascii="宋体" w:hAnsi="宋体" w:cs="宋体"/>
          <w:color w:val="000000"/>
          <w:kern w:val="10"/>
          <w:sz w:val="24"/>
          <w:u w:val="single"/>
        </w:rPr>
        <w:t xml:space="preserve">        </w:t>
      </w:r>
      <w:r>
        <w:rPr>
          <w:rFonts w:hint="eastAsia" w:ascii="宋体" w:hAnsi="宋体" w:cs="宋体"/>
          <w:color w:val="000000"/>
          <w:kern w:val="10"/>
          <w:sz w:val="24"/>
        </w:rPr>
        <w:t>年龄：</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职务：</w:t>
      </w:r>
      <w:r>
        <w:rPr>
          <w:rFonts w:hint="eastAsia" w:ascii="宋体" w:hAnsi="宋体" w:cs="宋体"/>
          <w:color w:val="000000"/>
          <w:kern w:val="10"/>
          <w:sz w:val="24"/>
          <w:u w:val="single"/>
        </w:rPr>
        <w:t xml:space="preserve">          </w:t>
      </w:r>
    </w:p>
    <w:p w14:paraId="129B8D32">
      <w:pPr>
        <w:spacing w:line="360" w:lineRule="auto"/>
        <w:rPr>
          <w:rFonts w:ascii="宋体" w:hAnsi="宋体" w:cs="宋体"/>
          <w:color w:val="000000"/>
          <w:kern w:val="10"/>
          <w:sz w:val="24"/>
        </w:rPr>
      </w:pPr>
      <w:r>
        <w:rPr>
          <w:rFonts w:hint="eastAsia" w:ascii="宋体" w:hAnsi="宋体" w:cs="宋体"/>
          <w:color w:val="000000"/>
          <w:kern w:val="10"/>
          <w:sz w:val="24"/>
        </w:rPr>
        <w:t>系</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名称）的法定代表人。</w:t>
      </w:r>
    </w:p>
    <w:p w14:paraId="481B524C">
      <w:pPr>
        <w:spacing w:line="360" w:lineRule="auto"/>
        <w:rPr>
          <w:rFonts w:ascii="宋体" w:hAnsi="宋体" w:cs="宋体"/>
          <w:color w:val="000000"/>
          <w:kern w:val="10"/>
          <w:sz w:val="24"/>
        </w:rPr>
      </w:pPr>
      <w:r>
        <w:rPr>
          <w:rFonts w:hint="eastAsia" w:ascii="宋体" w:hAnsi="宋体" w:cs="宋体"/>
          <w:color w:val="000000"/>
          <w:kern w:val="10"/>
          <w:sz w:val="24"/>
        </w:rPr>
        <w:t xml:space="preserve">    特此证明。</w:t>
      </w:r>
    </w:p>
    <w:p w14:paraId="722A4544">
      <w:pPr>
        <w:spacing w:line="360" w:lineRule="auto"/>
        <w:rPr>
          <w:rFonts w:ascii="宋体" w:hAnsi="宋体" w:cs="宋体"/>
          <w:color w:val="000000"/>
          <w:kern w:val="10"/>
          <w:sz w:val="24"/>
        </w:rPr>
      </w:pPr>
      <w:r>
        <w:rPr>
          <w:rFonts w:hint="eastAsia" w:ascii="宋体" w:hAnsi="宋体" w:cs="宋体"/>
          <w:color w:val="000000"/>
          <w:kern w:val="10"/>
          <w:sz w:val="24"/>
        </w:rPr>
        <w:t xml:space="preserve">                                     </w:t>
      </w:r>
    </w:p>
    <w:p w14:paraId="3519E255">
      <w:pPr>
        <w:spacing w:line="360" w:lineRule="auto"/>
        <w:rPr>
          <w:rFonts w:ascii="宋体" w:hAnsi="宋体" w:cs="宋体"/>
          <w:color w:val="000000"/>
          <w:kern w:val="10"/>
          <w:sz w:val="24"/>
        </w:rPr>
      </w:pPr>
    </w:p>
    <w:p w14:paraId="4C417077">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335E5555">
      <w:pPr>
        <w:spacing w:line="360" w:lineRule="auto"/>
        <w:rPr>
          <w:rFonts w:ascii="宋体" w:hAnsi="宋体" w:cs="宋体"/>
          <w:color w:val="000000"/>
          <w:kern w:val="10"/>
          <w:sz w:val="24"/>
        </w:rPr>
      </w:pPr>
    </w:p>
    <w:p w14:paraId="1199F6EE">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BBC83C9">
      <w:pPr>
        <w:spacing w:line="360" w:lineRule="auto"/>
        <w:rPr>
          <w:rFonts w:ascii="宋体" w:hAnsi="宋体" w:cs="宋体"/>
          <w:color w:val="000000"/>
          <w:kern w:val="10"/>
          <w:sz w:val="24"/>
        </w:rPr>
      </w:pPr>
    </w:p>
    <w:p w14:paraId="44222388">
      <w:pPr>
        <w:spacing w:line="360" w:lineRule="auto"/>
        <w:rPr>
          <w:rFonts w:ascii="宋体" w:hAnsi="宋体" w:cs="宋体"/>
          <w:color w:val="000000"/>
          <w:kern w:val="10"/>
          <w:sz w:val="24"/>
        </w:rPr>
      </w:pPr>
    </w:p>
    <w:p w14:paraId="24AFF8E0">
      <w:pPr>
        <w:spacing w:line="360" w:lineRule="auto"/>
        <w:rPr>
          <w:rFonts w:ascii="宋体" w:hAnsi="宋体" w:cs="宋体"/>
          <w:color w:val="000000"/>
          <w:kern w:val="10"/>
          <w:sz w:val="24"/>
        </w:rPr>
      </w:pPr>
      <w:r>
        <w:rPr>
          <w:rFonts w:hint="eastAsia" w:ascii="宋体" w:hAnsi="宋体" w:cs="宋体"/>
          <w:color w:val="000000"/>
          <w:sz w:val="24"/>
        </w:rPr>
        <w:t>附：法定代表人身份证复印件或扫描件</w:t>
      </w:r>
    </w:p>
    <w:p w14:paraId="3BC57641">
      <w:pPr>
        <w:spacing w:line="360" w:lineRule="auto"/>
        <w:rPr>
          <w:rFonts w:ascii="宋体" w:hAnsi="宋体" w:cs="宋体"/>
          <w:color w:val="000000"/>
          <w:kern w:val="10"/>
          <w:sz w:val="24"/>
        </w:rPr>
      </w:pPr>
    </w:p>
    <w:p w14:paraId="037E28D0">
      <w:pPr>
        <w:spacing w:line="360" w:lineRule="auto"/>
        <w:rPr>
          <w:rFonts w:ascii="宋体" w:hAnsi="宋体" w:cs="宋体"/>
          <w:color w:val="000000"/>
          <w:kern w:val="10"/>
          <w:sz w:val="24"/>
        </w:rPr>
      </w:pPr>
    </w:p>
    <w:p w14:paraId="6439C22A">
      <w:pPr>
        <w:spacing w:line="360" w:lineRule="auto"/>
        <w:rPr>
          <w:rFonts w:ascii="宋体" w:hAnsi="宋体" w:cs="宋体"/>
          <w:color w:val="000000"/>
          <w:kern w:val="10"/>
          <w:sz w:val="24"/>
        </w:rPr>
      </w:pPr>
    </w:p>
    <w:p w14:paraId="5E0F5D73">
      <w:pPr>
        <w:spacing w:line="360" w:lineRule="auto"/>
        <w:rPr>
          <w:rFonts w:ascii="宋体" w:hAnsi="宋体" w:cs="宋体"/>
          <w:color w:val="000000"/>
          <w:kern w:val="10"/>
          <w:sz w:val="24"/>
        </w:rPr>
      </w:pPr>
    </w:p>
    <w:p w14:paraId="69102E11">
      <w:pPr>
        <w:spacing w:line="360" w:lineRule="auto"/>
        <w:rPr>
          <w:rFonts w:ascii="宋体" w:hAnsi="宋体" w:cs="宋体"/>
          <w:color w:val="000000"/>
          <w:kern w:val="10"/>
          <w:sz w:val="24"/>
        </w:rPr>
      </w:pPr>
    </w:p>
    <w:p w14:paraId="76722AE6">
      <w:pPr>
        <w:spacing w:line="360" w:lineRule="auto"/>
        <w:rPr>
          <w:rFonts w:ascii="宋体" w:hAnsi="宋体" w:cs="宋体"/>
          <w:color w:val="000000"/>
          <w:kern w:val="10"/>
          <w:sz w:val="24"/>
        </w:rPr>
      </w:pPr>
    </w:p>
    <w:p w14:paraId="23A5C634">
      <w:pPr>
        <w:spacing w:line="360" w:lineRule="auto"/>
        <w:rPr>
          <w:rFonts w:ascii="宋体" w:hAnsi="宋体" w:cs="宋体"/>
          <w:color w:val="000000"/>
          <w:kern w:val="10"/>
          <w:sz w:val="24"/>
        </w:rPr>
      </w:pPr>
    </w:p>
    <w:p w14:paraId="39465E04">
      <w:pPr>
        <w:spacing w:line="360" w:lineRule="auto"/>
        <w:rPr>
          <w:rFonts w:ascii="宋体" w:hAnsi="宋体" w:cs="宋体"/>
          <w:color w:val="000000"/>
          <w:kern w:val="10"/>
          <w:sz w:val="24"/>
        </w:rPr>
      </w:pPr>
    </w:p>
    <w:p w14:paraId="048BFC40">
      <w:pPr>
        <w:spacing w:line="360" w:lineRule="auto"/>
        <w:rPr>
          <w:rFonts w:ascii="宋体" w:hAnsi="宋体" w:cs="宋体"/>
          <w:color w:val="000000"/>
          <w:kern w:val="10"/>
          <w:sz w:val="24"/>
        </w:rPr>
      </w:pPr>
    </w:p>
    <w:p w14:paraId="65ED2998">
      <w:pPr>
        <w:spacing w:line="360" w:lineRule="auto"/>
        <w:rPr>
          <w:rFonts w:ascii="宋体" w:hAnsi="宋体" w:cs="宋体"/>
          <w:color w:val="000000"/>
          <w:kern w:val="10"/>
          <w:sz w:val="24"/>
        </w:rPr>
      </w:pPr>
    </w:p>
    <w:p w14:paraId="449B7482">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（二）授权委托书</w:t>
      </w:r>
    </w:p>
    <w:p w14:paraId="3CBCE9A9">
      <w:pPr>
        <w:spacing w:line="360" w:lineRule="auto"/>
        <w:rPr>
          <w:rFonts w:ascii="宋体" w:hAnsi="宋体" w:cs="宋体"/>
          <w:color w:val="000000"/>
          <w:kern w:val="10"/>
          <w:sz w:val="24"/>
        </w:rPr>
      </w:pPr>
    </w:p>
    <w:p w14:paraId="5B742686">
      <w:pPr>
        <w:spacing w:line="500" w:lineRule="exact"/>
        <w:ind w:firstLine="480" w:firstLineChars="200"/>
        <w:rPr>
          <w:rFonts w:ascii="宋体" w:hAnsi="宋体" w:cs="宋体"/>
          <w:color w:val="000000"/>
          <w:sz w:val="24"/>
        </w:rPr>
      </w:pPr>
      <w:r>
        <w:rPr>
          <w:rFonts w:hint="eastAsia" w:ascii="宋体" w:hAnsi="宋体" w:cs="宋体"/>
          <w:color w:val="000000"/>
          <w:sz w:val="24"/>
        </w:rPr>
        <w:t>本人</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val="en-US" w:eastAsia="zh-CN"/>
        </w:rPr>
        <w:t>供应商</w:t>
      </w:r>
      <w:r>
        <w:rPr>
          <w:rFonts w:hint="eastAsia" w:ascii="宋体" w:hAnsi="宋体" w:cs="宋体"/>
          <w:color w:val="000000"/>
          <w:sz w:val="24"/>
        </w:rPr>
        <w:t>名称）的法定代表人，现委托</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（姓名）为我方代理人。代理人根据授权，以我方名义签署、澄清、递交、撤回、修改</w:t>
      </w:r>
      <w:r>
        <w:rPr>
          <w:rFonts w:hint="eastAsia" w:ascii="宋体" w:hAnsi="宋体" w:cs="宋体"/>
          <w:color w:val="000000"/>
          <w:sz w:val="24"/>
          <w:u w:val="single"/>
        </w:rPr>
        <w:t xml:space="preserve">           </w:t>
      </w:r>
      <w:r>
        <w:rPr>
          <w:rFonts w:hint="eastAsia" w:ascii="宋体" w:hAnsi="宋体" w:cs="宋体"/>
          <w:color w:val="000000"/>
          <w:sz w:val="24"/>
        </w:rPr>
        <w:t>（项目名称）投标文件、签订合同和处理有关事宜，其法律后果由我方承担。</w:t>
      </w:r>
    </w:p>
    <w:p w14:paraId="37A05786">
      <w:pPr>
        <w:spacing w:line="500" w:lineRule="exact"/>
        <w:ind w:firstLine="480" w:firstLineChars="200"/>
        <w:rPr>
          <w:rFonts w:ascii="宋体" w:hAnsi="宋体" w:cs="宋体"/>
          <w:color w:val="000000"/>
          <w:sz w:val="24"/>
        </w:rPr>
      </w:pPr>
      <w:r>
        <w:rPr>
          <w:rFonts w:hint="eastAsia" w:ascii="宋体" w:hAnsi="宋体" w:cs="宋体"/>
          <w:color w:val="000000"/>
          <w:sz w:val="24"/>
        </w:rPr>
        <w:t>委托期限：</w:t>
      </w:r>
      <w:r>
        <w:rPr>
          <w:rFonts w:hint="eastAsia" w:ascii="宋体" w:hAnsi="宋体" w:cs="宋体"/>
          <w:color w:val="000000"/>
          <w:sz w:val="24"/>
          <w:u w:val="single"/>
        </w:rPr>
        <w:t xml:space="preserve">          </w:t>
      </w:r>
      <w:r>
        <w:rPr>
          <w:rFonts w:hint="eastAsia" w:ascii="宋体" w:hAnsi="宋体" w:cs="宋体"/>
          <w:color w:val="000000"/>
          <w:sz w:val="24"/>
        </w:rPr>
        <w:t>。</w:t>
      </w:r>
    </w:p>
    <w:p w14:paraId="15723A4D">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 </w:t>
      </w:r>
    </w:p>
    <w:p w14:paraId="40649CE2">
      <w:pPr>
        <w:spacing w:line="500" w:lineRule="exact"/>
        <w:ind w:firstLine="480" w:firstLineChars="200"/>
        <w:rPr>
          <w:rFonts w:ascii="宋体" w:hAnsi="宋体" w:cs="宋体"/>
          <w:color w:val="000000"/>
          <w:sz w:val="24"/>
        </w:rPr>
      </w:pPr>
      <w:r>
        <w:rPr>
          <w:rFonts w:hint="eastAsia" w:ascii="宋体" w:hAnsi="宋体" w:cs="宋体"/>
          <w:color w:val="000000"/>
          <w:sz w:val="24"/>
        </w:rPr>
        <w:t>附：委托代理人身份证扫描件正反面</w:t>
      </w:r>
    </w:p>
    <w:p w14:paraId="532036AE">
      <w:pPr>
        <w:spacing w:line="500" w:lineRule="exact"/>
        <w:rPr>
          <w:rFonts w:ascii="宋体" w:hAnsi="宋体" w:cs="宋体"/>
          <w:color w:val="000000"/>
          <w:sz w:val="24"/>
        </w:rPr>
      </w:pPr>
    </w:p>
    <w:p w14:paraId="231191A3">
      <w:pPr>
        <w:spacing w:line="500" w:lineRule="exact"/>
        <w:rPr>
          <w:rFonts w:ascii="宋体" w:hAnsi="宋体" w:cs="宋体"/>
          <w:color w:val="000000"/>
          <w:sz w:val="24"/>
        </w:rPr>
      </w:pPr>
    </w:p>
    <w:p w14:paraId="5E47E944">
      <w:pPr>
        <w:spacing w:line="500" w:lineRule="exac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供应商</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62EA01C6">
      <w:pPr>
        <w:spacing w:line="500" w:lineRule="exact"/>
        <w:rPr>
          <w:rFonts w:ascii="宋体" w:hAnsi="宋体" w:cs="宋体"/>
          <w:color w:val="000000"/>
          <w:sz w:val="24"/>
        </w:rPr>
      </w:pPr>
      <w:r>
        <w:rPr>
          <w:rFonts w:hint="eastAsia" w:ascii="宋体" w:hAnsi="宋体" w:cs="宋体"/>
          <w:color w:val="000000"/>
          <w:sz w:val="24"/>
        </w:rPr>
        <w:t xml:space="preserve">                                法定代表人：</w:t>
      </w:r>
      <w:r>
        <w:rPr>
          <w:rFonts w:hint="eastAsia" w:ascii="宋体" w:hAnsi="宋体" w:cs="宋体"/>
          <w:color w:val="000000"/>
          <w:sz w:val="24"/>
          <w:u w:val="single"/>
        </w:rPr>
        <w:t xml:space="preserve">                    </w:t>
      </w:r>
      <w:r>
        <w:rPr>
          <w:rFonts w:hint="eastAsia" w:ascii="宋体" w:hAnsi="宋体" w:cs="宋体"/>
          <w:color w:val="000000"/>
          <w:sz w:val="24"/>
        </w:rPr>
        <w:t>（电子签章）</w:t>
      </w:r>
    </w:p>
    <w:p w14:paraId="2D9635C0">
      <w:pPr>
        <w:spacing w:line="500" w:lineRule="exact"/>
        <w:rPr>
          <w:rFonts w:ascii="宋体" w:hAnsi="宋体" w:cs="宋体"/>
          <w:color w:val="000000"/>
          <w:sz w:val="24"/>
        </w:rPr>
      </w:pPr>
      <w:r>
        <w:rPr>
          <w:rFonts w:hint="eastAsia" w:ascii="宋体" w:hAnsi="宋体" w:cs="宋体"/>
          <w:color w:val="000000"/>
          <w:sz w:val="24"/>
        </w:rPr>
        <w:t xml:space="preserve">                             </w:t>
      </w:r>
    </w:p>
    <w:p w14:paraId="648F96D1">
      <w:pPr>
        <w:spacing w:line="500" w:lineRule="exact"/>
        <w:rPr>
          <w:rFonts w:ascii="宋体" w:hAnsi="宋体" w:cs="宋体"/>
          <w:color w:val="000000"/>
          <w:sz w:val="24"/>
        </w:rPr>
      </w:pPr>
    </w:p>
    <w:p w14:paraId="1E891205">
      <w:pPr>
        <w:autoSpaceDE w:val="0"/>
        <w:autoSpaceDN w:val="0"/>
        <w:spacing w:line="560" w:lineRule="exact"/>
        <w:rPr>
          <w:rFonts w:ascii="宋体" w:hAnsi="宋体" w:cs="宋体"/>
          <w:b/>
          <w:bCs/>
          <w:color w:val="000000"/>
          <w:sz w:val="44"/>
          <w:szCs w:val="44"/>
          <w:lang w:val="zh-CN"/>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B8662A4">
      <w:pPr>
        <w:spacing w:line="360" w:lineRule="auto"/>
        <w:rPr>
          <w:rFonts w:ascii="宋体" w:hAnsi="宋体" w:cs="宋体"/>
          <w:color w:val="000000"/>
          <w:kern w:val="10"/>
          <w:sz w:val="24"/>
        </w:rPr>
      </w:pPr>
    </w:p>
    <w:p w14:paraId="0B97B2B1">
      <w:pPr>
        <w:spacing w:line="360" w:lineRule="auto"/>
        <w:rPr>
          <w:rFonts w:ascii="宋体" w:hAnsi="宋体" w:cs="宋体"/>
          <w:color w:val="000000"/>
          <w:kern w:val="10"/>
          <w:sz w:val="24"/>
        </w:rPr>
      </w:pPr>
    </w:p>
    <w:p w14:paraId="014FBEB5">
      <w:pPr>
        <w:spacing w:line="360" w:lineRule="auto"/>
        <w:rPr>
          <w:rFonts w:ascii="宋体" w:hAnsi="宋体" w:cs="宋体"/>
          <w:color w:val="000000"/>
          <w:kern w:val="10"/>
          <w:sz w:val="24"/>
        </w:rPr>
      </w:pPr>
    </w:p>
    <w:p w14:paraId="292037B8">
      <w:pPr>
        <w:spacing w:line="360" w:lineRule="auto"/>
        <w:rPr>
          <w:rFonts w:ascii="宋体" w:hAnsi="宋体" w:cs="宋体"/>
          <w:color w:val="000000"/>
          <w:kern w:val="10"/>
          <w:sz w:val="24"/>
        </w:rPr>
      </w:pPr>
    </w:p>
    <w:p w14:paraId="615E462E">
      <w:pPr>
        <w:spacing w:line="360" w:lineRule="auto"/>
        <w:jc w:val="center"/>
        <w:rPr>
          <w:rFonts w:ascii="宋体" w:hAnsi="宋体" w:cs="宋体"/>
          <w:b/>
          <w:bCs/>
          <w:color w:val="000000"/>
          <w:kern w:val="10"/>
          <w:sz w:val="28"/>
          <w:szCs w:val="28"/>
        </w:rPr>
      </w:pPr>
      <w:bookmarkStart w:id="105" w:name="_Toc29319"/>
      <w:bookmarkStart w:id="106" w:name="_Toc18813"/>
      <w:bookmarkStart w:id="107" w:name="_Toc6625"/>
      <w:bookmarkStart w:id="108" w:name="_Toc22419"/>
      <w:bookmarkStart w:id="109" w:name="_Toc234382964"/>
    </w:p>
    <w:p w14:paraId="3121F6CA">
      <w:pPr>
        <w:spacing w:line="360" w:lineRule="auto"/>
        <w:jc w:val="center"/>
        <w:rPr>
          <w:rFonts w:ascii="宋体" w:hAnsi="宋体" w:cs="宋体"/>
          <w:b/>
          <w:bCs/>
          <w:color w:val="000000"/>
          <w:kern w:val="10"/>
          <w:sz w:val="28"/>
          <w:szCs w:val="28"/>
        </w:rPr>
      </w:pPr>
    </w:p>
    <w:p w14:paraId="284DEDA3">
      <w:pPr>
        <w:spacing w:line="360" w:lineRule="auto"/>
        <w:jc w:val="center"/>
        <w:rPr>
          <w:rFonts w:ascii="宋体" w:hAnsi="宋体" w:cs="宋体"/>
          <w:b/>
          <w:bCs/>
          <w:color w:val="000000"/>
          <w:kern w:val="10"/>
          <w:sz w:val="28"/>
          <w:szCs w:val="28"/>
        </w:rPr>
      </w:pPr>
    </w:p>
    <w:p w14:paraId="438AE8B2">
      <w:pPr>
        <w:spacing w:line="360" w:lineRule="auto"/>
        <w:jc w:val="center"/>
        <w:rPr>
          <w:rFonts w:ascii="宋体" w:hAnsi="宋体" w:cs="宋体"/>
          <w:b/>
          <w:bCs/>
          <w:color w:val="000000"/>
          <w:kern w:val="10"/>
          <w:sz w:val="28"/>
          <w:szCs w:val="28"/>
        </w:rPr>
      </w:pPr>
    </w:p>
    <w:p w14:paraId="18FA740D">
      <w:pPr>
        <w:spacing w:line="360" w:lineRule="auto"/>
        <w:jc w:val="center"/>
        <w:outlineLvl w:val="1"/>
        <w:rPr>
          <w:rFonts w:ascii="宋体" w:hAnsi="宋体" w:cs="宋体"/>
          <w:b/>
          <w:bCs/>
          <w:color w:val="000000"/>
          <w:kern w:val="10"/>
          <w:sz w:val="28"/>
          <w:szCs w:val="28"/>
        </w:rPr>
      </w:pPr>
      <w:bookmarkStart w:id="110" w:name="_Toc516499666"/>
      <w:bookmarkStart w:id="111" w:name="_Toc16571"/>
      <w:bookmarkStart w:id="112" w:name="_Toc99007058"/>
      <w:bookmarkStart w:id="113" w:name="_Toc57277895"/>
      <w:bookmarkStart w:id="114" w:name="_Toc23732"/>
      <w:bookmarkStart w:id="115" w:name="_Toc23239"/>
      <w:bookmarkStart w:id="116" w:name="_Toc25589"/>
      <w:r>
        <w:rPr>
          <w:rFonts w:hint="eastAsia" w:ascii="宋体" w:hAnsi="宋体" w:cs="宋体"/>
          <w:b/>
          <w:bCs/>
          <w:color w:val="000000"/>
          <w:kern w:val="10"/>
          <w:sz w:val="28"/>
          <w:szCs w:val="28"/>
        </w:rPr>
        <w:t>三、投标</w:t>
      </w:r>
      <w:bookmarkEnd w:id="105"/>
      <w:bookmarkEnd w:id="106"/>
      <w:bookmarkEnd w:id="107"/>
      <w:bookmarkEnd w:id="108"/>
      <w:bookmarkEnd w:id="109"/>
      <w:bookmarkEnd w:id="110"/>
      <w:r>
        <w:rPr>
          <w:rFonts w:hint="eastAsia" w:ascii="宋体" w:hAnsi="宋体" w:cs="宋体"/>
          <w:b/>
          <w:bCs/>
          <w:color w:val="000000"/>
          <w:kern w:val="10"/>
          <w:sz w:val="28"/>
          <w:szCs w:val="28"/>
        </w:rPr>
        <w:t>承诺函</w:t>
      </w:r>
      <w:bookmarkEnd w:id="111"/>
      <w:bookmarkEnd w:id="112"/>
      <w:bookmarkEnd w:id="113"/>
      <w:bookmarkEnd w:id="114"/>
      <w:bookmarkEnd w:id="115"/>
      <w:bookmarkEnd w:id="116"/>
    </w:p>
    <w:p w14:paraId="0B646CF3">
      <w:pPr>
        <w:spacing w:line="360" w:lineRule="auto"/>
        <w:rPr>
          <w:rFonts w:ascii="宋体" w:hAnsi="宋体" w:cs="宋体"/>
          <w:b/>
          <w:color w:val="000000"/>
          <w:kern w:val="10"/>
          <w:sz w:val="24"/>
        </w:rPr>
      </w:pPr>
      <w:r>
        <w:rPr>
          <w:rFonts w:hint="eastAsia" w:ascii="宋体" w:hAnsi="宋体" w:cs="宋体"/>
          <w:b/>
          <w:color w:val="000000"/>
          <w:kern w:val="10"/>
          <w:sz w:val="24"/>
        </w:rPr>
        <w:t>致：</w:t>
      </w:r>
      <w:r>
        <w:rPr>
          <w:rFonts w:hint="eastAsia" w:ascii="宋体" w:hAnsi="宋体" w:cs="宋体"/>
          <w:b/>
          <w:color w:val="000000"/>
          <w:kern w:val="10"/>
          <w:sz w:val="24"/>
          <w:u w:val="single"/>
        </w:rPr>
        <w:t xml:space="preserve">    （采购人）</w:t>
      </w:r>
      <w:r>
        <w:rPr>
          <w:rFonts w:hint="eastAsia" w:ascii="宋体" w:hAnsi="宋体" w:cs="宋体"/>
          <w:b/>
          <w:color w:val="000000"/>
          <w:kern w:val="10"/>
          <w:sz w:val="24"/>
        </w:rPr>
        <w:t xml:space="preserve">                       </w:t>
      </w:r>
    </w:p>
    <w:p w14:paraId="5F003012">
      <w:pPr>
        <w:spacing w:line="360" w:lineRule="auto"/>
        <w:ind w:firstLine="480" w:firstLineChars="200"/>
        <w:rPr>
          <w:rFonts w:ascii="宋体" w:hAnsi="宋体" w:cs="宋体"/>
          <w:color w:val="000000"/>
          <w:kern w:val="10"/>
          <w:sz w:val="24"/>
        </w:rPr>
      </w:pPr>
      <w:r>
        <w:rPr>
          <w:rFonts w:hint="eastAsia" w:ascii="宋体" w:hAnsi="宋体"/>
          <w:color w:val="000000"/>
          <w:kern w:val="10"/>
          <w:sz w:val="24"/>
        </w:rPr>
        <w:t>本承诺函作为我方参加政府采购项目投标文件不可分割的一部分。</w:t>
      </w:r>
      <w:r>
        <w:rPr>
          <w:rFonts w:hint="eastAsia" w:ascii="宋体" w:hAnsi="宋体"/>
          <w:color w:val="000000"/>
          <w:sz w:val="24"/>
        </w:rPr>
        <w:t>我单位在此郑重承诺</w:t>
      </w:r>
      <w:r>
        <w:rPr>
          <w:rFonts w:ascii="宋体" w:hAnsi="宋体"/>
          <w:color w:val="000000"/>
          <w:sz w:val="24"/>
        </w:rPr>
        <w:t>,</w:t>
      </w:r>
      <w:r>
        <w:rPr>
          <w:rFonts w:hint="eastAsia" w:ascii="宋体" w:hAnsi="宋体"/>
          <w:color w:val="000000"/>
          <w:sz w:val="24"/>
        </w:rPr>
        <w:t>如有以下情形之一的：</w:t>
      </w:r>
    </w:p>
    <w:p w14:paraId="6CE07DF6">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在磋商文件规定的投标有效期内撤回投标；</w:t>
      </w:r>
    </w:p>
    <w:p w14:paraId="513F3D3F">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在投标文件中提供虚假材料；</w:t>
      </w:r>
    </w:p>
    <w:p w14:paraId="1EEA71D8">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中标后无正当理由不与招标人或者招标代理机构签订合同；</w:t>
      </w:r>
    </w:p>
    <w:p w14:paraId="274E517C">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未能按磋商文件规定提交履约保证金；</w:t>
      </w:r>
    </w:p>
    <w:p w14:paraId="01BCBDA8">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将中标项目转让给他人，或者在投标文件中未说明，且未经招标人同意，将中标项目分包给他人的；</w:t>
      </w:r>
    </w:p>
    <w:p w14:paraId="755281C4">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拒绝履行合同义务；</w:t>
      </w:r>
    </w:p>
    <w:p w14:paraId="2DC54AB9">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与招标人、其他投标人或者招标代理机构恶意串通；</w:t>
      </w:r>
    </w:p>
    <w:p w14:paraId="010495AA">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在履约过程中未按磋商文件、中标的投标文件、生效的政府采购合同等约定</w:t>
      </w:r>
      <w:r>
        <w:rPr>
          <w:rFonts w:ascii="宋体" w:hAnsi="宋体" w:cs="微软雅黑"/>
          <w:color w:val="000000"/>
          <w:kern w:val="0"/>
          <w:sz w:val="24"/>
        </w:rPr>
        <w:t>,</w:t>
      </w:r>
      <w:r>
        <w:rPr>
          <w:rFonts w:hint="eastAsia" w:ascii="宋体" w:hAnsi="宋体" w:cs="微软雅黑"/>
          <w:color w:val="000000"/>
          <w:kern w:val="0"/>
          <w:sz w:val="24"/>
        </w:rPr>
        <w:t>提供货物、工程和服务；</w:t>
      </w:r>
    </w:p>
    <w:p w14:paraId="218E62CE">
      <w:pPr>
        <w:numPr>
          <w:ilvl w:val="0"/>
          <w:numId w:val="2"/>
        </w:numPr>
        <w:autoSpaceDE w:val="0"/>
        <w:autoSpaceDN w:val="0"/>
        <w:adjustRightInd w:val="0"/>
        <w:spacing w:line="360" w:lineRule="auto"/>
        <w:ind w:left="0" w:right="40" w:firstLine="480" w:firstLineChars="200"/>
        <w:jc w:val="left"/>
        <w:rPr>
          <w:rFonts w:ascii="宋体" w:hAnsi="宋体" w:cs="微软雅黑"/>
          <w:color w:val="000000"/>
          <w:kern w:val="0"/>
          <w:sz w:val="24"/>
        </w:rPr>
      </w:pPr>
      <w:r>
        <w:rPr>
          <w:rFonts w:hint="eastAsia" w:ascii="宋体" w:hAnsi="宋体" w:cs="微软雅黑"/>
          <w:color w:val="000000"/>
          <w:kern w:val="0"/>
          <w:sz w:val="24"/>
        </w:rPr>
        <w:t>未按磋商文件规定缴纳招标代理服务费；</w:t>
      </w:r>
    </w:p>
    <w:p w14:paraId="5FBF814D">
      <w:pPr>
        <w:autoSpaceDE w:val="0"/>
        <w:autoSpaceDN w:val="0"/>
        <w:adjustRightInd w:val="0"/>
        <w:spacing w:line="360" w:lineRule="auto"/>
        <w:ind w:left="420" w:leftChars="200" w:right="40"/>
        <w:jc w:val="left"/>
        <w:rPr>
          <w:rFonts w:ascii="宋体" w:hAnsi="宋体" w:cs="微软雅黑"/>
          <w:color w:val="000000"/>
          <w:kern w:val="0"/>
          <w:sz w:val="24"/>
        </w:rPr>
      </w:pPr>
      <w:r>
        <w:rPr>
          <w:rFonts w:hint="eastAsia" w:ascii="宋体" w:hAnsi="宋体" w:cs="微软雅黑"/>
          <w:color w:val="000000"/>
          <w:kern w:val="0"/>
          <w:sz w:val="24"/>
        </w:rPr>
        <w:t>（</w:t>
      </w:r>
      <w:r>
        <w:rPr>
          <w:rFonts w:ascii="宋体" w:hAnsi="宋体" w:cs="微软雅黑"/>
          <w:color w:val="000000"/>
          <w:kern w:val="0"/>
          <w:sz w:val="24"/>
        </w:rPr>
        <w:t>10</w:t>
      </w:r>
      <w:r>
        <w:rPr>
          <w:rFonts w:hint="eastAsia" w:ascii="宋体" w:hAnsi="宋体" w:cs="微软雅黑"/>
          <w:color w:val="000000"/>
          <w:kern w:val="0"/>
          <w:sz w:val="24"/>
        </w:rPr>
        <w:t>） 存在其他违法违规行为。</w:t>
      </w:r>
    </w:p>
    <w:p w14:paraId="09540B14">
      <w:pPr>
        <w:spacing w:line="360" w:lineRule="auto"/>
        <w:rPr>
          <w:rFonts w:ascii="宋体" w:hAnsi="宋体" w:cs="宋体"/>
          <w:b/>
          <w:bCs/>
          <w:color w:val="000000"/>
          <w:kern w:val="10"/>
          <w:sz w:val="24"/>
        </w:rPr>
      </w:pPr>
      <w:r>
        <w:rPr>
          <w:rFonts w:hint="eastAsia" w:ascii="宋体" w:hAnsi="宋体" w:cs="微软雅黑"/>
          <w:color w:val="000000"/>
          <w:kern w:val="0"/>
          <w:sz w:val="24"/>
        </w:rPr>
        <w:t>我单位</w:t>
      </w:r>
      <w:r>
        <w:rPr>
          <w:rFonts w:hint="eastAsia" w:ascii="宋体" w:hAnsi="宋体"/>
          <w:color w:val="000000"/>
          <w:sz w:val="24"/>
        </w:rPr>
        <w:t>自愿接受被处以中标无效，采购金额千分之五以上千分之十以下的罚款并赔偿招标人及招标代理机构的损失</w:t>
      </w:r>
      <w:r>
        <w:rPr>
          <w:rFonts w:hint="eastAsia" w:ascii="宋体" w:hAnsi="宋体" w:cs="微软雅黑"/>
          <w:color w:val="000000"/>
          <w:kern w:val="0"/>
          <w:sz w:val="24"/>
        </w:rPr>
        <w:t>，</w:t>
      </w:r>
      <w:r>
        <w:rPr>
          <w:rFonts w:hint="eastAsia" w:ascii="宋体" w:hAnsi="宋体"/>
          <w:color w:val="000000"/>
          <w:sz w:val="24"/>
        </w:rPr>
        <w:t>列入不良行为记录名单</w:t>
      </w:r>
      <w:r>
        <w:rPr>
          <w:rFonts w:hint="eastAsia" w:ascii="宋体" w:hAnsi="宋体" w:cs="微软雅黑"/>
          <w:color w:val="000000"/>
          <w:kern w:val="0"/>
          <w:sz w:val="24"/>
        </w:rPr>
        <w:t>，</w:t>
      </w:r>
      <w:r>
        <w:rPr>
          <w:rFonts w:hint="eastAsia" w:ascii="宋体" w:hAnsi="宋体"/>
          <w:color w:val="000000"/>
          <w:sz w:val="24"/>
        </w:rPr>
        <w:t>在一至三年内禁止参加政府采购活动</w:t>
      </w:r>
      <w:r>
        <w:rPr>
          <w:rFonts w:hint="eastAsia" w:ascii="宋体" w:hAnsi="宋体" w:cs="微软雅黑"/>
          <w:color w:val="000000"/>
          <w:kern w:val="0"/>
          <w:sz w:val="24"/>
        </w:rPr>
        <w:t>，</w:t>
      </w:r>
      <w:r>
        <w:rPr>
          <w:rFonts w:hint="eastAsia" w:ascii="宋体" w:hAnsi="宋体"/>
          <w:color w:val="000000"/>
          <w:sz w:val="24"/>
        </w:rPr>
        <w:t>有违法所得的</w:t>
      </w:r>
      <w:r>
        <w:rPr>
          <w:rFonts w:hint="eastAsia" w:ascii="宋体" w:hAnsi="宋体" w:cs="微软雅黑"/>
          <w:color w:val="000000"/>
          <w:kern w:val="0"/>
          <w:sz w:val="24"/>
        </w:rPr>
        <w:t>，</w:t>
      </w:r>
      <w:r>
        <w:rPr>
          <w:rFonts w:hint="eastAsia" w:ascii="宋体" w:hAnsi="宋体"/>
          <w:color w:val="000000"/>
          <w:sz w:val="24"/>
        </w:rPr>
        <w:t>并处没收违法所得，情节严重的，由工商行政管理机关吊销营业执照；构成犯罪的，依法追究刑事责任。</w:t>
      </w:r>
    </w:p>
    <w:p w14:paraId="7C935124">
      <w:pPr>
        <w:spacing w:line="360" w:lineRule="auto"/>
        <w:ind w:firstLine="480" w:firstLineChars="200"/>
        <w:rPr>
          <w:rFonts w:ascii="宋体" w:hAnsi="宋体" w:cs="宋体"/>
          <w:color w:val="000000"/>
          <w:kern w:val="10"/>
          <w:sz w:val="24"/>
        </w:rPr>
      </w:pPr>
    </w:p>
    <w:p w14:paraId="2C820F1E">
      <w:pPr>
        <w:spacing w:line="360" w:lineRule="auto"/>
        <w:rPr>
          <w:rFonts w:ascii="宋体" w:hAnsi="宋体" w:cs="宋体"/>
          <w:color w:val="000000"/>
          <w:kern w:val="10"/>
          <w:sz w:val="24"/>
        </w:rPr>
      </w:pPr>
    </w:p>
    <w:p w14:paraId="67868E02">
      <w:pPr>
        <w:spacing w:line="360" w:lineRule="auto"/>
        <w:rPr>
          <w:rFonts w:ascii="宋体" w:hAnsi="宋体" w:cs="宋体"/>
          <w:color w:val="000000"/>
          <w:kern w:val="10"/>
          <w:sz w:val="24"/>
        </w:rPr>
      </w:pPr>
    </w:p>
    <w:p w14:paraId="3763F700">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w:t>
      </w:r>
    </w:p>
    <w:p w14:paraId="33600A20">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p>
    <w:p w14:paraId="6AE7935D">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093C6562">
      <w:pPr>
        <w:spacing w:line="360" w:lineRule="auto"/>
        <w:jc w:val="center"/>
        <w:rPr>
          <w:rFonts w:hint="eastAsia" w:ascii="宋体" w:hAnsi="宋体" w:cs="宋体"/>
          <w:b/>
          <w:bCs/>
          <w:color w:val="000000"/>
          <w:kern w:val="10"/>
          <w:sz w:val="28"/>
          <w:szCs w:val="28"/>
        </w:rPr>
      </w:pPr>
      <w:bookmarkStart w:id="117" w:name="_Toc25666"/>
      <w:bookmarkStart w:id="118" w:name="_Toc57708788"/>
      <w:bookmarkStart w:id="119" w:name="_Toc23983"/>
      <w:bookmarkStart w:id="120" w:name="_Toc11013"/>
      <w:bookmarkStart w:id="121" w:name="_Toc14627"/>
      <w:bookmarkStart w:id="122" w:name="_Toc27965"/>
      <w:bookmarkStart w:id="123" w:name="_Toc99007059"/>
      <w:bookmarkStart w:id="124" w:name="_Toc21360"/>
      <w:bookmarkStart w:id="125" w:name="_Toc17218"/>
      <w:bookmarkStart w:id="126" w:name="_Toc26763"/>
      <w:bookmarkStart w:id="127" w:name="_Toc516499667"/>
      <w:bookmarkStart w:id="128" w:name="_Toc57277896"/>
    </w:p>
    <w:p w14:paraId="44ED50A2">
      <w:pPr>
        <w:spacing w:line="360" w:lineRule="auto"/>
        <w:jc w:val="center"/>
        <w:rPr>
          <w:rFonts w:hint="eastAsia" w:ascii="宋体" w:hAnsi="宋体" w:cs="宋体"/>
          <w:b/>
          <w:bCs/>
          <w:color w:val="000000"/>
          <w:kern w:val="10"/>
          <w:sz w:val="28"/>
          <w:szCs w:val="28"/>
        </w:rPr>
      </w:pPr>
    </w:p>
    <w:p w14:paraId="2B6B0C33">
      <w:pPr>
        <w:spacing w:line="360" w:lineRule="auto"/>
        <w:jc w:val="center"/>
        <w:rPr>
          <w:rFonts w:ascii="宋体" w:hAnsi="宋体" w:cs="宋体"/>
          <w:b/>
          <w:bCs/>
          <w:color w:val="000000"/>
          <w:kern w:val="10"/>
          <w:sz w:val="28"/>
          <w:szCs w:val="28"/>
        </w:rPr>
      </w:pPr>
      <w:r>
        <w:rPr>
          <w:rFonts w:hint="eastAsia" w:ascii="宋体" w:hAnsi="宋体" w:cs="宋体"/>
          <w:b/>
          <w:bCs/>
          <w:color w:val="000000"/>
          <w:kern w:val="10"/>
          <w:sz w:val="28"/>
          <w:szCs w:val="28"/>
        </w:rPr>
        <w:t>四、报价一览表</w:t>
      </w:r>
      <w:bookmarkEnd w:id="117"/>
      <w:bookmarkEnd w:id="118"/>
    </w:p>
    <w:p w14:paraId="3DEEC604">
      <w:pPr>
        <w:spacing w:line="360" w:lineRule="auto"/>
        <w:rPr>
          <w:rFonts w:ascii="宋体" w:hAnsi="宋体" w:cs="宋体"/>
          <w:b/>
          <w:bCs/>
          <w:color w:val="000000"/>
          <w:kern w:val="10"/>
          <w:sz w:val="24"/>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71"/>
        <w:gridCol w:w="888"/>
        <w:gridCol w:w="1041"/>
        <w:gridCol w:w="1298"/>
        <w:gridCol w:w="649"/>
        <w:gridCol w:w="649"/>
        <w:gridCol w:w="909"/>
        <w:gridCol w:w="672"/>
        <w:gridCol w:w="989"/>
      </w:tblGrid>
      <w:tr w14:paraId="59D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61" w:type="pct"/>
            <w:noWrap w:val="0"/>
            <w:vAlign w:val="center"/>
          </w:tcPr>
          <w:p w14:paraId="3521BBDE">
            <w:pPr>
              <w:spacing w:line="360" w:lineRule="auto"/>
              <w:jc w:val="center"/>
              <w:rPr>
                <w:rFonts w:ascii="宋体" w:hAnsi="宋体"/>
                <w:color w:val="000000"/>
                <w:sz w:val="24"/>
              </w:rPr>
            </w:pPr>
            <w:r>
              <w:rPr>
                <w:rFonts w:hint="eastAsia" w:ascii="宋体" w:hAnsi="宋体"/>
                <w:color w:val="000000"/>
                <w:sz w:val="24"/>
              </w:rPr>
              <w:t>序</w:t>
            </w:r>
          </w:p>
          <w:p w14:paraId="04744DA7">
            <w:pPr>
              <w:spacing w:line="360" w:lineRule="auto"/>
              <w:jc w:val="center"/>
              <w:rPr>
                <w:rFonts w:ascii="宋体" w:hAnsi="宋体"/>
                <w:color w:val="000000"/>
                <w:sz w:val="24"/>
              </w:rPr>
            </w:pPr>
            <w:r>
              <w:rPr>
                <w:rFonts w:hint="eastAsia" w:ascii="宋体" w:hAnsi="宋体"/>
                <w:color w:val="000000"/>
                <w:sz w:val="24"/>
              </w:rPr>
              <w:t>号</w:t>
            </w:r>
          </w:p>
        </w:tc>
        <w:tc>
          <w:tcPr>
            <w:tcW w:w="571" w:type="pct"/>
            <w:noWrap w:val="0"/>
            <w:vAlign w:val="center"/>
          </w:tcPr>
          <w:p w14:paraId="6D6C4928">
            <w:pPr>
              <w:spacing w:line="360" w:lineRule="auto"/>
              <w:jc w:val="center"/>
              <w:rPr>
                <w:rFonts w:ascii="宋体" w:hAnsi="宋体"/>
                <w:color w:val="000000"/>
                <w:sz w:val="24"/>
              </w:rPr>
            </w:pPr>
            <w:r>
              <w:rPr>
                <w:rFonts w:hint="eastAsia" w:ascii="宋体" w:hAnsi="宋体"/>
                <w:color w:val="000000"/>
                <w:sz w:val="24"/>
              </w:rPr>
              <w:t>投标货</w:t>
            </w:r>
          </w:p>
          <w:p w14:paraId="2A5E7EE2">
            <w:pPr>
              <w:spacing w:line="360" w:lineRule="auto"/>
              <w:jc w:val="center"/>
              <w:rPr>
                <w:rFonts w:ascii="宋体" w:hAnsi="宋体"/>
                <w:color w:val="000000"/>
                <w:sz w:val="24"/>
              </w:rPr>
            </w:pPr>
            <w:r>
              <w:rPr>
                <w:rFonts w:hint="eastAsia" w:ascii="宋体" w:hAnsi="宋体"/>
                <w:color w:val="000000"/>
                <w:sz w:val="24"/>
              </w:rPr>
              <w:t>物名称</w:t>
            </w:r>
          </w:p>
        </w:tc>
        <w:tc>
          <w:tcPr>
            <w:tcW w:w="522" w:type="pct"/>
            <w:noWrap w:val="0"/>
            <w:vAlign w:val="center"/>
          </w:tcPr>
          <w:p w14:paraId="6D0D5026">
            <w:pPr>
              <w:spacing w:line="360" w:lineRule="auto"/>
              <w:jc w:val="center"/>
              <w:rPr>
                <w:rFonts w:ascii="宋体" w:hAnsi="宋体"/>
                <w:color w:val="000000"/>
                <w:sz w:val="24"/>
              </w:rPr>
            </w:pPr>
            <w:r>
              <w:rPr>
                <w:rFonts w:hint="eastAsia" w:ascii="宋体" w:hAnsi="宋体"/>
                <w:color w:val="000000"/>
                <w:sz w:val="24"/>
              </w:rPr>
              <w:t>品牌/规格/</w:t>
            </w:r>
          </w:p>
          <w:p w14:paraId="2F803DCB">
            <w:pPr>
              <w:pStyle w:val="9"/>
              <w:pBdr>
                <w:bottom w:val="none" w:color="auto" w:sz="0" w:space="0"/>
              </w:pBdr>
              <w:tabs>
                <w:tab w:val="clear" w:pos="4153"/>
                <w:tab w:val="clear" w:pos="8306"/>
              </w:tabs>
              <w:spacing w:line="360" w:lineRule="auto"/>
              <w:rPr>
                <w:rFonts w:ascii="宋体" w:hAnsi="宋体"/>
                <w:color w:val="000000"/>
                <w:sz w:val="24"/>
                <w:szCs w:val="24"/>
              </w:rPr>
            </w:pPr>
            <w:r>
              <w:rPr>
                <w:rFonts w:hint="eastAsia" w:ascii="宋体" w:hAnsi="宋体"/>
                <w:color w:val="000000"/>
                <w:sz w:val="24"/>
                <w:szCs w:val="24"/>
              </w:rPr>
              <w:t>型号</w:t>
            </w:r>
          </w:p>
        </w:tc>
        <w:tc>
          <w:tcPr>
            <w:tcW w:w="611" w:type="pct"/>
            <w:noWrap w:val="0"/>
            <w:vAlign w:val="center"/>
          </w:tcPr>
          <w:p w14:paraId="2286AC5C">
            <w:pPr>
              <w:spacing w:line="360" w:lineRule="auto"/>
              <w:jc w:val="center"/>
              <w:rPr>
                <w:rFonts w:ascii="宋体" w:hAnsi="宋体" w:cs="黑体"/>
                <w:color w:val="000000"/>
                <w:sz w:val="24"/>
              </w:rPr>
            </w:pPr>
            <w:r>
              <w:rPr>
                <w:rFonts w:hint="eastAsia" w:ascii="宋体" w:hAnsi="宋体" w:cs="黑体"/>
                <w:color w:val="000000"/>
                <w:sz w:val="24"/>
              </w:rPr>
              <w:t>生产商</w:t>
            </w:r>
          </w:p>
          <w:p w14:paraId="746B87B2">
            <w:pPr>
              <w:pStyle w:val="9"/>
              <w:pBdr>
                <w:bottom w:val="none" w:color="auto" w:sz="0" w:space="0"/>
              </w:pBdr>
              <w:tabs>
                <w:tab w:val="clear" w:pos="4153"/>
                <w:tab w:val="clear" w:pos="8306"/>
              </w:tabs>
              <w:spacing w:line="360" w:lineRule="auto"/>
              <w:rPr>
                <w:rFonts w:ascii="宋体" w:hAnsi="宋体"/>
                <w:b/>
                <w:color w:val="000000"/>
                <w:sz w:val="24"/>
                <w:szCs w:val="24"/>
              </w:rPr>
            </w:pPr>
            <w:r>
              <w:rPr>
                <w:rFonts w:hint="eastAsia" w:ascii="宋体" w:hAnsi="宋体" w:cs="黑体"/>
                <w:color w:val="000000"/>
                <w:sz w:val="24"/>
              </w:rPr>
              <w:t>名称（全称）</w:t>
            </w:r>
          </w:p>
        </w:tc>
        <w:tc>
          <w:tcPr>
            <w:tcW w:w="762" w:type="pct"/>
            <w:noWrap w:val="0"/>
            <w:vAlign w:val="center"/>
          </w:tcPr>
          <w:p w14:paraId="554D4389">
            <w:pPr>
              <w:spacing w:line="360" w:lineRule="auto"/>
              <w:ind w:firstLine="120" w:firstLineChars="50"/>
              <w:rPr>
                <w:rFonts w:ascii="宋体" w:hAnsi="宋体"/>
                <w:color w:val="000000"/>
                <w:sz w:val="24"/>
              </w:rPr>
            </w:pPr>
            <w:r>
              <w:rPr>
                <w:rFonts w:hint="eastAsia" w:ascii="宋体" w:hAnsi="宋体"/>
                <w:color w:val="000000"/>
                <w:sz w:val="24"/>
              </w:rPr>
              <w:t>是否属于小型微型（监狱）企业生产的产品（填是/否）</w:t>
            </w:r>
          </w:p>
        </w:tc>
        <w:tc>
          <w:tcPr>
            <w:tcW w:w="381" w:type="pct"/>
            <w:noWrap w:val="0"/>
            <w:vAlign w:val="center"/>
          </w:tcPr>
          <w:p w14:paraId="283C3141">
            <w:pPr>
              <w:spacing w:line="360" w:lineRule="auto"/>
              <w:rPr>
                <w:rFonts w:ascii="宋体" w:hAnsi="宋体"/>
                <w:color w:val="000000"/>
                <w:sz w:val="24"/>
              </w:rPr>
            </w:pPr>
            <w:r>
              <w:rPr>
                <w:rFonts w:hint="eastAsia" w:ascii="宋体" w:hAnsi="宋体"/>
                <w:color w:val="000000"/>
                <w:sz w:val="24"/>
              </w:rPr>
              <w:t>单位</w:t>
            </w:r>
          </w:p>
        </w:tc>
        <w:tc>
          <w:tcPr>
            <w:tcW w:w="381" w:type="pct"/>
            <w:noWrap w:val="0"/>
            <w:vAlign w:val="center"/>
          </w:tcPr>
          <w:p w14:paraId="21787776">
            <w:pPr>
              <w:spacing w:line="360" w:lineRule="auto"/>
              <w:rPr>
                <w:rFonts w:ascii="宋体" w:hAnsi="宋体"/>
                <w:color w:val="000000"/>
                <w:sz w:val="24"/>
              </w:rPr>
            </w:pPr>
            <w:r>
              <w:rPr>
                <w:rFonts w:hint="eastAsia" w:ascii="宋体" w:hAnsi="宋体"/>
                <w:color w:val="000000"/>
                <w:sz w:val="24"/>
              </w:rPr>
              <w:t>数量</w:t>
            </w:r>
          </w:p>
        </w:tc>
        <w:tc>
          <w:tcPr>
            <w:tcW w:w="534" w:type="pct"/>
            <w:noWrap w:val="0"/>
            <w:vAlign w:val="center"/>
          </w:tcPr>
          <w:p w14:paraId="4E366871">
            <w:pPr>
              <w:spacing w:line="360" w:lineRule="auto"/>
              <w:jc w:val="center"/>
              <w:rPr>
                <w:rFonts w:ascii="宋体" w:hAnsi="宋体"/>
                <w:color w:val="000000"/>
                <w:sz w:val="24"/>
              </w:rPr>
            </w:pPr>
            <w:r>
              <w:rPr>
                <w:rFonts w:hint="eastAsia" w:ascii="宋体" w:hAnsi="宋体"/>
                <w:color w:val="000000"/>
                <w:sz w:val="24"/>
              </w:rPr>
              <w:t>单价</w:t>
            </w:r>
          </w:p>
        </w:tc>
        <w:tc>
          <w:tcPr>
            <w:tcW w:w="395" w:type="pct"/>
            <w:noWrap w:val="0"/>
            <w:vAlign w:val="center"/>
          </w:tcPr>
          <w:p w14:paraId="799D632E">
            <w:pPr>
              <w:spacing w:line="360" w:lineRule="auto"/>
              <w:jc w:val="center"/>
              <w:rPr>
                <w:rFonts w:ascii="宋体" w:hAnsi="宋体"/>
                <w:color w:val="000000"/>
                <w:sz w:val="24"/>
              </w:rPr>
            </w:pPr>
            <w:r>
              <w:rPr>
                <w:rFonts w:hint="eastAsia" w:ascii="宋体" w:hAnsi="宋体"/>
                <w:color w:val="000000"/>
                <w:sz w:val="24"/>
              </w:rPr>
              <w:t>小计</w:t>
            </w:r>
          </w:p>
        </w:tc>
        <w:tc>
          <w:tcPr>
            <w:tcW w:w="577" w:type="pct"/>
            <w:noWrap w:val="0"/>
            <w:vAlign w:val="center"/>
          </w:tcPr>
          <w:p w14:paraId="7AD14713">
            <w:pPr>
              <w:spacing w:line="360" w:lineRule="auto"/>
              <w:jc w:val="center"/>
              <w:rPr>
                <w:rFonts w:ascii="宋体" w:hAnsi="宋体"/>
                <w:color w:val="000000"/>
                <w:sz w:val="24"/>
              </w:rPr>
            </w:pPr>
            <w:r>
              <w:rPr>
                <w:rFonts w:hint="eastAsia" w:ascii="宋体" w:hAnsi="宋体"/>
                <w:color w:val="000000"/>
                <w:sz w:val="24"/>
              </w:rPr>
              <w:t>免费</w:t>
            </w:r>
          </w:p>
          <w:p w14:paraId="12836D4E">
            <w:pPr>
              <w:spacing w:line="360" w:lineRule="auto"/>
              <w:jc w:val="center"/>
              <w:rPr>
                <w:rFonts w:ascii="宋体" w:hAnsi="宋体"/>
                <w:color w:val="000000"/>
                <w:sz w:val="24"/>
              </w:rPr>
            </w:pPr>
            <w:r>
              <w:rPr>
                <w:rFonts w:hint="eastAsia" w:ascii="宋体" w:hAnsi="宋体"/>
                <w:color w:val="000000"/>
                <w:sz w:val="24"/>
              </w:rPr>
              <w:t>质保期</w:t>
            </w:r>
          </w:p>
        </w:tc>
      </w:tr>
      <w:tr w14:paraId="5096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1" w:type="pct"/>
            <w:noWrap w:val="0"/>
            <w:vAlign w:val="top"/>
          </w:tcPr>
          <w:p w14:paraId="61594B8A">
            <w:pPr>
              <w:spacing w:line="400" w:lineRule="exact"/>
              <w:rPr>
                <w:rFonts w:ascii="宋体" w:hAnsi="宋体"/>
                <w:color w:val="000000"/>
                <w:sz w:val="24"/>
              </w:rPr>
            </w:pPr>
            <w:r>
              <w:rPr>
                <w:rFonts w:hint="eastAsia" w:ascii="宋体" w:hAnsi="宋体"/>
                <w:color w:val="000000"/>
                <w:sz w:val="24"/>
              </w:rPr>
              <w:t>1</w:t>
            </w:r>
          </w:p>
        </w:tc>
        <w:tc>
          <w:tcPr>
            <w:tcW w:w="571" w:type="pct"/>
            <w:noWrap w:val="0"/>
            <w:vAlign w:val="top"/>
          </w:tcPr>
          <w:p w14:paraId="327A0CBE">
            <w:pPr>
              <w:spacing w:line="400" w:lineRule="exact"/>
              <w:rPr>
                <w:rFonts w:ascii="宋体" w:hAnsi="宋体"/>
                <w:color w:val="000000"/>
                <w:sz w:val="24"/>
              </w:rPr>
            </w:pPr>
          </w:p>
        </w:tc>
        <w:tc>
          <w:tcPr>
            <w:tcW w:w="522" w:type="pct"/>
            <w:noWrap w:val="0"/>
            <w:vAlign w:val="top"/>
          </w:tcPr>
          <w:p w14:paraId="221007A3">
            <w:pPr>
              <w:spacing w:line="400" w:lineRule="exact"/>
              <w:rPr>
                <w:rFonts w:ascii="宋体" w:hAnsi="宋体"/>
                <w:color w:val="000000"/>
                <w:sz w:val="24"/>
              </w:rPr>
            </w:pPr>
          </w:p>
        </w:tc>
        <w:tc>
          <w:tcPr>
            <w:tcW w:w="611" w:type="pct"/>
            <w:noWrap w:val="0"/>
            <w:vAlign w:val="top"/>
          </w:tcPr>
          <w:p w14:paraId="03ABEE3F">
            <w:pPr>
              <w:spacing w:line="400" w:lineRule="exact"/>
              <w:rPr>
                <w:rFonts w:ascii="宋体" w:hAnsi="宋体"/>
                <w:color w:val="000000"/>
                <w:sz w:val="24"/>
              </w:rPr>
            </w:pPr>
          </w:p>
        </w:tc>
        <w:tc>
          <w:tcPr>
            <w:tcW w:w="762" w:type="pct"/>
            <w:noWrap w:val="0"/>
            <w:vAlign w:val="top"/>
          </w:tcPr>
          <w:p w14:paraId="38B0AF10">
            <w:pPr>
              <w:spacing w:line="400" w:lineRule="exact"/>
              <w:rPr>
                <w:rFonts w:ascii="宋体" w:hAnsi="宋体"/>
                <w:color w:val="000000"/>
                <w:sz w:val="24"/>
              </w:rPr>
            </w:pPr>
          </w:p>
        </w:tc>
        <w:tc>
          <w:tcPr>
            <w:tcW w:w="381" w:type="pct"/>
            <w:noWrap w:val="0"/>
            <w:vAlign w:val="top"/>
          </w:tcPr>
          <w:p w14:paraId="2B3A17B5">
            <w:pPr>
              <w:spacing w:line="400" w:lineRule="exact"/>
              <w:rPr>
                <w:rFonts w:ascii="宋体" w:hAnsi="宋体"/>
                <w:color w:val="000000"/>
                <w:sz w:val="24"/>
              </w:rPr>
            </w:pPr>
          </w:p>
        </w:tc>
        <w:tc>
          <w:tcPr>
            <w:tcW w:w="381" w:type="pct"/>
            <w:noWrap w:val="0"/>
            <w:vAlign w:val="top"/>
          </w:tcPr>
          <w:p w14:paraId="7A0553BB">
            <w:pPr>
              <w:spacing w:line="400" w:lineRule="exact"/>
              <w:rPr>
                <w:rFonts w:ascii="宋体" w:hAnsi="宋体"/>
                <w:color w:val="000000"/>
                <w:sz w:val="24"/>
              </w:rPr>
            </w:pPr>
          </w:p>
        </w:tc>
        <w:tc>
          <w:tcPr>
            <w:tcW w:w="534" w:type="pct"/>
            <w:noWrap w:val="0"/>
            <w:vAlign w:val="top"/>
          </w:tcPr>
          <w:p w14:paraId="5A7C2BB3">
            <w:pPr>
              <w:spacing w:line="400" w:lineRule="exact"/>
              <w:rPr>
                <w:rFonts w:ascii="宋体" w:hAnsi="宋体"/>
                <w:color w:val="000000"/>
                <w:sz w:val="24"/>
              </w:rPr>
            </w:pPr>
          </w:p>
        </w:tc>
        <w:tc>
          <w:tcPr>
            <w:tcW w:w="395" w:type="pct"/>
            <w:noWrap w:val="0"/>
            <w:vAlign w:val="top"/>
          </w:tcPr>
          <w:p w14:paraId="4F4F4C5F">
            <w:pPr>
              <w:spacing w:line="400" w:lineRule="exact"/>
              <w:rPr>
                <w:rFonts w:ascii="宋体" w:hAnsi="宋体"/>
                <w:color w:val="000000"/>
                <w:sz w:val="24"/>
              </w:rPr>
            </w:pPr>
          </w:p>
        </w:tc>
        <w:tc>
          <w:tcPr>
            <w:tcW w:w="577" w:type="pct"/>
            <w:noWrap w:val="0"/>
            <w:vAlign w:val="top"/>
          </w:tcPr>
          <w:p w14:paraId="6961CDC7">
            <w:pPr>
              <w:spacing w:line="400" w:lineRule="exact"/>
              <w:rPr>
                <w:rFonts w:ascii="宋体" w:hAnsi="宋体"/>
                <w:color w:val="000000"/>
                <w:sz w:val="24"/>
              </w:rPr>
            </w:pPr>
          </w:p>
        </w:tc>
      </w:tr>
      <w:tr w14:paraId="75DE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 w:type="pct"/>
            <w:noWrap w:val="0"/>
            <w:vAlign w:val="top"/>
          </w:tcPr>
          <w:p w14:paraId="27405AF6">
            <w:pPr>
              <w:spacing w:line="400" w:lineRule="exact"/>
              <w:rPr>
                <w:rFonts w:ascii="宋体" w:hAnsi="宋体"/>
                <w:color w:val="000000"/>
                <w:sz w:val="24"/>
              </w:rPr>
            </w:pPr>
            <w:r>
              <w:rPr>
                <w:rFonts w:hint="eastAsia" w:ascii="宋体" w:hAnsi="宋体"/>
                <w:color w:val="000000"/>
                <w:sz w:val="24"/>
              </w:rPr>
              <w:t>2</w:t>
            </w:r>
          </w:p>
        </w:tc>
        <w:tc>
          <w:tcPr>
            <w:tcW w:w="571" w:type="pct"/>
            <w:noWrap w:val="0"/>
            <w:vAlign w:val="top"/>
          </w:tcPr>
          <w:p w14:paraId="01C04E78">
            <w:pPr>
              <w:spacing w:line="400" w:lineRule="exact"/>
              <w:rPr>
                <w:rFonts w:ascii="宋体" w:hAnsi="宋体"/>
                <w:color w:val="000000"/>
                <w:sz w:val="24"/>
              </w:rPr>
            </w:pPr>
          </w:p>
        </w:tc>
        <w:tc>
          <w:tcPr>
            <w:tcW w:w="522" w:type="pct"/>
            <w:noWrap w:val="0"/>
            <w:vAlign w:val="top"/>
          </w:tcPr>
          <w:p w14:paraId="751635BC">
            <w:pPr>
              <w:spacing w:line="400" w:lineRule="exact"/>
              <w:rPr>
                <w:rFonts w:ascii="宋体" w:hAnsi="宋体"/>
                <w:color w:val="000000"/>
                <w:sz w:val="24"/>
              </w:rPr>
            </w:pPr>
          </w:p>
        </w:tc>
        <w:tc>
          <w:tcPr>
            <w:tcW w:w="611" w:type="pct"/>
            <w:noWrap w:val="0"/>
            <w:vAlign w:val="top"/>
          </w:tcPr>
          <w:p w14:paraId="51C20133">
            <w:pPr>
              <w:spacing w:line="400" w:lineRule="exact"/>
              <w:rPr>
                <w:rFonts w:ascii="宋体" w:hAnsi="宋体"/>
                <w:color w:val="000000"/>
                <w:sz w:val="24"/>
              </w:rPr>
            </w:pPr>
          </w:p>
        </w:tc>
        <w:tc>
          <w:tcPr>
            <w:tcW w:w="762" w:type="pct"/>
            <w:noWrap w:val="0"/>
            <w:vAlign w:val="top"/>
          </w:tcPr>
          <w:p w14:paraId="6BA693D1">
            <w:pPr>
              <w:spacing w:line="400" w:lineRule="exact"/>
              <w:rPr>
                <w:rFonts w:ascii="宋体" w:hAnsi="宋体"/>
                <w:color w:val="000000"/>
                <w:sz w:val="24"/>
              </w:rPr>
            </w:pPr>
          </w:p>
        </w:tc>
        <w:tc>
          <w:tcPr>
            <w:tcW w:w="381" w:type="pct"/>
            <w:noWrap w:val="0"/>
            <w:vAlign w:val="top"/>
          </w:tcPr>
          <w:p w14:paraId="6C757A8D">
            <w:pPr>
              <w:spacing w:line="400" w:lineRule="exact"/>
              <w:rPr>
                <w:rFonts w:ascii="宋体" w:hAnsi="宋体"/>
                <w:color w:val="000000"/>
                <w:sz w:val="24"/>
              </w:rPr>
            </w:pPr>
          </w:p>
        </w:tc>
        <w:tc>
          <w:tcPr>
            <w:tcW w:w="381" w:type="pct"/>
            <w:noWrap w:val="0"/>
            <w:vAlign w:val="top"/>
          </w:tcPr>
          <w:p w14:paraId="337ABB26">
            <w:pPr>
              <w:spacing w:line="400" w:lineRule="exact"/>
              <w:rPr>
                <w:rFonts w:ascii="宋体" w:hAnsi="宋体"/>
                <w:color w:val="000000"/>
                <w:sz w:val="24"/>
              </w:rPr>
            </w:pPr>
          </w:p>
        </w:tc>
        <w:tc>
          <w:tcPr>
            <w:tcW w:w="534" w:type="pct"/>
            <w:noWrap w:val="0"/>
            <w:vAlign w:val="top"/>
          </w:tcPr>
          <w:p w14:paraId="4522D30C">
            <w:pPr>
              <w:spacing w:line="400" w:lineRule="exact"/>
              <w:rPr>
                <w:rFonts w:ascii="宋体" w:hAnsi="宋体"/>
                <w:color w:val="000000"/>
                <w:sz w:val="24"/>
              </w:rPr>
            </w:pPr>
          </w:p>
        </w:tc>
        <w:tc>
          <w:tcPr>
            <w:tcW w:w="395" w:type="pct"/>
            <w:noWrap w:val="0"/>
            <w:vAlign w:val="top"/>
          </w:tcPr>
          <w:p w14:paraId="45E48E24">
            <w:pPr>
              <w:spacing w:line="400" w:lineRule="exact"/>
              <w:rPr>
                <w:rFonts w:ascii="宋体" w:hAnsi="宋体"/>
                <w:color w:val="000000"/>
                <w:sz w:val="24"/>
              </w:rPr>
            </w:pPr>
          </w:p>
        </w:tc>
        <w:tc>
          <w:tcPr>
            <w:tcW w:w="577" w:type="pct"/>
            <w:noWrap w:val="0"/>
            <w:vAlign w:val="top"/>
          </w:tcPr>
          <w:p w14:paraId="4087FFFB">
            <w:pPr>
              <w:spacing w:line="400" w:lineRule="exact"/>
              <w:rPr>
                <w:rFonts w:ascii="宋体" w:hAnsi="宋体"/>
                <w:color w:val="000000"/>
                <w:sz w:val="24"/>
              </w:rPr>
            </w:pPr>
          </w:p>
        </w:tc>
      </w:tr>
      <w:tr w14:paraId="0696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1" w:type="pct"/>
            <w:noWrap w:val="0"/>
            <w:vAlign w:val="top"/>
          </w:tcPr>
          <w:p w14:paraId="269FBA6C">
            <w:pPr>
              <w:spacing w:line="400" w:lineRule="exact"/>
              <w:rPr>
                <w:rFonts w:ascii="宋体" w:hAnsi="宋体"/>
                <w:color w:val="000000"/>
                <w:sz w:val="24"/>
              </w:rPr>
            </w:pPr>
            <w:r>
              <w:rPr>
                <w:rFonts w:hint="eastAsia" w:ascii="宋体" w:hAnsi="宋体"/>
                <w:color w:val="000000"/>
                <w:sz w:val="24"/>
              </w:rPr>
              <w:t>3</w:t>
            </w:r>
          </w:p>
        </w:tc>
        <w:tc>
          <w:tcPr>
            <w:tcW w:w="571" w:type="pct"/>
            <w:noWrap w:val="0"/>
            <w:vAlign w:val="top"/>
          </w:tcPr>
          <w:p w14:paraId="581E591F">
            <w:pPr>
              <w:spacing w:line="400" w:lineRule="exact"/>
              <w:rPr>
                <w:rFonts w:ascii="宋体" w:hAnsi="宋体"/>
                <w:color w:val="000000"/>
                <w:sz w:val="24"/>
              </w:rPr>
            </w:pPr>
          </w:p>
        </w:tc>
        <w:tc>
          <w:tcPr>
            <w:tcW w:w="522" w:type="pct"/>
            <w:noWrap w:val="0"/>
            <w:vAlign w:val="top"/>
          </w:tcPr>
          <w:p w14:paraId="33ED564A">
            <w:pPr>
              <w:spacing w:line="400" w:lineRule="exact"/>
              <w:rPr>
                <w:rFonts w:ascii="宋体" w:hAnsi="宋体"/>
                <w:color w:val="000000"/>
                <w:sz w:val="24"/>
              </w:rPr>
            </w:pPr>
          </w:p>
        </w:tc>
        <w:tc>
          <w:tcPr>
            <w:tcW w:w="611" w:type="pct"/>
            <w:noWrap w:val="0"/>
            <w:vAlign w:val="top"/>
          </w:tcPr>
          <w:p w14:paraId="0DF7C814">
            <w:pPr>
              <w:spacing w:line="400" w:lineRule="exact"/>
              <w:rPr>
                <w:rFonts w:ascii="宋体" w:hAnsi="宋体"/>
                <w:color w:val="000000"/>
                <w:sz w:val="24"/>
              </w:rPr>
            </w:pPr>
          </w:p>
        </w:tc>
        <w:tc>
          <w:tcPr>
            <w:tcW w:w="762" w:type="pct"/>
            <w:noWrap w:val="0"/>
            <w:vAlign w:val="top"/>
          </w:tcPr>
          <w:p w14:paraId="3C288F84">
            <w:pPr>
              <w:spacing w:line="400" w:lineRule="exact"/>
              <w:rPr>
                <w:rFonts w:ascii="宋体" w:hAnsi="宋体"/>
                <w:color w:val="000000"/>
                <w:sz w:val="24"/>
              </w:rPr>
            </w:pPr>
          </w:p>
        </w:tc>
        <w:tc>
          <w:tcPr>
            <w:tcW w:w="381" w:type="pct"/>
            <w:noWrap w:val="0"/>
            <w:vAlign w:val="top"/>
          </w:tcPr>
          <w:p w14:paraId="38E941EF">
            <w:pPr>
              <w:spacing w:line="400" w:lineRule="exact"/>
              <w:rPr>
                <w:rFonts w:ascii="宋体" w:hAnsi="宋体"/>
                <w:color w:val="000000"/>
                <w:sz w:val="24"/>
              </w:rPr>
            </w:pPr>
          </w:p>
        </w:tc>
        <w:tc>
          <w:tcPr>
            <w:tcW w:w="381" w:type="pct"/>
            <w:noWrap w:val="0"/>
            <w:vAlign w:val="top"/>
          </w:tcPr>
          <w:p w14:paraId="043F9C7B">
            <w:pPr>
              <w:spacing w:line="400" w:lineRule="exact"/>
              <w:rPr>
                <w:rFonts w:ascii="宋体" w:hAnsi="宋体"/>
                <w:color w:val="000000"/>
                <w:sz w:val="24"/>
              </w:rPr>
            </w:pPr>
          </w:p>
        </w:tc>
        <w:tc>
          <w:tcPr>
            <w:tcW w:w="534" w:type="pct"/>
            <w:noWrap w:val="0"/>
            <w:vAlign w:val="top"/>
          </w:tcPr>
          <w:p w14:paraId="53853E8A">
            <w:pPr>
              <w:spacing w:line="400" w:lineRule="exact"/>
              <w:rPr>
                <w:rFonts w:ascii="宋体" w:hAnsi="宋体"/>
                <w:color w:val="000000"/>
                <w:sz w:val="24"/>
              </w:rPr>
            </w:pPr>
          </w:p>
        </w:tc>
        <w:tc>
          <w:tcPr>
            <w:tcW w:w="395" w:type="pct"/>
            <w:noWrap w:val="0"/>
            <w:vAlign w:val="top"/>
          </w:tcPr>
          <w:p w14:paraId="4A58D0C8">
            <w:pPr>
              <w:spacing w:line="400" w:lineRule="exact"/>
              <w:rPr>
                <w:rFonts w:ascii="宋体" w:hAnsi="宋体"/>
                <w:color w:val="000000"/>
                <w:sz w:val="24"/>
              </w:rPr>
            </w:pPr>
          </w:p>
        </w:tc>
        <w:tc>
          <w:tcPr>
            <w:tcW w:w="577" w:type="pct"/>
            <w:noWrap w:val="0"/>
            <w:vAlign w:val="top"/>
          </w:tcPr>
          <w:p w14:paraId="25E72D01">
            <w:pPr>
              <w:spacing w:line="400" w:lineRule="exact"/>
              <w:rPr>
                <w:rFonts w:ascii="宋体" w:hAnsi="宋体"/>
                <w:color w:val="000000"/>
                <w:sz w:val="24"/>
              </w:rPr>
            </w:pPr>
          </w:p>
        </w:tc>
      </w:tr>
      <w:tr w14:paraId="6161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 w:type="pct"/>
            <w:noWrap w:val="0"/>
            <w:vAlign w:val="top"/>
          </w:tcPr>
          <w:p w14:paraId="4E64C865">
            <w:pPr>
              <w:spacing w:line="400" w:lineRule="exact"/>
              <w:rPr>
                <w:rFonts w:ascii="宋体" w:hAnsi="宋体"/>
                <w:color w:val="000000"/>
                <w:sz w:val="24"/>
              </w:rPr>
            </w:pPr>
            <w:r>
              <w:rPr>
                <w:rFonts w:hint="eastAsia" w:ascii="宋体" w:hAnsi="宋体"/>
                <w:color w:val="000000"/>
                <w:sz w:val="24"/>
              </w:rPr>
              <w:t>4</w:t>
            </w:r>
          </w:p>
        </w:tc>
        <w:tc>
          <w:tcPr>
            <w:tcW w:w="571" w:type="pct"/>
            <w:noWrap w:val="0"/>
            <w:vAlign w:val="top"/>
          </w:tcPr>
          <w:p w14:paraId="01998202">
            <w:pPr>
              <w:spacing w:line="400" w:lineRule="exact"/>
              <w:rPr>
                <w:rFonts w:ascii="宋体" w:hAnsi="宋体"/>
                <w:color w:val="000000"/>
                <w:sz w:val="24"/>
              </w:rPr>
            </w:pPr>
          </w:p>
        </w:tc>
        <w:tc>
          <w:tcPr>
            <w:tcW w:w="522" w:type="pct"/>
            <w:noWrap w:val="0"/>
            <w:vAlign w:val="top"/>
          </w:tcPr>
          <w:p w14:paraId="20C3BF4C">
            <w:pPr>
              <w:spacing w:line="400" w:lineRule="exact"/>
              <w:rPr>
                <w:rFonts w:ascii="宋体" w:hAnsi="宋体"/>
                <w:color w:val="000000"/>
                <w:sz w:val="24"/>
              </w:rPr>
            </w:pPr>
          </w:p>
        </w:tc>
        <w:tc>
          <w:tcPr>
            <w:tcW w:w="611" w:type="pct"/>
            <w:noWrap w:val="0"/>
            <w:vAlign w:val="top"/>
          </w:tcPr>
          <w:p w14:paraId="0D59816B">
            <w:pPr>
              <w:spacing w:line="400" w:lineRule="exact"/>
              <w:rPr>
                <w:rFonts w:ascii="宋体" w:hAnsi="宋体"/>
                <w:color w:val="000000"/>
                <w:sz w:val="24"/>
              </w:rPr>
            </w:pPr>
          </w:p>
        </w:tc>
        <w:tc>
          <w:tcPr>
            <w:tcW w:w="762" w:type="pct"/>
            <w:noWrap w:val="0"/>
            <w:vAlign w:val="top"/>
          </w:tcPr>
          <w:p w14:paraId="64BBDF8C">
            <w:pPr>
              <w:spacing w:line="400" w:lineRule="exact"/>
              <w:rPr>
                <w:rFonts w:ascii="宋体" w:hAnsi="宋体"/>
                <w:color w:val="000000"/>
                <w:sz w:val="24"/>
              </w:rPr>
            </w:pPr>
          </w:p>
        </w:tc>
        <w:tc>
          <w:tcPr>
            <w:tcW w:w="381" w:type="pct"/>
            <w:noWrap w:val="0"/>
            <w:vAlign w:val="top"/>
          </w:tcPr>
          <w:p w14:paraId="19BEC4B0">
            <w:pPr>
              <w:spacing w:line="400" w:lineRule="exact"/>
              <w:rPr>
                <w:rFonts w:ascii="宋体" w:hAnsi="宋体"/>
                <w:color w:val="000000"/>
                <w:sz w:val="24"/>
              </w:rPr>
            </w:pPr>
          </w:p>
        </w:tc>
        <w:tc>
          <w:tcPr>
            <w:tcW w:w="381" w:type="pct"/>
            <w:noWrap w:val="0"/>
            <w:vAlign w:val="top"/>
          </w:tcPr>
          <w:p w14:paraId="047B7779">
            <w:pPr>
              <w:spacing w:line="400" w:lineRule="exact"/>
              <w:rPr>
                <w:rFonts w:ascii="宋体" w:hAnsi="宋体"/>
                <w:color w:val="000000"/>
                <w:sz w:val="24"/>
              </w:rPr>
            </w:pPr>
          </w:p>
        </w:tc>
        <w:tc>
          <w:tcPr>
            <w:tcW w:w="534" w:type="pct"/>
            <w:noWrap w:val="0"/>
            <w:vAlign w:val="top"/>
          </w:tcPr>
          <w:p w14:paraId="2D5C3831">
            <w:pPr>
              <w:spacing w:line="400" w:lineRule="exact"/>
              <w:rPr>
                <w:rFonts w:ascii="宋体" w:hAnsi="宋体"/>
                <w:color w:val="000000"/>
                <w:sz w:val="24"/>
              </w:rPr>
            </w:pPr>
          </w:p>
        </w:tc>
        <w:tc>
          <w:tcPr>
            <w:tcW w:w="395" w:type="pct"/>
            <w:noWrap w:val="0"/>
            <w:vAlign w:val="top"/>
          </w:tcPr>
          <w:p w14:paraId="16C1035C">
            <w:pPr>
              <w:spacing w:line="400" w:lineRule="exact"/>
              <w:rPr>
                <w:rFonts w:ascii="宋体" w:hAnsi="宋体"/>
                <w:color w:val="000000"/>
                <w:sz w:val="24"/>
              </w:rPr>
            </w:pPr>
          </w:p>
        </w:tc>
        <w:tc>
          <w:tcPr>
            <w:tcW w:w="577" w:type="pct"/>
            <w:noWrap w:val="0"/>
            <w:vAlign w:val="top"/>
          </w:tcPr>
          <w:p w14:paraId="1A790277">
            <w:pPr>
              <w:spacing w:line="400" w:lineRule="exact"/>
              <w:rPr>
                <w:rFonts w:ascii="宋体" w:hAnsi="宋体"/>
                <w:color w:val="000000"/>
                <w:sz w:val="24"/>
              </w:rPr>
            </w:pPr>
          </w:p>
        </w:tc>
      </w:tr>
      <w:tr w14:paraId="184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2" w:type="pct"/>
            <w:gridSpan w:val="2"/>
            <w:noWrap w:val="0"/>
            <w:vAlign w:val="top"/>
          </w:tcPr>
          <w:p w14:paraId="36F6CFD1">
            <w:pPr>
              <w:spacing w:line="400" w:lineRule="exact"/>
              <w:rPr>
                <w:rFonts w:ascii="宋体" w:hAnsi="宋体"/>
                <w:color w:val="000000"/>
                <w:sz w:val="24"/>
              </w:rPr>
            </w:pPr>
            <w:r>
              <w:rPr>
                <w:rFonts w:hint="eastAsia" w:ascii="宋体" w:hAnsi="宋体"/>
                <w:color w:val="000000"/>
                <w:sz w:val="24"/>
              </w:rPr>
              <w:t>投标总价</w:t>
            </w:r>
          </w:p>
        </w:tc>
        <w:tc>
          <w:tcPr>
            <w:tcW w:w="4167" w:type="pct"/>
            <w:gridSpan w:val="8"/>
            <w:noWrap w:val="0"/>
            <w:vAlign w:val="top"/>
          </w:tcPr>
          <w:p w14:paraId="0A437CBF">
            <w:pPr>
              <w:spacing w:line="500" w:lineRule="exact"/>
              <w:rPr>
                <w:rFonts w:ascii="宋体" w:hAnsi="宋体"/>
                <w:color w:val="000000"/>
                <w:sz w:val="24"/>
                <w:u w:val="single"/>
              </w:rPr>
            </w:pPr>
            <w:r>
              <w:rPr>
                <w:rFonts w:hint="eastAsia" w:ascii="宋体" w:hAnsi="宋体"/>
                <w:b/>
                <w:color w:val="000000"/>
                <w:sz w:val="24"/>
              </w:rPr>
              <w:t>大写：</w:t>
            </w:r>
            <w:r>
              <w:rPr>
                <w:rFonts w:hint="eastAsia" w:ascii="宋体" w:hAnsi="宋体"/>
                <w:b/>
                <w:color w:val="000000"/>
                <w:sz w:val="24"/>
                <w:u w:val="single"/>
              </w:rPr>
              <w:t xml:space="preserve">                          </w:t>
            </w:r>
            <w:r>
              <w:rPr>
                <w:rFonts w:hint="eastAsia" w:ascii="宋体" w:hAnsi="宋体"/>
                <w:b/>
                <w:color w:val="000000"/>
                <w:sz w:val="24"/>
              </w:rPr>
              <w:t xml:space="preserve">小写： </w:t>
            </w:r>
            <w:r>
              <w:rPr>
                <w:rFonts w:hint="eastAsia" w:ascii="宋体" w:hAnsi="宋体"/>
                <w:b/>
                <w:color w:val="000000"/>
                <w:sz w:val="24"/>
                <w:u w:val="single"/>
              </w:rPr>
              <w:t xml:space="preserve">              </w:t>
            </w:r>
            <w:r>
              <w:rPr>
                <w:rFonts w:hint="eastAsia" w:ascii="宋体" w:hAnsi="宋体"/>
                <w:b/>
                <w:color w:val="000000"/>
                <w:sz w:val="24"/>
              </w:rPr>
              <w:t xml:space="preserve">   </w:t>
            </w:r>
          </w:p>
        </w:tc>
      </w:tr>
    </w:tbl>
    <w:p w14:paraId="7507F5C3">
      <w:pPr>
        <w:spacing w:line="360" w:lineRule="auto"/>
        <w:rPr>
          <w:rFonts w:ascii="宋体" w:hAnsi="宋体" w:cs="宋体"/>
          <w:color w:val="000000"/>
          <w:kern w:val="10"/>
          <w:sz w:val="24"/>
        </w:rPr>
      </w:pPr>
    </w:p>
    <w:p w14:paraId="3B82D52C">
      <w:pPr>
        <w:spacing w:line="360" w:lineRule="auto"/>
        <w:rPr>
          <w:rFonts w:ascii="宋体" w:hAnsi="宋体" w:cs="宋体"/>
          <w:color w:val="000000"/>
          <w:kern w:val="10"/>
          <w:sz w:val="24"/>
        </w:rPr>
      </w:pPr>
      <w:r>
        <w:rPr>
          <w:rFonts w:hint="eastAsia" w:ascii="宋体" w:hAnsi="宋体" w:cs="宋体"/>
          <w:color w:val="000000"/>
          <w:kern w:val="10"/>
          <w:sz w:val="24"/>
        </w:rPr>
        <w:t>注：1、投标人所报单价应为包含采购、安装、调试、税金、验收、质保期服务、与货物有关的运输和保险及其他伴随服务的全费用单价；</w:t>
      </w:r>
    </w:p>
    <w:p w14:paraId="7670F3A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2、以上表中各项可进一步细分，栏数不够可自加或附表；</w:t>
      </w:r>
    </w:p>
    <w:p w14:paraId="2E37670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3、投标人应按磋商文件中采购货物技术参数一览表中所列货物填写本表；</w:t>
      </w:r>
    </w:p>
    <w:p w14:paraId="22CBEC2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w:t>
      </w:r>
      <w:r>
        <w:rPr>
          <w:rFonts w:hint="eastAsia" w:ascii="宋体" w:hAnsi="宋体"/>
          <w:color w:val="000000"/>
          <w:sz w:val="24"/>
        </w:rPr>
        <w:t>监狱企业、残疾人福利性企业视同小微企业；</w:t>
      </w:r>
    </w:p>
    <w:p w14:paraId="05310D81">
      <w:pPr>
        <w:spacing w:line="360" w:lineRule="auto"/>
        <w:rPr>
          <w:rFonts w:ascii="宋体" w:hAnsi="宋体" w:cs="宋体"/>
          <w:b/>
          <w:color w:val="000000"/>
          <w:kern w:val="10"/>
          <w:sz w:val="24"/>
        </w:rPr>
      </w:pPr>
    </w:p>
    <w:p w14:paraId="6200B397">
      <w:pPr>
        <w:spacing w:line="360" w:lineRule="auto"/>
        <w:rPr>
          <w:rFonts w:ascii="宋体" w:hAnsi="宋体"/>
          <w:b/>
          <w:color w:val="000000"/>
          <w:sz w:val="24"/>
        </w:rPr>
      </w:pPr>
    </w:p>
    <w:p w14:paraId="303B5C02">
      <w:pPr>
        <w:spacing w:line="360" w:lineRule="auto"/>
        <w:rPr>
          <w:rFonts w:ascii="宋体" w:hAnsi="宋体"/>
          <w:b/>
          <w:color w:val="000000"/>
          <w:sz w:val="24"/>
        </w:rPr>
      </w:pPr>
    </w:p>
    <w:p w14:paraId="162F413B">
      <w:pPr>
        <w:spacing w:line="360" w:lineRule="auto"/>
        <w:rPr>
          <w:rFonts w:ascii="宋体" w:hAnsi="宋体"/>
          <w:b/>
          <w:color w:val="000000"/>
          <w:sz w:val="24"/>
        </w:rPr>
      </w:pPr>
    </w:p>
    <w:p w14:paraId="7EC87528">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   </w:t>
      </w:r>
    </w:p>
    <w:p w14:paraId="1F8654AF">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r>
        <w:rPr>
          <w:rFonts w:hint="eastAsia" w:ascii="宋体" w:hAnsi="宋体" w:cs="宋体"/>
          <w:color w:val="000000"/>
          <w:kern w:val="10"/>
          <w:sz w:val="24"/>
        </w:rPr>
        <w:t xml:space="preserve">                                    </w:t>
      </w:r>
    </w:p>
    <w:p w14:paraId="301ACD3A">
      <w:pPr>
        <w:spacing w:line="360" w:lineRule="auto"/>
        <w:rPr>
          <w:rFonts w:hint="eastAsia"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bookmarkEnd w:id="119"/>
      <w:bookmarkEnd w:id="120"/>
      <w:bookmarkEnd w:id="121"/>
      <w:bookmarkEnd w:id="122"/>
      <w:bookmarkEnd w:id="123"/>
      <w:bookmarkEnd w:id="124"/>
      <w:bookmarkEnd w:id="125"/>
      <w:bookmarkEnd w:id="126"/>
      <w:bookmarkEnd w:id="127"/>
      <w:bookmarkStart w:id="129" w:name="_Toc29890"/>
      <w:bookmarkStart w:id="130" w:name="_Toc28039"/>
      <w:bookmarkStart w:id="131" w:name="_Toc26286"/>
      <w:bookmarkStart w:id="132" w:name="_Toc24161"/>
      <w:bookmarkStart w:id="133" w:name="_Toc234382977"/>
    </w:p>
    <w:p w14:paraId="08B30B97">
      <w:pPr>
        <w:spacing w:line="360" w:lineRule="auto"/>
        <w:rPr>
          <w:rFonts w:hint="eastAsia" w:ascii="宋体" w:hAnsi="宋体" w:cs="宋体"/>
          <w:color w:val="000000"/>
          <w:kern w:val="10"/>
          <w:sz w:val="24"/>
        </w:rPr>
      </w:pPr>
    </w:p>
    <w:p w14:paraId="2C98C6DC">
      <w:pPr>
        <w:spacing w:line="360" w:lineRule="auto"/>
        <w:rPr>
          <w:rFonts w:hint="eastAsia" w:ascii="宋体" w:hAnsi="宋体" w:cs="宋体"/>
          <w:color w:val="000000"/>
          <w:kern w:val="10"/>
          <w:sz w:val="24"/>
        </w:rPr>
      </w:pPr>
    </w:p>
    <w:p w14:paraId="70176CD4">
      <w:pPr>
        <w:keepNext/>
        <w:keepLines/>
        <w:spacing w:before="260" w:after="260" w:line="416"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五、实施方案及技术方案</w:t>
      </w:r>
    </w:p>
    <w:p w14:paraId="1CE3A2A0">
      <w:pPr>
        <w:spacing w:line="360" w:lineRule="auto"/>
        <w:ind w:firstLine="480" w:firstLineChars="200"/>
        <w:rPr>
          <w:rFonts w:hint="eastAsia" w:ascii="宋体" w:hAnsi="宋体" w:cs="宋体"/>
          <w:bCs/>
          <w:color w:val="000000"/>
          <w:kern w:val="10"/>
          <w:sz w:val="24"/>
          <w:lang w:val="en-US" w:eastAsia="zh-CN"/>
        </w:rPr>
      </w:pPr>
    </w:p>
    <w:p w14:paraId="5B648D16">
      <w:pPr>
        <w:spacing w:line="360" w:lineRule="auto"/>
        <w:ind w:firstLine="480" w:firstLineChars="200"/>
        <w:rPr>
          <w:rFonts w:ascii="宋体" w:hAnsi="宋体" w:cs="宋体"/>
          <w:bCs/>
          <w:color w:val="000000"/>
          <w:kern w:val="10"/>
          <w:sz w:val="24"/>
        </w:rPr>
      </w:pPr>
      <w:r>
        <w:rPr>
          <w:rFonts w:hint="eastAsia" w:ascii="宋体" w:hAnsi="宋体" w:cs="宋体"/>
          <w:bCs/>
          <w:color w:val="000000"/>
          <w:kern w:val="10"/>
          <w:sz w:val="24"/>
          <w:lang w:val="en-US" w:eastAsia="zh-CN"/>
        </w:rPr>
        <w:t>供应商</w:t>
      </w:r>
      <w:r>
        <w:rPr>
          <w:rFonts w:hint="eastAsia" w:ascii="宋体" w:hAnsi="宋体" w:cs="宋体"/>
          <w:bCs/>
          <w:color w:val="000000"/>
          <w:kern w:val="10"/>
          <w:sz w:val="24"/>
        </w:rPr>
        <w:t>根据磋商文件的要求，结合自身实际情况自行编制，并可按磋商文件评分内容编写所需方案，包含实施方案以及技术方案（格式自拟）</w:t>
      </w:r>
    </w:p>
    <w:p w14:paraId="6A5D0533">
      <w:pPr>
        <w:spacing w:line="360" w:lineRule="auto"/>
        <w:ind w:firstLine="480" w:firstLineChars="200"/>
        <w:rPr>
          <w:rFonts w:ascii="宋体" w:hAnsi="宋体" w:cs="宋体"/>
          <w:bCs/>
          <w:color w:val="000000"/>
          <w:kern w:val="10"/>
          <w:sz w:val="24"/>
        </w:rPr>
      </w:pPr>
    </w:p>
    <w:p w14:paraId="44B9E52E">
      <w:pPr>
        <w:spacing w:line="360" w:lineRule="auto"/>
        <w:ind w:firstLine="480" w:firstLineChars="200"/>
        <w:rPr>
          <w:rFonts w:ascii="宋体" w:hAnsi="宋体" w:cs="宋体"/>
          <w:bCs/>
          <w:color w:val="000000"/>
          <w:kern w:val="10"/>
          <w:sz w:val="24"/>
        </w:rPr>
      </w:pPr>
    </w:p>
    <w:p w14:paraId="1391C35F">
      <w:pPr>
        <w:spacing w:line="360" w:lineRule="auto"/>
        <w:ind w:firstLine="480" w:firstLineChars="200"/>
        <w:rPr>
          <w:rFonts w:ascii="宋体" w:hAnsi="宋体" w:cs="宋体"/>
          <w:bCs/>
          <w:color w:val="000000"/>
          <w:kern w:val="10"/>
          <w:sz w:val="24"/>
        </w:rPr>
      </w:pPr>
    </w:p>
    <w:p w14:paraId="151104E9">
      <w:pPr>
        <w:spacing w:line="360" w:lineRule="auto"/>
        <w:ind w:firstLine="480" w:firstLineChars="200"/>
        <w:rPr>
          <w:rFonts w:ascii="宋体" w:hAnsi="宋体" w:cs="宋体"/>
          <w:bCs/>
          <w:color w:val="000000"/>
          <w:kern w:val="10"/>
          <w:sz w:val="24"/>
        </w:rPr>
      </w:pPr>
    </w:p>
    <w:p w14:paraId="7609C120">
      <w:pPr>
        <w:spacing w:line="360" w:lineRule="auto"/>
        <w:ind w:firstLine="480" w:firstLineChars="200"/>
        <w:rPr>
          <w:rFonts w:ascii="宋体" w:hAnsi="宋体" w:cs="宋体"/>
          <w:bCs/>
          <w:color w:val="000000"/>
          <w:kern w:val="10"/>
          <w:sz w:val="24"/>
        </w:rPr>
      </w:pPr>
    </w:p>
    <w:p w14:paraId="7C02CF87">
      <w:pPr>
        <w:spacing w:line="360" w:lineRule="auto"/>
        <w:ind w:firstLine="480" w:firstLineChars="200"/>
        <w:rPr>
          <w:rFonts w:ascii="宋体" w:hAnsi="宋体" w:cs="宋体"/>
          <w:bCs/>
          <w:color w:val="000000"/>
          <w:kern w:val="10"/>
          <w:sz w:val="24"/>
        </w:rPr>
      </w:pPr>
    </w:p>
    <w:p w14:paraId="109E4AE0">
      <w:pPr>
        <w:spacing w:line="360" w:lineRule="auto"/>
        <w:ind w:firstLine="480" w:firstLineChars="200"/>
        <w:rPr>
          <w:rFonts w:ascii="宋体" w:hAnsi="宋体" w:cs="宋体"/>
          <w:bCs/>
          <w:color w:val="000000"/>
          <w:kern w:val="10"/>
          <w:sz w:val="24"/>
        </w:rPr>
      </w:pPr>
    </w:p>
    <w:p w14:paraId="2A579934">
      <w:pPr>
        <w:spacing w:line="360" w:lineRule="auto"/>
        <w:ind w:firstLine="480" w:firstLineChars="200"/>
        <w:rPr>
          <w:rFonts w:ascii="宋体" w:hAnsi="宋体" w:cs="宋体"/>
          <w:bCs/>
          <w:color w:val="000000"/>
          <w:kern w:val="10"/>
          <w:sz w:val="24"/>
        </w:rPr>
      </w:pPr>
    </w:p>
    <w:p w14:paraId="18C3B5F3">
      <w:pPr>
        <w:spacing w:line="360" w:lineRule="auto"/>
        <w:ind w:firstLine="480" w:firstLineChars="200"/>
        <w:rPr>
          <w:rFonts w:ascii="宋体" w:hAnsi="宋体" w:cs="宋体"/>
          <w:bCs/>
          <w:color w:val="000000"/>
          <w:kern w:val="10"/>
          <w:sz w:val="24"/>
        </w:rPr>
      </w:pPr>
    </w:p>
    <w:p w14:paraId="59BDE620">
      <w:pPr>
        <w:spacing w:line="360" w:lineRule="auto"/>
        <w:ind w:firstLine="480" w:firstLineChars="200"/>
        <w:rPr>
          <w:rFonts w:ascii="宋体" w:hAnsi="宋体" w:cs="宋体"/>
          <w:bCs/>
          <w:color w:val="000000"/>
          <w:kern w:val="10"/>
          <w:sz w:val="24"/>
        </w:rPr>
      </w:pPr>
    </w:p>
    <w:p w14:paraId="24CAB39E">
      <w:pPr>
        <w:spacing w:line="360" w:lineRule="auto"/>
        <w:ind w:firstLine="480" w:firstLineChars="200"/>
        <w:rPr>
          <w:rFonts w:ascii="宋体" w:hAnsi="宋体" w:cs="宋体"/>
          <w:bCs/>
          <w:color w:val="000000"/>
          <w:kern w:val="10"/>
          <w:sz w:val="24"/>
        </w:rPr>
      </w:pPr>
    </w:p>
    <w:p w14:paraId="7EE11199">
      <w:pPr>
        <w:spacing w:line="360" w:lineRule="auto"/>
        <w:ind w:firstLine="480" w:firstLineChars="200"/>
        <w:rPr>
          <w:rFonts w:ascii="宋体" w:hAnsi="宋体" w:cs="宋体"/>
          <w:bCs/>
          <w:color w:val="000000"/>
          <w:kern w:val="10"/>
          <w:sz w:val="24"/>
        </w:rPr>
      </w:pPr>
    </w:p>
    <w:p w14:paraId="4C6633F0">
      <w:pPr>
        <w:spacing w:line="360" w:lineRule="auto"/>
        <w:ind w:firstLine="480" w:firstLineChars="200"/>
        <w:rPr>
          <w:rFonts w:ascii="宋体" w:hAnsi="宋体" w:cs="宋体"/>
          <w:bCs/>
          <w:color w:val="000000"/>
          <w:kern w:val="10"/>
          <w:sz w:val="24"/>
        </w:rPr>
      </w:pPr>
    </w:p>
    <w:p w14:paraId="1DD57234">
      <w:pPr>
        <w:spacing w:line="360" w:lineRule="auto"/>
        <w:ind w:firstLine="480" w:firstLineChars="200"/>
        <w:rPr>
          <w:rFonts w:ascii="宋体" w:hAnsi="宋体" w:cs="宋体"/>
          <w:bCs/>
          <w:color w:val="000000"/>
          <w:kern w:val="10"/>
          <w:sz w:val="24"/>
        </w:rPr>
      </w:pPr>
    </w:p>
    <w:p w14:paraId="5EB5DE8A">
      <w:pPr>
        <w:spacing w:line="360" w:lineRule="auto"/>
        <w:ind w:firstLine="480" w:firstLineChars="200"/>
        <w:rPr>
          <w:rFonts w:ascii="宋体" w:hAnsi="宋体" w:cs="宋体"/>
          <w:bCs/>
          <w:color w:val="000000"/>
          <w:kern w:val="10"/>
          <w:sz w:val="24"/>
        </w:rPr>
      </w:pPr>
    </w:p>
    <w:p w14:paraId="1A1227EC">
      <w:pPr>
        <w:spacing w:line="360" w:lineRule="auto"/>
        <w:ind w:firstLine="480" w:firstLineChars="200"/>
        <w:rPr>
          <w:rFonts w:ascii="宋体" w:hAnsi="宋体" w:cs="宋体"/>
          <w:bCs/>
          <w:color w:val="000000"/>
          <w:kern w:val="10"/>
          <w:sz w:val="24"/>
        </w:rPr>
      </w:pPr>
    </w:p>
    <w:p w14:paraId="5A578F6F">
      <w:pPr>
        <w:spacing w:line="360" w:lineRule="auto"/>
        <w:ind w:firstLine="480" w:firstLineChars="200"/>
        <w:rPr>
          <w:rFonts w:ascii="宋体" w:hAnsi="宋体" w:cs="宋体"/>
          <w:bCs/>
          <w:color w:val="000000"/>
          <w:kern w:val="10"/>
          <w:sz w:val="24"/>
        </w:rPr>
      </w:pPr>
    </w:p>
    <w:p w14:paraId="399BB93F">
      <w:pPr>
        <w:spacing w:line="360" w:lineRule="auto"/>
        <w:ind w:firstLine="480" w:firstLineChars="200"/>
        <w:rPr>
          <w:rFonts w:ascii="宋体" w:hAnsi="宋体" w:cs="宋体"/>
          <w:bCs/>
          <w:color w:val="000000"/>
          <w:kern w:val="10"/>
          <w:sz w:val="24"/>
        </w:rPr>
      </w:pPr>
    </w:p>
    <w:p w14:paraId="785F19FC">
      <w:pPr>
        <w:spacing w:line="360" w:lineRule="auto"/>
        <w:ind w:firstLine="480" w:firstLineChars="200"/>
        <w:rPr>
          <w:rFonts w:ascii="宋体" w:hAnsi="宋体" w:cs="宋体"/>
          <w:bCs/>
          <w:color w:val="000000"/>
          <w:kern w:val="10"/>
          <w:sz w:val="24"/>
        </w:rPr>
      </w:pPr>
    </w:p>
    <w:p w14:paraId="04373180">
      <w:pPr>
        <w:spacing w:line="360" w:lineRule="auto"/>
        <w:ind w:firstLine="480" w:firstLineChars="200"/>
        <w:rPr>
          <w:rFonts w:ascii="宋体" w:hAnsi="宋体" w:cs="宋体"/>
          <w:bCs/>
          <w:color w:val="000000"/>
          <w:kern w:val="10"/>
          <w:sz w:val="24"/>
        </w:rPr>
      </w:pPr>
    </w:p>
    <w:p w14:paraId="5DD3CC53">
      <w:pPr>
        <w:spacing w:line="360" w:lineRule="auto"/>
        <w:ind w:firstLine="480" w:firstLineChars="200"/>
        <w:rPr>
          <w:rFonts w:ascii="宋体" w:hAnsi="宋体" w:cs="宋体"/>
          <w:bCs/>
          <w:color w:val="000000"/>
          <w:kern w:val="10"/>
          <w:sz w:val="24"/>
        </w:rPr>
      </w:pPr>
    </w:p>
    <w:p w14:paraId="21653003">
      <w:pPr>
        <w:spacing w:line="360" w:lineRule="auto"/>
        <w:ind w:firstLine="480" w:firstLineChars="200"/>
        <w:rPr>
          <w:rFonts w:ascii="宋体" w:hAnsi="宋体" w:cs="宋体"/>
          <w:bCs/>
          <w:color w:val="000000"/>
          <w:kern w:val="10"/>
          <w:sz w:val="24"/>
        </w:rPr>
      </w:pPr>
    </w:p>
    <w:p w14:paraId="3A2FB9CF">
      <w:pPr>
        <w:spacing w:line="360" w:lineRule="auto"/>
        <w:ind w:firstLine="562" w:firstLineChars="200"/>
        <w:rPr>
          <w:rFonts w:ascii="宋体" w:hAnsi="宋体" w:cs="宋体"/>
          <w:b/>
          <w:bCs/>
          <w:color w:val="000000"/>
          <w:kern w:val="10"/>
          <w:sz w:val="28"/>
          <w:szCs w:val="28"/>
        </w:rPr>
      </w:pPr>
    </w:p>
    <w:p w14:paraId="2CB91A0B">
      <w:pPr>
        <w:spacing w:line="360" w:lineRule="auto"/>
        <w:ind w:firstLine="602" w:firstLineChars="200"/>
        <w:rPr>
          <w:rFonts w:ascii="宋体" w:hAnsi="宋体" w:cs="宋体"/>
          <w:b/>
          <w:color w:val="000000"/>
          <w:kern w:val="10"/>
          <w:sz w:val="30"/>
          <w:szCs w:val="30"/>
        </w:rPr>
      </w:pPr>
      <w:bookmarkStart w:id="134" w:name="_Toc99007060"/>
      <w:bookmarkStart w:id="135" w:name="_Toc8306"/>
      <w:bookmarkStart w:id="136" w:name="_Toc2316"/>
      <w:bookmarkStart w:id="137" w:name="_Toc23302"/>
    </w:p>
    <w:p w14:paraId="03E82326">
      <w:pPr>
        <w:keepNext/>
        <w:keepLines/>
        <w:spacing w:before="260" w:after="260" w:line="416" w:lineRule="auto"/>
        <w:jc w:val="center"/>
        <w:outlineLvl w:val="1"/>
        <w:rPr>
          <w:rFonts w:hint="eastAsia" w:ascii="宋体" w:hAnsi="宋体" w:cs="宋体"/>
          <w:b/>
          <w:bCs/>
          <w:color w:val="000000"/>
          <w:kern w:val="10"/>
          <w:sz w:val="28"/>
          <w:szCs w:val="28"/>
        </w:rPr>
      </w:pPr>
      <w:bookmarkStart w:id="138" w:name="_Toc11250"/>
      <w:r>
        <w:rPr>
          <w:rFonts w:hint="eastAsia" w:ascii="宋体" w:hAnsi="宋体" w:cs="宋体"/>
          <w:b/>
          <w:bCs/>
          <w:color w:val="000000"/>
          <w:kern w:val="10"/>
          <w:sz w:val="28"/>
          <w:szCs w:val="28"/>
        </w:rPr>
        <w:t>六、</w:t>
      </w:r>
      <w:bookmarkEnd w:id="128"/>
      <w:bookmarkEnd w:id="134"/>
      <w:bookmarkEnd w:id="135"/>
      <w:bookmarkEnd w:id="136"/>
      <w:bookmarkEnd w:id="137"/>
      <w:r>
        <w:rPr>
          <w:rFonts w:hint="eastAsia" w:ascii="宋体" w:hAnsi="宋体" w:cs="宋体"/>
          <w:b/>
          <w:bCs/>
          <w:color w:val="000000"/>
          <w:kern w:val="10"/>
          <w:sz w:val="28"/>
          <w:szCs w:val="28"/>
        </w:rPr>
        <w:t>质保及售后服务承诺</w:t>
      </w:r>
      <w:bookmarkEnd w:id="138"/>
    </w:p>
    <w:p w14:paraId="2EBBC6EF">
      <w:pPr>
        <w:spacing w:line="360" w:lineRule="auto"/>
        <w:ind w:firstLine="480" w:firstLineChars="200"/>
        <w:rPr>
          <w:rFonts w:ascii="宋体" w:hAnsi="宋体" w:cs="宋体"/>
          <w:color w:val="000000"/>
          <w:kern w:val="10"/>
          <w:sz w:val="24"/>
        </w:rPr>
      </w:pPr>
      <w:r>
        <w:rPr>
          <w:rFonts w:hint="eastAsia" w:ascii="宋体" w:hAnsi="宋体" w:cs="宋体"/>
          <w:bCs/>
          <w:color w:val="000000"/>
          <w:kern w:val="10"/>
          <w:sz w:val="24"/>
          <w:lang w:val="en-US" w:eastAsia="zh-CN"/>
        </w:rPr>
        <w:t>供应商</w:t>
      </w:r>
      <w:r>
        <w:rPr>
          <w:rFonts w:hint="eastAsia" w:ascii="宋体" w:hAnsi="宋体" w:cs="宋体"/>
          <w:bCs/>
          <w:color w:val="000000"/>
          <w:kern w:val="10"/>
          <w:sz w:val="24"/>
        </w:rPr>
        <w:t>根据磋商文件的要求，结合自身实际情况自行编制，并可按磋商文件评分内容编写所需方案（格式自拟）</w:t>
      </w:r>
    </w:p>
    <w:p w14:paraId="712CCB93">
      <w:pPr>
        <w:rPr>
          <w:rFonts w:ascii="宋体" w:hAnsi="宋体" w:cs="宋体"/>
          <w:color w:val="000000"/>
          <w:kern w:val="10"/>
          <w:sz w:val="24"/>
        </w:rPr>
      </w:pPr>
    </w:p>
    <w:p w14:paraId="2634CC9E">
      <w:pPr>
        <w:rPr>
          <w:rFonts w:ascii="宋体" w:hAnsi="宋体" w:cs="宋体"/>
          <w:b/>
          <w:bCs/>
          <w:color w:val="000000"/>
          <w:kern w:val="10"/>
          <w:sz w:val="28"/>
          <w:szCs w:val="28"/>
        </w:rPr>
      </w:pPr>
    </w:p>
    <w:p w14:paraId="2D786A0A">
      <w:pPr>
        <w:rPr>
          <w:rFonts w:ascii="宋体" w:hAnsi="宋体" w:cs="宋体"/>
          <w:b/>
          <w:bCs/>
          <w:color w:val="000000"/>
          <w:kern w:val="10"/>
          <w:sz w:val="28"/>
          <w:szCs w:val="28"/>
        </w:rPr>
      </w:pPr>
    </w:p>
    <w:p w14:paraId="399B430B">
      <w:pPr>
        <w:rPr>
          <w:rFonts w:ascii="宋体" w:hAnsi="宋体" w:cs="宋体"/>
          <w:b/>
          <w:bCs/>
          <w:color w:val="000000"/>
          <w:kern w:val="10"/>
          <w:sz w:val="28"/>
          <w:szCs w:val="28"/>
        </w:rPr>
      </w:pPr>
    </w:p>
    <w:p w14:paraId="00781BFB">
      <w:pPr>
        <w:rPr>
          <w:rFonts w:ascii="宋体" w:hAnsi="宋体" w:cs="宋体"/>
          <w:b/>
          <w:bCs/>
          <w:color w:val="000000"/>
          <w:kern w:val="10"/>
          <w:sz w:val="28"/>
          <w:szCs w:val="28"/>
        </w:rPr>
      </w:pPr>
    </w:p>
    <w:p w14:paraId="6177D837">
      <w:pPr>
        <w:rPr>
          <w:rFonts w:ascii="宋体" w:hAnsi="宋体" w:cs="宋体"/>
          <w:bCs/>
          <w:color w:val="000000"/>
          <w:kern w:val="10"/>
          <w:sz w:val="24"/>
        </w:rPr>
      </w:pPr>
    </w:p>
    <w:p w14:paraId="0D1A55DD">
      <w:pPr>
        <w:rPr>
          <w:rFonts w:ascii="宋体" w:hAnsi="宋体" w:cs="宋体"/>
          <w:bCs/>
          <w:color w:val="000000"/>
          <w:kern w:val="10"/>
          <w:sz w:val="24"/>
        </w:rPr>
      </w:pPr>
    </w:p>
    <w:p w14:paraId="0D7CA369">
      <w:pPr>
        <w:rPr>
          <w:rFonts w:ascii="宋体" w:hAnsi="宋体" w:cs="宋体"/>
          <w:bCs/>
          <w:color w:val="000000"/>
          <w:kern w:val="10"/>
          <w:sz w:val="24"/>
        </w:rPr>
      </w:pPr>
    </w:p>
    <w:p w14:paraId="3CA95947">
      <w:pPr>
        <w:rPr>
          <w:rFonts w:ascii="宋体" w:hAnsi="宋体" w:cs="宋体"/>
          <w:bCs/>
          <w:color w:val="000000"/>
          <w:kern w:val="10"/>
          <w:sz w:val="24"/>
        </w:rPr>
      </w:pPr>
    </w:p>
    <w:p w14:paraId="299C78F8">
      <w:pPr>
        <w:rPr>
          <w:rFonts w:ascii="宋体" w:hAnsi="宋体" w:cs="宋体"/>
          <w:bCs/>
          <w:color w:val="000000"/>
          <w:kern w:val="10"/>
          <w:sz w:val="24"/>
        </w:rPr>
      </w:pPr>
    </w:p>
    <w:p w14:paraId="08238781">
      <w:pPr>
        <w:rPr>
          <w:rFonts w:ascii="宋体" w:hAnsi="宋体" w:cs="宋体"/>
          <w:bCs/>
          <w:color w:val="000000"/>
          <w:kern w:val="10"/>
          <w:sz w:val="24"/>
        </w:rPr>
      </w:pPr>
    </w:p>
    <w:p w14:paraId="084859C7">
      <w:pPr>
        <w:rPr>
          <w:rFonts w:ascii="宋体" w:hAnsi="宋体" w:cs="宋体"/>
          <w:bCs/>
          <w:color w:val="000000"/>
          <w:kern w:val="10"/>
          <w:sz w:val="24"/>
        </w:rPr>
      </w:pPr>
    </w:p>
    <w:p w14:paraId="1F0945DC">
      <w:pPr>
        <w:rPr>
          <w:rFonts w:ascii="宋体" w:hAnsi="宋体" w:cs="宋体"/>
          <w:bCs/>
          <w:color w:val="000000"/>
          <w:kern w:val="10"/>
          <w:sz w:val="24"/>
        </w:rPr>
      </w:pPr>
    </w:p>
    <w:p w14:paraId="298ECB04">
      <w:pPr>
        <w:rPr>
          <w:rFonts w:ascii="宋体" w:hAnsi="宋体" w:cs="宋体"/>
          <w:bCs/>
          <w:color w:val="000000"/>
          <w:kern w:val="10"/>
          <w:sz w:val="24"/>
        </w:rPr>
      </w:pPr>
    </w:p>
    <w:p w14:paraId="6700E732">
      <w:pPr>
        <w:rPr>
          <w:rFonts w:ascii="宋体" w:hAnsi="宋体" w:cs="宋体"/>
          <w:bCs/>
          <w:color w:val="000000"/>
          <w:kern w:val="10"/>
          <w:sz w:val="24"/>
        </w:rPr>
      </w:pPr>
    </w:p>
    <w:p w14:paraId="190D76A6">
      <w:pPr>
        <w:rPr>
          <w:rFonts w:ascii="宋体" w:hAnsi="宋体" w:cs="宋体"/>
          <w:bCs/>
          <w:color w:val="000000"/>
          <w:kern w:val="10"/>
          <w:sz w:val="24"/>
        </w:rPr>
      </w:pPr>
    </w:p>
    <w:p w14:paraId="6501F40D">
      <w:pPr>
        <w:rPr>
          <w:rFonts w:ascii="宋体" w:hAnsi="宋体" w:cs="宋体"/>
          <w:bCs/>
          <w:color w:val="000000"/>
          <w:kern w:val="10"/>
          <w:sz w:val="24"/>
        </w:rPr>
      </w:pPr>
    </w:p>
    <w:p w14:paraId="14E0857C">
      <w:pPr>
        <w:rPr>
          <w:rFonts w:ascii="宋体" w:hAnsi="宋体" w:cs="宋体"/>
          <w:bCs/>
          <w:color w:val="000000"/>
          <w:kern w:val="10"/>
          <w:sz w:val="24"/>
        </w:rPr>
      </w:pPr>
    </w:p>
    <w:p w14:paraId="78CF0C4A">
      <w:pPr>
        <w:rPr>
          <w:rFonts w:ascii="宋体" w:hAnsi="宋体" w:cs="宋体"/>
          <w:bCs/>
          <w:color w:val="000000"/>
          <w:kern w:val="10"/>
          <w:sz w:val="24"/>
        </w:rPr>
      </w:pPr>
    </w:p>
    <w:p w14:paraId="1A78ACA8">
      <w:pPr>
        <w:rPr>
          <w:rFonts w:ascii="宋体" w:hAnsi="宋体" w:cs="宋体"/>
          <w:bCs/>
          <w:color w:val="000000"/>
          <w:kern w:val="10"/>
          <w:sz w:val="24"/>
        </w:rPr>
      </w:pPr>
    </w:p>
    <w:p w14:paraId="0790C26A">
      <w:pPr>
        <w:rPr>
          <w:rFonts w:ascii="宋体" w:hAnsi="宋体" w:cs="宋体"/>
          <w:bCs/>
          <w:color w:val="000000"/>
          <w:kern w:val="10"/>
          <w:sz w:val="24"/>
        </w:rPr>
      </w:pPr>
    </w:p>
    <w:p w14:paraId="47314DEA">
      <w:pPr>
        <w:rPr>
          <w:rFonts w:ascii="宋体" w:hAnsi="宋体" w:cs="宋体"/>
          <w:bCs/>
          <w:color w:val="000000"/>
          <w:kern w:val="10"/>
          <w:sz w:val="24"/>
        </w:rPr>
      </w:pPr>
    </w:p>
    <w:p w14:paraId="5463CF8E">
      <w:pPr>
        <w:rPr>
          <w:rFonts w:ascii="宋体" w:hAnsi="宋体" w:cs="宋体"/>
          <w:bCs/>
          <w:color w:val="000000"/>
          <w:kern w:val="10"/>
          <w:sz w:val="24"/>
        </w:rPr>
      </w:pPr>
    </w:p>
    <w:p w14:paraId="0F77C1FC">
      <w:pPr>
        <w:rPr>
          <w:rFonts w:ascii="宋体" w:hAnsi="宋体" w:cs="宋体"/>
          <w:bCs/>
          <w:color w:val="000000"/>
          <w:kern w:val="10"/>
          <w:sz w:val="24"/>
        </w:rPr>
      </w:pPr>
    </w:p>
    <w:p w14:paraId="42E2B4EA">
      <w:pPr>
        <w:rPr>
          <w:rFonts w:ascii="宋体" w:hAnsi="宋体" w:cs="宋体"/>
          <w:bCs/>
          <w:color w:val="000000"/>
          <w:kern w:val="10"/>
          <w:sz w:val="24"/>
        </w:rPr>
      </w:pPr>
    </w:p>
    <w:p w14:paraId="28A2F23D">
      <w:pPr>
        <w:rPr>
          <w:rFonts w:ascii="宋体" w:hAnsi="宋体" w:cs="宋体"/>
          <w:bCs/>
          <w:color w:val="000000"/>
          <w:kern w:val="10"/>
          <w:sz w:val="24"/>
        </w:rPr>
      </w:pPr>
    </w:p>
    <w:p w14:paraId="52992699">
      <w:pPr>
        <w:rPr>
          <w:rFonts w:ascii="宋体" w:hAnsi="宋体" w:cs="宋体"/>
          <w:bCs/>
          <w:color w:val="000000"/>
          <w:kern w:val="10"/>
          <w:sz w:val="24"/>
        </w:rPr>
      </w:pPr>
    </w:p>
    <w:p w14:paraId="50FFC42B">
      <w:pPr>
        <w:rPr>
          <w:rFonts w:ascii="宋体" w:hAnsi="宋体" w:cs="宋体"/>
          <w:bCs/>
          <w:color w:val="000000"/>
          <w:kern w:val="10"/>
          <w:sz w:val="24"/>
        </w:rPr>
      </w:pPr>
    </w:p>
    <w:p w14:paraId="697B8743">
      <w:pPr>
        <w:rPr>
          <w:rFonts w:ascii="宋体" w:hAnsi="宋体" w:cs="宋体"/>
          <w:bCs/>
          <w:color w:val="000000"/>
          <w:kern w:val="10"/>
          <w:sz w:val="24"/>
        </w:rPr>
      </w:pPr>
    </w:p>
    <w:p w14:paraId="0808AA7F">
      <w:pPr>
        <w:rPr>
          <w:rFonts w:ascii="宋体" w:hAnsi="宋体" w:cs="宋体"/>
          <w:bCs/>
          <w:color w:val="000000"/>
          <w:kern w:val="10"/>
          <w:sz w:val="24"/>
        </w:rPr>
      </w:pPr>
    </w:p>
    <w:p w14:paraId="7D9BE827">
      <w:pPr>
        <w:rPr>
          <w:rFonts w:ascii="宋体" w:hAnsi="宋体" w:cs="宋体"/>
          <w:bCs/>
          <w:color w:val="000000"/>
          <w:kern w:val="10"/>
          <w:sz w:val="24"/>
        </w:rPr>
      </w:pPr>
    </w:p>
    <w:p w14:paraId="05A2CF23">
      <w:pPr>
        <w:rPr>
          <w:rFonts w:ascii="宋体" w:hAnsi="宋体" w:cs="宋体"/>
          <w:bCs/>
          <w:color w:val="000000"/>
          <w:kern w:val="10"/>
          <w:sz w:val="24"/>
        </w:rPr>
      </w:pPr>
    </w:p>
    <w:p w14:paraId="67B27B3B">
      <w:pPr>
        <w:spacing w:line="360" w:lineRule="auto"/>
        <w:outlineLvl w:val="1"/>
        <w:rPr>
          <w:rFonts w:ascii="宋体" w:hAnsi="宋体" w:cs="宋体"/>
          <w:b/>
          <w:bCs/>
          <w:color w:val="000000"/>
          <w:kern w:val="10"/>
          <w:sz w:val="28"/>
          <w:szCs w:val="28"/>
        </w:rPr>
      </w:pPr>
      <w:bookmarkStart w:id="139" w:name="_Toc57277897"/>
      <w:bookmarkStart w:id="140" w:name="_Toc29859"/>
      <w:bookmarkStart w:id="141" w:name="_Toc13600"/>
      <w:bookmarkStart w:id="142" w:name="_Toc516499669"/>
      <w:bookmarkStart w:id="143" w:name="_Toc99007061"/>
      <w:bookmarkStart w:id="144" w:name="_Toc20592"/>
      <w:bookmarkStart w:id="145" w:name="_Toc509306638"/>
      <w:bookmarkStart w:id="146" w:name="_Toc500665790"/>
      <w:bookmarkStart w:id="147" w:name="_Toc18271"/>
      <w:bookmarkStart w:id="148" w:name="_Toc498866182"/>
    </w:p>
    <w:p w14:paraId="39330C13">
      <w:pPr>
        <w:spacing w:line="360" w:lineRule="auto"/>
        <w:jc w:val="center"/>
        <w:outlineLvl w:val="1"/>
        <w:rPr>
          <w:rFonts w:ascii="宋体" w:hAnsi="宋体" w:cs="宋体"/>
          <w:b/>
          <w:bCs/>
          <w:color w:val="000000"/>
          <w:kern w:val="10"/>
          <w:sz w:val="28"/>
          <w:szCs w:val="28"/>
        </w:rPr>
      </w:pPr>
      <w:bookmarkStart w:id="149" w:name="_Toc12847"/>
      <w:r>
        <w:rPr>
          <w:rFonts w:hint="eastAsia" w:ascii="宋体" w:hAnsi="宋体" w:cs="宋体"/>
          <w:b/>
          <w:bCs/>
          <w:color w:val="000000"/>
          <w:kern w:val="10"/>
          <w:sz w:val="28"/>
          <w:szCs w:val="28"/>
        </w:rPr>
        <w:t>七、中小微企业声明函</w:t>
      </w:r>
      <w:bookmarkEnd w:id="139"/>
      <w:bookmarkEnd w:id="140"/>
      <w:bookmarkEnd w:id="141"/>
      <w:bookmarkEnd w:id="142"/>
      <w:bookmarkEnd w:id="143"/>
      <w:bookmarkEnd w:id="144"/>
      <w:bookmarkEnd w:id="145"/>
      <w:bookmarkEnd w:id="146"/>
      <w:bookmarkEnd w:id="147"/>
      <w:bookmarkEnd w:id="148"/>
      <w:bookmarkEnd w:id="149"/>
    </w:p>
    <w:p w14:paraId="0988410A">
      <w:pPr>
        <w:spacing w:line="400" w:lineRule="exact"/>
        <w:rPr>
          <w:rFonts w:ascii="宋体" w:hAnsi="宋体" w:cs="宋体"/>
          <w:color w:val="000000"/>
          <w:sz w:val="24"/>
        </w:rPr>
      </w:pPr>
    </w:p>
    <w:p w14:paraId="7F8D3A53">
      <w:pPr>
        <w:spacing w:line="400" w:lineRule="exact"/>
        <w:ind w:firstLine="504" w:firstLineChars="200"/>
        <w:rPr>
          <w:rFonts w:ascii="宋体" w:hAnsi="宋体" w:cs="宋体"/>
          <w:color w:val="000000"/>
          <w:spacing w:val="6"/>
          <w:sz w:val="24"/>
        </w:rPr>
      </w:pPr>
      <w:r>
        <w:rPr>
          <w:rFonts w:hint="eastAsia" w:ascii="宋体" w:hAnsi="宋体" w:cs="宋体"/>
          <w:color w:val="000000"/>
          <w:spacing w:val="6"/>
          <w:sz w:val="24"/>
        </w:rPr>
        <w:t>本公司郑重声明，根据《政府采购促进中小企业发展暂行办法》（财库〔2011〕181号）的规定，本公司为______（请填写：中型、小型、微型）企业。即，本公司同时满足以下条件：</w:t>
      </w:r>
      <w:bookmarkStart w:id="186" w:name="_GoBack"/>
      <w:bookmarkEnd w:id="186"/>
    </w:p>
    <w:p w14:paraId="1212E661">
      <w:pPr>
        <w:spacing w:line="400" w:lineRule="exact"/>
        <w:ind w:firstLine="504" w:firstLineChars="200"/>
        <w:rPr>
          <w:rFonts w:ascii="宋体" w:hAnsi="宋体" w:cs="宋体"/>
          <w:color w:val="000000"/>
          <w:spacing w:val="6"/>
          <w:sz w:val="24"/>
        </w:rPr>
      </w:pPr>
      <w:r>
        <w:rPr>
          <w:rFonts w:hint="eastAsia" w:ascii="宋体" w:hAnsi="宋体" w:cs="宋体"/>
          <w:color w:val="000000"/>
          <w:spacing w:val="6"/>
          <w:sz w:val="24"/>
        </w:rPr>
        <w:t>1、根据《工业和信息化部、国家统计局、国家发展和改革委员会、财政部关于印发中小企业划型标准规定的通知》（工信部联企业〔2011〕300号）规定的划分标准，本公司属于第四条第______项______行业，为______（请填写：中型、小型、微型）企业。</w:t>
      </w:r>
    </w:p>
    <w:p w14:paraId="281DA2E4">
      <w:pPr>
        <w:spacing w:line="400" w:lineRule="exact"/>
        <w:ind w:firstLine="504" w:firstLineChars="200"/>
        <w:rPr>
          <w:rFonts w:ascii="宋体" w:hAnsi="宋体" w:cs="宋体"/>
          <w:color w:val="000000"/>
          <w:spacing w:val="6"/>
          <w:sz w:val="24"/>
        </w:rPr>
      </w:pPr>
      <w:r>
        <w:rPr>
          <w:rFonts w:hint="eastAsia" w:ascii="宋体" w:hAnsi="宋体" w:cs="宋体"/>
          <w:color w:val="000000"/>
          <w:spacing w:val="6"/>
          <w:sz w:val="24"/>
        </w:rPr>
        <w:t>2、本公司参加</w:t>
      </w:r>
      <w:r>
        <w:rPr>
          <w:rFonts w:hint="eastAsia" w:ascii="宋体" w:hAnsi="宋体" w:cs="宋体"/>
          <w:color w:val="000000"/>
          <w:spacing w:val="6"/>
          <w:sz w:val="24"/>
          <w:u w:val="single"/>
        </w:rPr>
        <w:t>（招标项目名称）</w:t>
      </w:r>
      <w:r>
        <w:rPr>
          <w:rFonts w:hint="eastAsia" w:ascii="宋体" w:hAnsi="宋体" w:cs="宋体"/>
          <w:color w:val="000000"/>
          <w:spacing w:val="6"/>
          <w:sz w:val="24"/>
        </w:rPr>
        <w:t>采购活动提供本企业制造的货物，由本企业承担工程、提供服务，或者提供其他______（请填写：中型、小型、微型）企业制造的货物。本条所称货物不包括使用大型企业注册商标的货物。</w:t>
      </w:r>
    </w:p>
    <w:p w14:paraId="7F452B88">
      <w:pPr>
        <w:spacing w:line="400" w:lineRule="exact"/>
        <w:ind w:firstLine="504" w:firstLineChars="200"/>
        <w:rPr>
          <w:rFonts w:ascii="宋体" w:hAnsi="宋体" w:cs="宋体"/>
          <w:color w:val="000000"/>
          <w:spacing w:val="6"/>
          <w:sz w:val="24"/>
        </w:rPr>
      </w:pPr>
      <w:r>
        <w:rPr>
          <w:rFonts w:hint="eastAsia" w:ascii="宋体" w:hAnsi="宋体" w:cs="宋体"/>
          <w:color w:val="000000"/>
          <w:spacing w:val="6"/>
          <w:sz w:val="24"/>
        </w:rPr>
        <w:t>本公司对上述声明的真实性负责。如有虚假，将承担相应的法律责任。</w:t>
      </w:r>
    </w:p>
    <w:p w14:paraId="4ED58C42">
      <w:pPr>
        <w:spacing w:line="400" w:lineRule="exact"/>
        <w:ind w:firstLine="480" w:firstLineChars="200"/>
        <w:rPr>
          <w:rFonts w:ascii="宋体" w:hAnsi="宋体" w:cs="宋体"/>
          <w:color w:val="000000"/>
          <w:sz w:val="24"/>
        </w:rPr>
      </w:pPr>
    </w:p>
    <w:p w14:paraId="5F0E4A29">
      <w:pPr>
        <w:spacing w:line="400" w:lineRule="exact"/>
        <w:ind w:firstLine="480" w:firstLineChars="200"/>
        <w:rPr>
          <w:rFonts w:ascii="宋体" w:hAnsi="宋体" w:cs="宋体"/>
          <w:color w:val="000000"/>
          <w:sz w:val="24"/>
        </w:rPr>
      </w:pPr>
    </w:p>
    <w:p w14:paraId="2675C01F">
      <w:pPr>
        <w:spacing w:line="400" w:lineRule="exact"/>
        <w:ind w:firstLine="480" w:firstLineChars="200"/>
        <w:rPr>
          <w:rFonts w:ascii="宋体" w:hAnsi="宋体" w:cs="宋体"/>
          <w:color w:val="000000"/>
          <w:sz w:val="24"/>
        </w:rPr>
      </w:pPr>
      <w:r>
        <w:rPr>
          <w:rFonts w:hint="eastAsia" w:ascii="宋体" w:hAnsi="宋体" w:cs="宋体"/>
          <w:bCs/>
          <w:color w:val="000000"/>
          <w:sz w:val="24"/>
        </w:rPr>
        <w:t>注：如果投标人不满足中小微企业的认定标准，或所投产品的制造商不符合小型微型企业认定标准的，需在横线部分填写“/”。</w:t>
      </w:r>
    </w:p>
    <w:p w14:paraId="278D8578">
      <w:pPr>
        <w:spacing w:line="400" w:lineRule="exact"/>
        <w:ind w:firstLine="480" w:firstLineChars="200"/>
        <w:rPr>
          <w:rFonts w:ascii="宋体" w:hAnsi="宋体" w:cs="宋体"/>
          <w:color w:val="000000"/>
          <w:sz w:val="24"/>
        </w:rPr>
      </w:pPr>
    </w:p>
    <w:p w14:paraId="1309F196">
      <w:pPr>
        <w:spacing w:line="400" w:lineRule="exact"/>
        <w:ind w:firstLine="480" w:firstLineChars="200"/>
        <w:rPr>
          <w:rFonts w:ascii="宋体" w:hAnsi="宋体" w:cs="宋体"/>
          <w:color w:val="000000"/>
          <w:sz w:val="24"/>
        </w:rPr>
      </w:pPr>
    </w:p>
    <w:p w14:paraId="26E785B2">
      <w:pPr>
        <w:rPr>
          <w:rFonts w:ascii="宋体" w:hAnsi="宋体" w:cs="宋体"/>
          <w:b/>
          <w:color w:val="000000"/>
          <w:sz w:val="24"/>
        </w:rPr>
      </w:pPr>
    </w:p>
    <w:p w14:paraId="6931B187">
      <w:pPr>
        <w:rPr>
          <w:rFonts w:ascii="宋体" w:hAnsi="宋体" w:cs="宋体"/>
          <w:b/>
          <w:color w:val="000000"/>
          <w:sz w:val="24"/>
        </w:rPr>
      </w:pPr>
    </w:p>
    <w:p w14:paraId="44E37578">
      <w:pPr>
        <w:spacing w:line="360" w:lineRule="auto"/>
        <w:ind w:firstLine="4320" w:firstLineChars="1800"/>
        <w:rPr>
          <w:rFonts w:ascii="宋体" w:hAnsi="宋体" w:cs="宋体"/>
          <w:color w:val="000000"/>
          <w:kern w:val="10"/>
          <w:sz w:val="24"/>
        </w:rPr>
      </w:pP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    </w:t>
      </w:r>
    </w:p>
    <w:p w14:paraId="505009A9">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p>
    <w:p w14:paraId="06986BAF">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34D2B74C">
      <w:pPr>
        <w:spacing w:line="360" w:lineRule="auto"/>
        <w:rPr>
          <w:rFonts w:ascii="宋体" w:hAnsi="宋体" w:cs="宋体"/>
          <w:color w:val="000000"/>
          <w:kern w:val="10"/>
          <w:sz w:val="24"/>
        </w:rPr>
      </w:pPr>
    </w:p>
    <w:p w14:paraId="5978B57C">
      <w:pPr>
        <w:spacing w:line="360" w:lineRule="auto"/>
        <w:rPr>
          <w:rFonts w:ascii="宋体" w:hAnsi="宋体" w:cs="宋体"/>
          <w:color w:val="000000"/>
          <w:kern w:val="10"/>
          <w:sz w:val="24"/>
        </w:rPr>
      </w:pPr>
    </w:p>
    <w:p w14:paraId="3C10B90A">
      <w:pPr>
        <w:spacing w:line="360" w:lineRule="auto"/>
        <w:rPr>
          <w:rFonts w:ascii="宋体" w:hAnsi="宋体" w:cs="宋体"/>
          <w:color w:val="000000"/>
          <w:kern w:val="10"/>
          <w:sz w:val="24"/>
        </w:rPr>
      </w:pPr>
    </w:p>
    <w:p w14:paraId="7040B8E4">
      <w:pPr>
        <w:spacing w:line="360" w:lineRule="auto"/>
        <w:rPr>
          <w:rFonts w:ascii="宋体" w:hAnsi="宋体" w:cs="宋体"/>
          <w:color w:val="000000"/>
          <w:kern w:val="10"/>
          <w:sz w:val="24"/>
        </w:rPr>
      </w:pPr>
    </w:p>
    <w:p w14:paraId="6BAB1DB9">
      <w:pPr>
        <w:spacing w:line="360" w:lineRule="auto"/>
        <w:rPr>
          <w:rFonts w:ascii="宋体" w:hAnsi="宋体" w:cs="宋体"/>
          <w:color w:val="000000"/>
          <w:kern w:val="10"/>
          <w:sz w:val="24"/>
        </w:rPr>
      </w:pPr>
    </w:p>
    <w:p w14:paraId="37047963">
      <w:pPr>
        <w:spacing w:line="360" w:lineRule="auto"/>
        <w:rPr>
          <w:rFonts w:ascii="宋体" w:hAnsi="宋体" w:cs="宋体"/>
          <w:color w:val="000000"/>
          <w:kern w:val="10"/>
          <w:sz w:val="24"/>
        </w:rPr>
      </w:pPr>
    </w:p>
    <w:p w14:paraId="5A84C5EA">
      <w:pPr>
        <w:spacing w:line="360" w:lineRule="auto"/>
        <w:rPr>
          <w:rFonts w:ascii="宋体" w:hAnsi="宋体" w:cs="宋体"/>
          <w:color w:val="000000"/>
          <w:kern w:val="10"/>
          <w:sz w:val="24"/>
        </w:rPr>
      </w:pPr>
    </w:p>
    <w:p w14:paraId="4E9A3B19">
      <w:pPr>
        <w:spacing w:line="360" w:lineRule="auto"/>
        <w:rPr>
          <w:rFonts w:ascii="宋体" w:hAnsi="宋体" w:cs="宋体"/>
          <w:color w:val="000000"/>
          <w:kern w:val="10"/>
          <w:sz w:val="24"/>
        </w:rPr>
      </w:pPr>
    </w:p>
    <w:p w14:paraId="693B0C58">
      <w:pPr>
        <w:spacing w:line="360" w:lineRule="auto"/>
        <w:jc w:val="center"/>
        <w:outlineLvl w:val="1"/>
        <w:rPr>
          <w:rFonts w:ascii="宋体" w:hAnsi="宋体" w:cs="宋体"/>
          <w:b/>
          <w:bCs/>
          <w:color w:val="000000"/>
          <w:kern w:val="10"/>
          <w:sz w:val="28"/>
          <w:szCs w:val="28"/>
        </w:rPr>
      </w:pPr>
      <w:bookmarkStart w:id="150" w:name="_Toc29267"/>
      <w:bookmarkStart w:id="151" w:name="_Toc99007062"/>
      <w:bookmarkStart w:id="152" w:name="_Toc1813"/>
      <w:bookmarkStart w:id="153" w:name="_Toc10871"/>
      <w:bookmarkStart w:id="154" w:name="_Toc516499670"/>
      <w:bookmarkStart w:id="155" w:name="_Toc6605"/>
      <w:bookmarkStart w:id="156" w:name="_Toc57277898"/>
      <w:r>
        <w:rPr>
          <w:rFonts w:hint="eastAsia" w:ascii="宋体" w:hAnsi="宋体" w:cs="宋体"/>
          <w:b/>
          <w:bCs/>
          <w:color w:val="000000"/>
          <w:kern w:val="10"/>
          <w:sz w:val="28"/>
          <w:szCs w:val="28"/>
        </w:rPr>
        <w:t>八、监狱企业证明材料</w:t>
      </w:r>
      <w:bookmarkEnd w:id="150"/>
      <w:bookmarkEnd w:id="151"/>
      <w:bookmarkEnd w:id="152"/>
      <w:bookmarkEnd w:id="153"/>
      <w:bookmarkEnd w:id="154"/>
      <w:bookmarkEnd w:id="155"/>
      <w:bookmarkEnd w:id="156"/>
    </w:p>
    <w:p w14:paraId="1379B80E">
      <w:pPr>
        <w:spacing w:line="360" w:lineRule="auto"/>
        <w:ind w:firstLine="504" w:firstLineChars="200"/>
        <w:rPr>
          <w:rFonts w:ascii="宋体" w:hAnsi="宋体" w:cs="宋体"/>
          <w:color w:val="000000"/>
          <w:spacing w:val="6"/>
          <w:sz w:val="24"/>
        </w:rPr>
      </w:pPr>
    </w:p>
    <w:p w14:paraId="7832D5AE">
      <w:pPr>
        <w:spacing w:line="360" w:lineRule="auto"/>
        <w:ind w:firstLine="504" w:firstLineChars="200"/>
        <w:rPr>
          <w:rFonts w:ascii="宋体" w:hAnsi="宋体" w:cs="宋体"/>
          <w:color w:val="000000"/>
          <w:spacing w:val="6"/>
          <w:sz w:val="24"/>
        </w:rPr>
      </w:pPr>
      <w:r>
        <w:rPr>
          <w:rFonts w:ascii="宋体" w:hAnsi="宋体" w:cs="宋体"/>
          <w:color w:val="000000"/>
          <w:spacing w:val="6"/>
          <w:sz w:val="24"/>
        </w:rPr>
        <w:t>提供由省级以上监狱管理局、戒毒管理局(含新疆生产建设兵团)出具的属于监狱企业的证明文件</w:t>
      </w:r>
      <w:r>
        <w:rPr>
          <w:rFonts w:hint="eastAsia" w:ascii="宋体" w:hAnsi="宋体" w:cs="宋体"/>
          <w:color w:val="000000"/>
          <w:spacing w:val="6"/>
          <w:sz w:val="24"/>
        </w:rPr>
        <w:t>。</w:t>
      </w:r>
    </w:p>
    <w:p w14:paraId="51682CFB">
      <w:pPr>
        <w:spacing w:line="360" w:lineRule="auto"/>
        <w:ind w:firstLine="504" w:firstLineChars="200"/>
        <w:rPr>
          <w:rFonts w:ascii="宋体" w:hAnsi="宋体" w:cs="宋体"/>
          <w:color w:val="000000"/>
          <w:spacing w:val="6"/>
          <w:sz w:val="24"/>
        </w:rPr>
      </w:pPr>
      <w:r>
        <w:rPr>
          <w:rFonts w:hint="eastAsia" w:ascii="宋体" w:hAnsi="宋体" w:cs="宋体"/>
          <w:color w:val="000000"/>
          <w:spacing w:val="6"/>
          <w:sz w:val="24"/>
        </w:rPr>
        <w:t>若非监狱企业，本页写无</w:t>
      </w:r>
    </w:p>
    <w:p w14:paraId="14096C0C">
      <w:pPr>
        <w:spacing w:line="360" w:lineRule="auto"/>
        <w:jc w:val="center"/>
        <w:rPr>
          <w:rFonts w:ascii="宋体" w:hAnsi="宋体" w:cs="宋体"/>
          <w:b/>
          <w:bCs/>
          <w:color w:val="000000"/>
          <w:kern w:val="10"/>
          <w:sz w:val="28"/>
          <w:szCs w:val="28"/>
        </w:rPr>
      </w:pPr>
    </w:p>
    <w:p w14:paraId="7D06AFB5">
      <w:pPr>
        <w:spacing w:line="360" w:lineRule="auto"/>
        <w:jc w:val="center"/>
        <w:rPr>
          <w:rFonts w:ascii="宋体" w:hAnsi="宋体" w:cs="宋体"/>
          <w:b/>
          <w:bCs/>
          <w:color w:val="000000"/>
          <w:kern w:val="10"/>
          <w:sz w:val="28"/>
          <w:szCs w:val="28"/>
        </w:rPr>
      </w:pPr>
    </w:p>
    <w:p w14:paraId="2CEAD247">
      <w:pPr>
        <w:spacing w:line="360" w:lineRule="auto"/>
        <w:jc w:val="center"/>
        <w:rPr>
          <w:rFonts w:ascii="宋体" w:hAnsi="宋体" w:cs="宋体"/>
          <w:b/>
          <w:bCs/>
          <w:color w:val="000000"/>
          <w:kern w:val="10"/>
          <w:sz w:val="28"/>
          <w:szCs w:val="28"/>
        </w:rPr>
      </w:pPr>
    </w:p>
    <w:p w14:paraId="261BBBE9">
      <w:pPr>
        <w:spacing w:line="360" w:lineRule="auto"/>
        <w:jc w:val="center"/>
        <w:rPr>
          <w:rFonts w:ascii="宋体" w:hAnsi="宋体" w:cs="宋体"/>
          <w:b/>
          <w:bCs/>
          <w:color w:val="000000"/>
          <w:kern w:val="10"/>
          <w:sz w:val="28"/>
          <w:szCs w:val="28"/>
        </w:rPr>
      </w:pPr>
    </w:p>
    <w:p w14:paraId="34E7B651">
      <w:pPr>
        <w:spacing w:line="360" w:lineRule="auto"/>
        <w:jc w:val="center"/>
        <w:rPr>
          <w:rFonts w:ascii="宋体" w:hAnsi="宋体" w:cs="宋体"/>
          <w:b/>
          <w:bCs/>
          <w:color w:val="000000"/>
          <w:kern w:val="10"/>
          <w:sz w:val="28"/>
          <w:szCs w:val="28"/>
        </w:rPr>
      </w:pPr>
    </w:p>
    <w:p w14:paraId="711F608A">
      <w:pPr>
        <w:spacing w:line="360" w:lineRule="auto"/>
        <w:jc w:val="center"/>
        <w:rPr>
          <w:rFonts w:ascii="宋体" w:hAnsi="宋体" w:cs="宋体"/>
          <w:b/>
          <w:bCs/>
          <w:color w:val="000000"/>
          <w:kern w:val="10"/>
          <w:sz w:val="28"/>
          <w:szCs w:val="28"/>
        </w:rPr>
      </w:pPr>
    </w:p>
    <w:p w14:paraId="0661E75B">
      <w:pPr>
        <w:spacing w:line="360" w:lineRule="auto"/>
        <w:jc w:val="center"/>
        <w:rPr>
          <w:rFonts w:ascii="宋体" w:hAnsi="宋体" w:cs="宋体"/>
          <w:b/>
          <w:bCs/>
          <w:color w:val="000000"/>
          <w:kern w:val="10"/>
          <w:sz w:val="28"/>
          <w:szCs w:val="28"/>
        </w:rPr>
      </w:pPr>
    </w:p>
    <w:p w14:paraId="4DDF808E">
      <w:pPr>
        <w:spacing w:line="360" w:lineRule="auto"/>
        <w:rPr>
          <w:rFonts w:ascii="宋体" w:hAnsi="宋体" w:cs="宋体"/>
          <w:b/>
          <w:bCs/>
          <w:color w:val="000000"/>
          <w:kern w:val="10"/>
          <w:sz w:val="28"/>
          <w:szCs w:val="28"/>
        </w:rPr>
      </w:pPr>
    </w:p>
    <w:p w14:paraId="47D47170">
      <w:pPr>
        <w:spacing w:line="360" w:lineRule="auto"/>
        <w:jc w:val="center"/>
        <w:rPr>
          <w:rFonts w:ascii="宋体" w:hAnsi="宋体" w:cs="宋体"/>
          <w:b/>
          <w:bCs/>
          <w:color w:val="000000"/>
          <w:kern w:val="10"/>
          <w:sz w:val="28"/>
          <w:szCs w:val="28"/>
        </w:rPr>
      </w:pPr>
    </w:p>
    <w:p w14:paraId="50C238F2">
      <w:pPr>
        <w:spacing w:line="360" w:lineRule="auto"/>
        <w:jc w:val="center"/>
        <w:rPr>
          <w:rFonts w:ascii="宋体" w:hAnsi="宋体" w:cs="宋体"/>
          <w:b/>
          <w:bCs/>
          <w:color w:val="000000"/>
          <w:kern w:val="10"/>
          <w:sz w:val="28"/>
          <w:szCs w:val="28"/>
        </w:rPr>
      </w:pPr>
    </w:p>
    <w:p w14:paraId="5D8049A5">
      <w:pPr>
        <w:spacing w:line="360" w:lineRule="auto"/>
        <w:jc w:val="center"/>
        <w:rPr>
          <w:rFonts w:ascii="宋体" w:hAnsi="宋体" w:cs="宋体"/>
          <w:b/>
          <w:bCs/>
          <w:color w:val="000000"/>
          <w:kern w:val="10"/>
          <w:sz w:val="28"/>
          <w:szCs w:val="28"/>
        </w:rPr>
      </w:pPr>
    </w:p>
    <w:p w14:paraId="60B72A11">
      <w:pPr>
        <w:spacing w:line="360" w:lineRule="auto"/>
        <w:jc w:val="center"/>
        <w:rPr>
          <w:rFonts w:ascii="宋体" w:hAnsi="宋体" w:cs="宋体"/>
          <w:b/>
          <w:bCs/>
          <w:color w:val="000000"/>
          <w:kern w:val="10"/>
          <w:sz w:val="28"/>
          <w:szCs w:val="28"/>
        </w:rPr>
      </w:pPr>
    </w:p>
    <w:p w14:paraId="0A76F269">
      <w:pPr>
        <w:spacing w:line="360" w:lineRule="auto"/>
        <w:jc w:val="center"/>
        <w:rPr>
          <w:rFonts w:ascii="宋体" w:hAnsi="宋体" w:cs="宋体"/>
          <w:b/>
          <w:bCs/>
          <w:color w:val="000000"/>
          <w:kern w:val="10"/>
          <w:sz w:val="28"/>
          <w:szCs w:val="28"/>
        </w:rPr>
      </w:pPr>
    </w:p>
    <w:p w14:paraId="7C35DAB0">
      <w:pPr>
        <w:spacing w:line="360" w:lineRule="auto"/>
        <w:jc w:val="center"/>
        <w:rPr>
          <w:rFonts w:ascii="宋体" w:hAnsi="宋体" w:cs="宋体"/>
          <w:b/>
          <w:bCs/>
          <w:color w:val="000000"/>
          <w:kern w:val="10"/>
          <w:sz w:val="28"/>
          <w:szCs w:val="28"/>
        </w:rPr>
      </w:pPr>
    </w:p>
    <w:p w14:paraId="57829104">
      <w:pPr>
        <w:spacing w:line="360" w:lineRule="auto"/>
        <w:jc w:val="center"/>
        <w:rPr>
          <w:rFonts w:ascii="宋体" w:hAnsi="宋体" w:cs="宋体"/>
          <w:b/>
          <w:bCs/>
          <w:color w:val="000000"/>
          <w:kern w:val="10"/>
          <w:sz w:val="28"/>
          <w:szCs w:val="28"/>
        </w:rPr>
      </w:pPr>
    </w:p>
    <w:p w14:paraId="29857A81">
      <w:pPr>
        <w:spacing w:line="360" w:lineRule="auto"/>
        <w:jc w:val="center"/>
        <w:rPr>
          <w:rFonts w:ascii="宋体" w:hAnsi="宋体" w:cs="宋体"/>
          <w:b/>
          <w:bCs/>
          <w:color w:val="000000"/>
          <w:kern w:val="10"/>
          <w:sz w:val="28"/>
          <w:szCs w:val="28"/>
        </w:rPr>
      </w:pPr>
    </w:p>
    <w:p w14:paraId="2C9EAF29">
      <w:pPr>
        <w:spacing w:line="360" w:lineRule="auto"/>
        <w:jc w:val="center"/>
        <w:rPr>
          <w:rFonts w:ascii="宋体" w:hAnsi="宋体" w:cs="宋体"/>
          <w:b/>
          <w:bCs/>
          <w:color w:val="000000"/>
          <w:kern w:val="10"/>
          <w:sz w:val="28"/>
          <w:szCs w:val="28"/>
        </w:rPr>
      </w:pPr>
    </w:p>
    <w:p w14:paraId="04ED9DF8">
      <w:pPr>
        <w:spacing w:line="360" w:lineRule="auto"/>
        <w:jc w:val="center"/>
        <w:rPr>
          <w:rFonts w:ascii="宋体" w:hAnsi="宋体" w:cs="宋体"/>
          <w:b/>
          <w:bCs/>
          <w:color w:val="000000"/>
          <w:kern w:val="10"/>
          <w:sz w:val="28"/>
          <w:szCs w:val="28"/>
        </w:rPr>
      </w:pPr>
    </w:p>
    <w:bookmarkEnd w:id="129"/>
    <w:bookmarkEnd w:id="130"/>
    <w:bookmarkEnd w:id="131"/>
    <w:bookmarkEnd w:id="132"/>
    <w:bookmarkEnd w:id="133"/>
    <w:p w14:paraId="124ADD5F">
      <w:pPr>
        <w:spacing w:line="360" w:lineRule="auto"/>
        <w:jc w:val="center"/>
        <w:outlineLvl w:val="1"/>
        <w:rPr>
          <w:rFonts w:ascii="宋体" w:hAnsi="宋体" w:cs="宋体"/>
          <w:b/>
          <w:bCs/>
          <w:color w:val="000000"/>
          <w:kern w:val="10"/>
          <w:sz w:val="28"/>
          <w:szCs w:val="28"/>
        </w:rPr>
      </w:pPr>
      <w:bookmarkStart w:id="157" w:name="_Toc14999"/>
      <w:bookmarkStart w:id="158" w:name="_Toc25199"/>
      <w:bookmarkStart w:id="159" w:name="_Toc6101"/>
      <w:bookmarkStart w:id="160" w:name="_Toc516499676"/>
      <w:bookmarkStart w:id="161" w:name="_Toc6832"/>
      <w:bookmarkStart w:id="162" w:name="_Toc15835"/>
      <w:bookmarkStart w:id="163" w:name="_Toc9253"/>
      <w:bookmarkStart w:id="164" w:name="_Toc99007063"/>
      <w:bookmarkStart w:id="165" w:name="_Toc16559"/>
      <w:bookmarkStart w:id="166" w:name="_Toc17613"/>
      <w:bookmarkStart w:id="167" w:name="_Toc57277901"/>
      <w:bookmarkStart w:id="168" w:name="_Toc27997"/>
      <w:bookmarkStart w:id="169" w:name="_Toc31398"/>
      <w:r>
        <w:rPr>
          <w:rFonts w:hint="eastAsia" w:ascii="宋体" w:hAnsi="宋体" w:cs="宋体"/>
          <w:b/>
          <w:bCs/>
          <w:color w:val="000000"/>
          <w:kern w:val="10"/>
          <w:sz w:val="28"/>
          <w:szCs w:val="28"/>
        </w:rPr>
        <w:t>九、资格审查资料</w:t>
      </w:r>
      <w:bookmarkEnd w:id="157"/>
      <w:bookmarkEnd w:id="158"/>
      <w:bookmarkEnd w:id="159"/>
      <w:bookmarkEnd w:id="160"/>
      <w:bookmarkEnd w:id="161"/>
      <w:bookmarkEnd w:id="162"/>
      <w:bookmarkEnd w:id="163"/>
      <w:bookmarkEnd w:id="164"/>
      <w:bookmarkEnd w:id="165"/>
      <w:bookmarkEnd w:id="166"/>
      <w:bookmarkEnd w:id="167"/>
    </w:p>
    <w:p w14:paraId="69AA6C7C">
      <w:pPr>
        <w:spacing w:line="440" w:lineRule="exact"/>
        <w:jc w:val="left"/>
        <w:rPr>
          <w:rFonts w:ascii="宋体" w:hAnsi="宋体" w:cs="宋体"/>
          <w:color w:val="000000"/>
          <w:kern w:val="10"/>
          <w:sz w:val="24"/>
        </w:rPr>
      </w:pPr>
      <w:r>
        <w:rPr>
          <w:rFonts w:hint="eastAsia" w:ascii="宋体" w:hAnsi="宋体" w:cs="宋体"/>
          <w:b/>
          <w:color w:val="000000"/>
          <w:kern w:val="10"/>
          <w:sz w:val="24"/>
        </w:rPr>
        <w:t>资格审查资料</w:t>
      </w:r>
      <w:r>
        <w:rPr>
          <w:rFonts w:hint="eastAsia" w:ascii="宋体" w:hAnsi="宋体" w:cs="宋体"/>
          <w:color w:val="000000"/>
          <w:kern w:val="10"/>
          <w:sz w:val="24"/>
        </w:rPr>
        <w:t>：</w:t>
      </w:r>
    </w:p>
    <w:p w14:paraId="2B454A9A">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785ACBA2">
      <w:pPr>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r>
        <w:rPr>
          <w:rFonts w:hint="eastAsia" w:ascii="宋体" w:hAnsi="宋体" w:cs="宋体"/>
          <w:sz w:val="24"/>
          <w:lang w:val="en-US" w:eastAsia="zh-CN"/>
        </w:rPr>
        <w:t>本项目支持中小型企业发展政策（残疾人福利性企业、监狱企业视同小微企业）、优先采购节能环保产品等政府采购政策。</w:t>
      </w:r>
    </w:p>
    <w:p w14:paraId="7B4F2A49">
      <w:pPr>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14:paraId="31F8A90B">
      <w:pPr>
        <w:spacing w:line="360" w:lineRule="auto"/>
        <w:ind w:firstLine="480" w:firstLineChars="200"/>
        <w:rPr>
          <w:rFonts w:ascii="宋体" w:hAnsi="宋体" w:cs="宋体"/>
          <w:sz w:val="24"/>
        </w:rPr>
      </w:pPr>
      <w:r>
        <w:rPr>
          <w:rFonts w:hint="eastAsia" w:ascii="宋体" w:hAnsi="宋体" w:cs="宋体"/>
          <w:sz w:val="24"/>
          <w:lang w:val="en-US" w:eastAsia="zh-CN"/>
        </w:rPr>
        <w:t>3.1</w:t>
      </w:r>
      <w:r>
        <w:rPr>
          <w:rFonts w:hint="eastAsia" w:ascii="宋体" w:hAnsi="宋体" w:cs="宋体"/>
          <w:sz w:val="24"/>
        </w:rPr>
        <w:t>供应商须具有有效的营业执照；</w:t>
      </w:r>
    </w:p>
    <w:p w14:paraId="615EA954">
      <w:pPr>
        <w:spacing w:line="360" w:lineRule="auto"/>
        <w:ind w:firstLine="480" w:firstLineChars="200"/>
        <w:rPr>
          <w:rFonts w:hint="eastAsia" w:ascii="宋体" w:hAnsi="宋体" w:cs="宋体"/>
          <w:sz w:val="24"/>
        </w:rPr>
      </w:pPr>
      <w:r>
        <w:rPr>
          <w:rFonts w:hint="eastAsia" w:ascii="宋体" w:hAnsi="宋体" w:cs="宋体"/>
          <w:sz w:val="24"/>
          <w:lang w:val="en-US" w:eastAsia="zh-CN"/>
        </w:rPr>
        <w:t>3.2具有良好的商业信誉和健全的财务会计制度，供应商须提供</w:t>
      </w:r>
      <w:r>
        <w:rPr>
          <w:rFonts w:hint="eastAsia" w:ascii="宋体" w:hAnsi="宋体" w:cs="宋体"/>
          <w:sz w:val="24"/>
        </w:rPr>
        <w:t>近三年财务审计报告</w:t>
      </w:r>
      <w:r>
        <w:rPr>
          <w:rFonts w:hint="eastAsia" w:ascii="宋体" w:hAnsi="宋体" w:cs="宋体"/>
          <w:sz w:val="24"/>
          <w:lang w:eastAsia="zh-CN"/>
        </w:rPr>
        <w:t>（</w:t>
      </w:r>
      <w:r>
        <w:rPr>
          <w:rFonts w:hint="eastAsia" w:ascii="宋体" w:hAnsi="宋体" w:cs="宋体"/>
          <w:sz w:val="24"/>
        </w:rPr>
        <w:t>新成立公司不足一年的以公司成立时间为准</w:t>
      </w:r>
      <w:r>
        <w:rPr>
          <w:rFonts w:hint="eastAsia" w:ascii="宋体" w:hAnsi="宋体" w:cs="宋体"/>
          <w:sz w:val="24"/>
          <w:lang w:eastAsia="zh-CN"/>
        </w:rPr>
        <w:t>）</w:t>
      </w:r>
      <w:r>
        <w:rPr>
          <w:rFonts w:hint="eastAsia" w:ascii="宋体" w:hAnsi="宋体" w:cs="宋体"/>
          <w:sz w:val="24"/>
          <w:lang w:val="en-US" w:eastAsia="zh-CN"/>
        </w:rPr>
        <w:t>或基本户银行出具的资信证明等证明文件；</w:t>
      </w:r>
    </w:p>
    <w:p w14:paraId="71F22DF4">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3.3具有履行合同所必需的设备和专业技术能力（自行作出承诺，格式自拟）； </w:t>
      </w:r>
    </w:p>
    <w:p w14:paraId="291E1746">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3.4具有依法缴纳税收和社会保障资金的良好记录（提供2024年01月01日以来任意一个月依法缴纳税收和社会保障金的证明材料；</w:t>
      </w:r>
    </w:p>
    <w:p w14:paraId="7F368A1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3.5出具本单位无商业贿赂及无不正当竞争行为的承诺书（自行作出承诺，格式自拟）</w:t>
      </w:r>
    </w:p>
    <w:p w14:paraId="184B39CF">
      <w:pPr>
        <w:spacing w:line="360" w:lineRule="auto"/>
        <w:ind w:firstLine="480" w:firstLineChars="200"/>
        <w:rPr>
          <w:rFonts w:ascii="宋体" w:hAnsi="宋体" w:cs="宋体"/>
          <w:sz w:val="24"/>
        </w:rPr>
      </w:pPr>
      <w:r>
        <w:rPr>
          <w:rFonts w:hint="eastAsia" w:ascii="宋体" w:hAnsi="宋体" w:cs="宋体"/>
          <w:sz w:val="24"/>
          <w:lang w:val="en-US" w:eastAsia="zh-CN"/>
        </w:rPr>
        <w:t>3.6</w:t>
      </w:r>
      <w:r>
        <w:rPr>
          <w:rFonts w:hint="eastAsia" w:ascii="宋体" w:hAnsi="宋体" w:cs="宋体"/>
          <w:sz w:val="24"/>
        </w:rPr>
        <w:t>参加政府采购活动前3年内在经营活动中没有重大违法记录的书面声明；</w:t>
      </w:r>
    </w:p>
    <w:p w14:paraId="306B3FAD">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3.7</w:t>
      </w:r>
      <w:r>
        <w:rPr>
          <w:rFonts w:hint="eastAsia" w:ascii="宋体" w:hAnsi="宋体" w:eastAsia="宋体" w:cs="宋体"/>
          <w:sz w:val="24"/>
          <w:lang w:val="en-US"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政府采购网（www.ccgp.gov.cn）】（查询时间为公告发出之后）。</w:t>
      </w:r>
    </w:p>
    <w:p w14:paraId="125A7B58">
      <w:pPr>
        <w:spacing w:line="360" w:lineRule="auto"/>
        <w:ind w:firstLine="480" w:firstLineChars="200"/>
        <w:jc w:val="left"/>
        <w:rPr>
          <w:rFonts w:ascii="宋体" w:hAnsi="宋体" w:cs="宋体"/>
          <w:sz w:val="24"/>
        </w:rPr>
      </w:pP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s="宋体"/>
          <w:sz w:val="24"/>
        </w:rPr>
        <w:t>本项目不接受联合体投标。</w:t>
      </w:r>
    </w:p>
    <w:p w14:paraId="323F760A">
      <w:pPr>
        <w:spacing w:line="360" w:lineRule="auto"/>
        <w:ind w:firstLine="480" w:firstLineChars="200"/>
        <w:rPr>
          <w:rFonts w:ascii="宋体" w:hAnsi="宋体"/>
          <w:color w:val="000000"/>
          <w:sz w:val="24"/>
          <w:szCs w:val="20"/>
        </w:rPr>
      </w:pPr>
    </w:p>
    <w:p w14:paraId="1E232D6D">
      <w:pPr>
        <w:spacing w:line="360" w:lineRule="auto"/>
        <w:ind w:firstLine="482" w:firstLineChars="200"/>
        <w:rPr>
          <w:rFonts w:ascii="宋体" w:hAnsi="宋体" w:cs="宋体"/>
          <w:b/>
          <w:bCs/>
          <w:color w:val="000000"/>
          <w:kern w:val="10"/>
          <w:sz w:val="24"/>
        </w:rPr>
      </w:pPr>
    </w:p>
    <w:p w14:paraId="585EF86A">
      <w:pPr>
        <w:rPr>
          <w:rFonts w:ascii="宋体" w:hAnsi="宋体" w:cs="宋体"/>
          <w:b/>
          <w:bCs/>
          <w:color w:val="000000"/>
          <w:kern w:val="10"/>
          <w:sz w:val="28"/>
          <w:szCs w:val="28"/>
        </w:rPr>
      </w:pPr>
      <w:bookmarkStart w:id="170" w:name="_Toc516499677"/>
      <w:bookmarkStart w:id="171" w:name="_Toc57277902"/>
      <w:bookmarkStart w:id="172" w:name="_Toc21410"/>
      <w:bookmarkStart w:id="173" w:name="_Toc6065"/>
      <w:r>
        <w:rPr>
          <w:rFonts w:ascii="宋体" w:hAnsi="宋体" w:cs="宋体"/>
          <w:b/>
          <w:bCs/>
          <w:color w:val="000000"/>
          <w:kern w:val="10"/>
          <w:sz w:val="28"/>
          <w:szCs w:val="28"/>
        </w:rPr>
        <w:br w:type="page"/>
      </w:r>
    </w:p>
    <w:p w14:paraId="018DA241">
      <w:pPr>
        <w:spacing w:line="360" w:lineRule="auto"/>
        <w:jc w:val="center"/>
        <w:outlineLvl w:val="1"/>
        <w:rPr>
          <w:rFonts w:ascii="宋体" w:hAnsi="宋体" w:cs="宋体"/>
          <w:b/>
          <w:bCs/>
          <w:color w:val="000000"/>
          <w:kern w:val="10"/>
          <w:sz w:val="28"/>
          <w:szCs w:val="28"/>
        </w:rPr>
      </w:pPr>
      <w:bookmarkStart w:id="174" w:name="_Toc99007064"/>
      <w:bookmarkStart w:id="175" w:name="_Toc19049"/>
      <w:bookmarkStart w:id="176" w:name="_Toc30251"/>
      <w:bookmarkStart w:id="177" w:name="_Toc4481"/>
      <w:bookmarkStart w:id="178" w:name="_Toc13642"/>
      <w:r>
        <w:rPr>
          <w:rFonts w:hint="eastAsia" w:ascii="宋体" w:hAnsi="宋体" w:cs="宋体"/>
          <w:b/>
          <w:bCs/>
          <w:color w:val="000000"/>
          <w:kern w:val="10"/>
          <w:sz w:val="28"/>
          <w:szCs w:val="28"/>
        </w:rPr>
        <w:t>十、其他材料</w:t>
      </w:r>
      <w:bookmarkEnd w:id="168"/>
      <w:bookmarkEnd w:id="169"/>
      <w:bookmarkEnd w:id="170"/>
      <w:bookmarkEnd w:id="171"/>
      <w:bookmarkEnd w:id="172"/>
      <w:bookmarkEnd w:id="173"/>
      <w:bookmarkEnd w:id="174"/>
      <w:bookmarkEnd w:id="175"/>
      <w:bookmarkEnd w:id="176"/>
      <w:bookmarkEnd w:id="177"/>
      <w:bookmarkEnd w:id="178"/>
    </w:p>
    <w:p w14:paraId="207F6026">
      <w:pPr>
        <w:spacing w:line="360" w:lineRule="auto"/>
        <w:jc w:val="center"/>
        <w:rPr>
          <w:rFonts w:ascii="宋体" w:hAnsi="宋体" w:cs="Arial"/>
          <w:b/>
          <w:bCs/>
          <w:sz w:val="24"/>
        </w:rPr>
      </w:pPr>
      <w:r>
        <w:rPr>
          <w:rFonts w:hint="eastAsia" w:ascii="宋体" w:hAnsi="宋体" w:cs="Arial"/>
          <w:b/>
          <w:bCs/>
          <w:sz w:val="24"/>
        </w:rPr>
        <w:t>（一）技术偏离表</w:t>
      </w:r>
    </w:p>
    <w:p w14:paraId="002F4B44">
      <w:pPr>
        <w:spacing w:line="360" w:lineRule="auto"/>
        <w:jc w:val="center"/>
        <w:rPr>
          <w:rFonts w:ascii="宋体" w:hAnsi="宋体" w:cs="宋体"/>
          <w:b/>
          <w:bCs/>
          <w:color w:val="000000"/>
          <w:kern w:val="10"/>
          <w:sz w:val="28"/>
          <w:szCs w:val="28"/>
        </w:rP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1976"/>
        <w:gridCol w:w="2880"/>
        <w:gridCol w:w="2160"/>
        <w:gridCol w:w="2160"/>
      </w:tblGrid>
      <w:tr w14:paraId="7F3F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90" w:type="dxa"/>
            <w:noWrap w:val="0"/>
            <w:vAlign w:val="top"/>
          </w:tcPr>
          <w:p w14:paraId="126063E0">
            <w:pPr>
              <w:spacing w:line="340" w:lineRule="exact"/>
              <w:jc w:val="center"/>
              <w:rPr>
                <w:rFonts w:ascii="宋体" w:hAnsi="宋体"/>
                <w:color w:val="000000"/>
                <w:sz w:val="24"/>
              </w:rPr>
            </w:pPr>
            <w:r>
              <w:rPr>
                <w:rFonts w:hint="eastAsia" w:ascii="宋体" w:hAnsi="宋体"/>
                <w:color w:val="000000"/>
                <w:sz w:val="24"/>
              </w:rPr>
              <w:t>序</w:t>
            </w:r>
          </w:p>
          <w:p w14:paraId="1C4AA76D">
            <w:pPr>
              <w:spacing w:line="340" w:lineRule="exact"/>
              <w:jc w:val="center"/>
              <w:rPr>
                <w:rFonts w:ascii="宋体" w:hAnsi="宋体"/>
                <w:color w:val="000000"/>
                <w:sz w:val="24"/>
              </w:rPr>
            </w:pPr>
            <w:r>
              <w:rPr>
                <w:rFonts w:hint="eastAsia" w:ascii="宋体" w:hAnsi="宋体"/>
                <w:color w:val="000000"/>
                <w:sz w:val="24"/>
              </w:rPr>
              <w:t>号</w:t>
            </w:r>
          </w:p>
        </w:tc>
        <w:tc>
          <w:tcPr>
            <w:tcW w:w="1976" w:type="dxa"/>
            <w:noWrap w:val="0"/>
            <w:vAlign w:val="center"/>
          </w:tcPr>
          <w:p w14:paraId="3776CE23">
            <w:pPr>
              <w:spacing w:line="340" w:lineRule="exact"/>
              <w:jc w:val="center"/>
              <w:rPr>
                <w:rFonts w:ascii="宋体" w:hAnsi="宋体"/>
                <w:color w:val="000000"/>
                <w:sz w:val="24"/>
              </w:rPr>
            </w:pPr>
            <w:r>
              <w:rPr>
                <w:rFonts w:hint="eastAsia" w:ascii="宋体" w:hAnsi="宋体"/>
                <w:color w:val="000000"/>
                <w:sz w:val="24"/>
              </w:rPr>
              <w:t>产品名称</w:t>
            </w:r>
          </w:p>
        </w:tc>
        <w:tc>
          <w:tcPr>
            <w:tcW w:w="2880" w:type="dxa"/>
            <w:noWrap w:val="0"/>
            <w:vAlign w:val="center"/>
          </w:tcPr>
          <w:p w14:paraId="380F8AB1">
            <w:pPr>
              <w:spacing w:line="340" w:lineRule="exact"/>
              <w:jc w:val="center"/>
              <w:rPr>
                <w:rFonts w:ascii="宋体" w:hAnsi="宋体"/>
                <w:color w:val="000000"/>
                <w:sz w:val="24"/>
              </w:rPr>
            </w:pPr>
            <w:r>
              <w:rPr>
                <w:rFonts w:hint="eastAsia" w:ascii="宋体" w:hAnsi="宋体"/>
                <w:color w:val="000000"/>
                <w:sz w:val="24"/>
              </w:rPr>
              <w:t>磋商文件技术</w:t>
            </w:r>
          </w:p>
          <w:p w14:paraId="6695B0BD">
            <w:pPr>
              <w:spacing w:line="340" w:lineRule="exact"/>
              <w:jc w:val="center"/>
              <w:rPr>
                <w:rFonts w:ascii="宋体" w:hAnsi="宋体"/>
                <w:color w:val="000000"/>
                <w:sz w:val="24"/>
              </w:rPr>
            </w:pPr>
            <w:r>
              <w:rPr>
                <w:rFonts w:hint="eastAsia" w:ascii="宋体" w:hAnsi="宋体"/>
                <w:color w:val="000000"/>
                <w:sz w:val="24"/>
              </w:rPr>
              <w:t>要求（列明技术配置）</w:t>
            </w:r>
          </w:p>
        </w:tc>
        <w:tc>
          <w:tcPr>
            <w:tcW w:w="2160" w:type="dxa"/>
            <w:noWrap w:val="0"/>
            <w:vAlign w:val="center"/>
          </w:tcPr>
          <w:p w14:paraId="0DE3CFD3">
            <w:pPr>
              <w:spacing w:before="120" w:line="340" w:lineRule="exact"/>
              <w:jc w:val="center"/>
              <w:rPr>
                <w:rFonts w:ascii="宋体" w:hAnsi="宋体"/>
                <w:color w:val="000000"/>
                <w:sz w:val="24"/>
              </w:rPr>
            </w:pPr>
            <w:r>
              <w:rPr>
                <w:rFonts w:hint="eastAsia" w:ascii="宋体" w:hAnsi="宋体"/>
                <w:color w:val="000000"/>
                <w:sz w:val="24"/>
              </w:rPr>
              <w:t>投标文件技术响应情况（列明所投产品的技术配置）</w:t>
            </w:r>
          </w:p>
        </w:tc>
        <w:tc>
          <w:tcPr>
            <w:tcW w:w="2160" w:type="dxa"/>
            <w:tcBorders>
              <w:right w:val="single" w:color="auto" w:sz="4" w:space="0"/>
            </w:tcBorders>
            <w:noWrap w:val="0"/>
            <w:vAlign w:val="center"/>
          </w:tcPr>
          <w:p w14:paraId="13FAFD23">
            <w:pPr>
              <w:spacing w:before="120" w:line="240" w:lineRule="exact"/>
              <w:jc w:val="center"/>
              <w:rPr>
                <w:rFonts w:ascii="宋体" w:hAnsi="宋体"/>
                <w:color w:val="000000"/>
                <w:sz w:val="24"/>
              </w:rPr>
            </w:pPr>
            <w:r>
              <w:rPr>
                <w:rFonts w:hint="eastAsia" w:ascii="宋体" w:hAnsi="宋体"/>
                <w:color w:val="000000"/>
                <w:sz w:val="24"/>
              </w:rPr>
              <w:t>偏差描述（描述技术是否具有正、负偏差）</w:t>
            </w:r>
          </w:p>
        </w:tc>
      </w:tr>
      <w:tr w14:paraId="3756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390" w:type="dxa"/>
            <w:tcBorders>
              <w:bottom w:val="single" w:color="auto" w:sz="4" w:space="0"/>
            </w:tcBorders>
            <w:noWrap w:val="0"/>
            <w:vAlign w:val="top"/>
          </w:tcPr>
          <w:p w14:paraId="03EC48BB">
            <w:pPr>
              <w:rPr>
                <w:rFonts w:ascii="宋体" w:hAnsi="宋体"/>
                <w:color w:val="000000"/>
                <w:sz w:val="24"/>
              </w:rPr>
            </w:pPr>
          </w:p>
        </w:tc>
        <w:tc>
          <w:tcPr>
            <w:tcW w:w="1976" w:type="dxa"/>
            <w:tcBorders>
              <w:bottom w:val="single" w:color="auto" w:sz="4" w:space="0"/>
            </w:tcBorders>
            <w:noWrap w:val="0"/>
            <w:vAlign w:val="top"/>
          </w:tcPr>
          <w:p w14:paraId="1C21CB29">
            <w:pPr>
              <w:rPr>
                <w:rFonts w:ascii="宋体" w:hAnsi="宋体"/>
                <w:color w:val="000000"/>
                <w:sz w:val="24"/>
              </w:rPr>
            </w:pPr>
          </w:p>
        </w:tc>
        <w:tc>
          <w:tcPr>
            <w:tcW w:w="2880" w:type="dxa"/>
            <w:tcBorders>
              <w:bottom w:val="single" w:color="auto" w:sz="4" w:space="0"/>
            </w:tcBorders>
            <w:noWrap w:val="0"/>
            <w:vAlign w:val="top"/>
          </w:tcPr>
          <w:p w14:paraId="087DCAE4">
            <w:pPr>
              <w:rPr>
                <w:rFonts w:ascii="宋体" w:hAnsi="宋体"/>
                <w:color w:val="000000"/>
                <w:sz w:val="24"/>
              </w:rPr>
            </w:pPr>
          </w:p>
        </w:tc>
        <w:tc>
          <w:tcPr>
            <w:tcW w:w="2160" w:type="dxa"/>
            <w:tcBorders>
              <w:bottom w:val="single" w:color="auto" w:sz="4" w:space="0"/>
            </w:tcBorders>
            <w:noWrap w:val="0"/>
            <w:vAlign w:val="top"/>
          </w:tcPr>
          <w:p w14:paraId="03064D04">
            <w:pPr>
              <w:rPr>
                <w:rFonts w:ascii="宋体" w:hAnsi="宋体"/>
                <w:color w:val="000000"/>
                <w:sz w:val="24"/>
              </w:rPr>
            </w:pPr>
          </w:p>
        </w:tc>
        <w:tc>
          <w:tcPr>
            <w:tcW w:w="2160" w:type="dxa"/>
            <w:tcBorders>
              <w:bottom w:val="single" w:color="auto" w:sz="4" w:space="0"/>
              <w:right w:val="single" w:color="auto" w:sz="4" w:space="0"/>
            </w:tcBorders>
            <w:noWrap w:val="0"/>
            <w:vAlign w:val="top"/>
          </w:tcPr>
          <w:p w14:paraId="259243D6">
            <w:pPr>
              <w:rPr>
                <w:rFonts w:ascii="宋体" w:hAnsi="宋体"/>
                <w:color w:val="000000"/>
                <w:sz w:val="24"/>
              </w:rPr>
            </w:pPr>
          </w:p>
        </w:tc>
      </w:tr>
      <w:tr w14:paraId="3E1F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390" w:type="dxa"/>
            <w:tcBorders>
              <w:top w:val="single" w:color="auto" w:sz="4" w:space="0"/>
              <w:bottom w:val="single" w:color="auto" w:sz="4" w:space="0"/>
            </w:tcBorders>
            <w:noWrap w:val="0"/>
            <w:vAlign w:val="top"/>
          </w:tcPr>
          <w:p w14:paraId="4FF1A26F">
            <w:pPr>
              <w:rPr>
                <w:rFonts w:ascii="宋体" w:hAnsi="宋体"/>
                <w:color w:val="000000"/>
                <w:sz w:val="24"/>
              </w:rPr>
            </w:pPr>
          </w:p>
        </w:tc>
        <w:tc>
          <w:tcPr>
            <w:tcW w:w="1976" w:type="dxa"/>
            <w:tcBorders>
              <w:top w:val="single" w:color="auto" w:sz="4" w:space="0"/>
              <w:bottom w:val="single" w:color="auto" w:sz="4" w:space="0"/>
            </w:tcBorders>
            <w:noWrap w:val="0"/>
            <w:vAlign w:val="top"/>
          </w:tcPr>
          <w:p w14:paraId="65C78008">
            <w:pPr>
              <w:rPr>
                <w:rFonts w:ascii="宋体" w:hAnsi="宋体"/>
                <w:color w:val="000000"/>
                <w:sz w:val="24"/>
              </w:rPr>
            </w:pPr>
          </w:p>
        </w:tc>
        <w:tc>
          <w:tcPr>
            <w:tcW w:w="2880" w:type="dxa"/>
            <w:tcBorders>
              <w:top w:val="single" w:color="auto" w:sz="4" w:space="0"/>
              <w:bottom w:val="single" w:color="auto" w:sz="4" w:space="0"/>
            </w:tcBorders>
            <w:noWrap w:val="0"/>
            <w:vAlign w:val="top"/>
          </w:tcPr>
          <w:p w14:paraId="08758FC4">
            <w:pPr>
              <w:rPr>
                <w:rFonts w:ascii="宋体" w:hAnsi="宋体"/>
                <w:color w:val="000000"/>
                <w:sz w:val="24"/>
              </w:rPr>
            </w:pPr>
          </w:p>
        </w:tc>
        <w:tc>
          <w:tcPr>
            <w:tcW w:w="2160" w:type="dxa"/>
            <w:tcBorders>
              <w:top w:val="single" w:color="auto" w:sz="4" w:space="0"/>
              <w:bottom w:val="single" w:color="auto" w:sz="4" w:space="0"/>
            </w:tcBorders>
            <w:noWrap w:val="0"/>
            <w:vAlign w:val="top"/>
          </w:tcPr>
          <w:p w14:paraId="28766271">
            <w:pPr>
              <w:rPr>
                <w:rFonts w:ascii="宋体" w:hAnsi="宋体"/>
                <w:color w:val="000000"/>
                <w:sz w:val="24"/>
              </w:rPr>
            </w:pPr>
          </w:p>
        </w:tc>
        <w:tc>
          <w:tcPr>
            <w:tcW w:w="2160" w:type="dxa"/>
            <w:tcBorders>
              <w:top w:val="single" w:color="auto" w:sz="4" w:space="0"/>
              <w:bottom w:val="single" w:color="auto" w:sz="4" w:space="0"/>
              <w:right w:val="single" w:color="auto" w:sz="4" w:space="0"/>
            </w:tcBorders>
            <w:noWrap w:val="0"/>
            <w:vAlign w:val="top"/>
          </w:tcPr>
          <w:p w14:paraId="4C4CAC91">
            <w:pPr>
              <w:rPr>
                <w:rFonts w:ascii="宋体" w:hAnsi="宋体"/>
                <w:color w:val="000000"/>
                <w:sz w:val="24"/>
              </w:rPr>
            </w:pPr>
          </w:p>
        </w:tc>
      </w:tr>
      <w:tr w14:paraId="009D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390" w:type="dxa"/>
            <w:tcBorders>
              <w:top w:val="single" w:color="auto" w:sz="4" w:space="0"/>
              <w:bottom w:val="single" w:color="auto" w:sz="4" w:space="0"/>
            </w:tcBorders>
            <w:noWrap w:val="0"/>
            <w:vAlign w:val="top"/>
          </w:tcPr>
          <w:p w14:paraId="465EB155">
            <w:pPr>
              <w:rPr>
                <w:rFonts w:ascii="宋体" w:hAnsi="宋体"/>
                <w:color w:val="000000"/>
                <w:sz w:val="24"/>
              </w:rPr>
            </w:pPr>
          </w:p>
        </w:tc>
        <w:tc>
          <w:tcPr>
            <w:tcW w:w="1976" w:type="dxa"/>
            <w:tcBorders>
              <w:top w:val="single" w:color="auto" w:sz="4" w:space="0"/>
              <w:bottom w:val="single" w:color="auto" w:sz="4" w:space="0"/>
            </w:tcBorders>
            <w:noWrap w:val="0"/>
            <w:vAlign w:val="top"/>
          </w:tcPr>
          <w:p w14:paraId="3922B93A">
            <w:pPr>
              <w:rPr>
                <w:rFonts w:ascii="宋体" w:hAnsi="宋体"/>
                <w:color w:val="000000"/>
                <w:sz w:val="24"/>
              </w:rPr>
            </w:pPr>
          </w:p>
        </w:tc>
        <w:tc>
          <w:tcPr>
            <w:tcW w:w="2880" w:type="dxa"/>
            <w:tcBorders>
              <w:top w:val="single" w:color="auto" w:sz="4" w:space="0"/>
              <w:bottom w:val="single" w:color="auto" w:sz="4" w:space="0"/>
            </w:tcBorders>
            <w:noWrap w:val="0"/>
            <w:vAlign w:val="top"/>
          </w:tcPr>
          <w:p w14:paraId="776A9BE4">
            <w:pPr>
              <w:rPr>
                <w:rFonts w:ascii="宋体" w:hAnsi="宋体"/>
                <w:color w:val="000000"/>
                <w:sz w:val="24"/>
              </w:rPr>
            </w:pPr>
          </w:p>
        </w:tc>
        <w:tc>
          <w:tcPr>
            <w:tcW w:w="2160" w:type="dxa"/>
            <w:tcBorders>
              <w:top w:val="single" w:color="auto" w:sz="4" w:space="0"/>
              <w:bottom w:val="single" w:color="auto" w:sz="4" w:space="0"/>
            </w:tcBorders>
            <w:noWrap w:val="0"/>
            <w:vAlign w:val="top"/>
          </w:tcPr>
          <w:p w14:paraId="004A331A">
            <w:pPr>
              <w:rPr>
                <w:rFonts w:ascii="宋体" w:hAnsi="宋体"/>
                <w:color w:val="000000"/>
                <w:sz w:val="24"/>
              </w:rPr>
            </w:pPr>
          </w:p>
        </w:tc>
        <w:tc>
          <w:tcPr>
            <w:tcW w:w="2160" w:type="dxa"/>
            <w:tcBorders>
              <w:top w:val="single" w:color="auto" w:sz="4" w:space="0"/>
              <w:bottom w:val="single" w:color="auto" w:sz="4" w:space="0"/>
              <w:right w:val="single" w:color="auto" w:sz="4" w:space="0"/>
            </w:tcBorders>
            <w:noWrap w:val="0"/>
            <w:vAlign w:val="top"/>
          </w:tcPr>
          <w:p w14:paraId="16EFA9BB">
            <w:pPr>
              <w:rPr>
                <w:rFonts w:ascii="宋体" w:hAnsi="宋体"/>
                <w:color w:val="000000"/>
                <w:sz w:val="24"/>
              </w:rPr>
            </w:pPr>
          </w:p>
        </w:tc>
      </w:tr>
      <w:tr w14:paraId="1B20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390" w:type="dxa"/>
            <w:tcBorders>
              <w:top w:val="single" w:color="auto" w:sz="4" w:space="0"/>
              <w:bottom w:val="single" w:color="auto" w:sz="4" w:space="0"/>
            </w:tcBorders>
            <w:noWrap w:val="0"/>
            <w:vAlign w:val="top"/>
          </w:tcPr>
          <w:p w14:paraId="1A3087FE">
            <w:pPr>
              <w:rPr>
                <w:rFonts w:ascii="宋体" w:hAnsi="宋体"/>
                <w:color w:val="000000"/>
                <w:sz w:val="24"/>
              </w:rPr>
            </w:pPr>
          </w:p>
        </w:tc>
        <w:tc>
          <w:tcPr>
            <w:tcW w:w="1976" w:type="dxa"/>
            <w:tcBorders>
              <w:top w:val="single" w:color="auto" w:sz="4" w:space="0"/>
              <w:bottom w:val="single" w:color="auto" w:sz="4" w:space="0"/>
            </w:tcBorders>
            <w:noWrap w:val="0"/>
            <w:vAlign w:val="top"/>
          </w:tcPr>
          <w:p w14:paraId="13F5ECA2">
            <w:pPr>
              <w:rPr>
                <w:rFonts w:ascii="宋体" w:hAnsi="宋体"/>
                <w:color w:val="000000"/>
                <w:sz w:val="24"/>
              </w:rPr>
            </w:pPr>
          </w:p>
        </w:tc>
        <w:tc>
          <w:tcPr>
            <w:tcW w:w="2880" w:type="dxa"/>
            <w:tcBorders>
              <w:top w:val="single" w:color="auto" w:sz="4" w:space="0"/>
              <w:bottom w:val="single" w:color="auto" w:sz="4" w:space="0"/>
            </w:tcBorders>
            <w:noWrap w:val="0"/>
            <w:vAlign w:val="top"/>
          </w:tcPr>
          <w:p w14:paraId="3BD8FEEA">
            <w:pPr>
              <w:rPr>
                <w:rFonts w:ascii="宋体" w:hAnsi="宋体"/>
                <w:color w:val="000000"/>
                <w:sz w:val="24"/>
              </w:rPr>
            </w:pPr>
          </w:p>
        </w:tc>
        <w:tc>
          <w:tcPr>
            <w:tcW w:w="2160" w:type="dxa"/>
            <w:tcBorders>
              <w:top w:val="single" w:color="auto" w:sz="4" w:space="0"/>
              <w:bottom w:val="single" w:color="auto" w:sz="4" w:space="0"/>
            </w:tcBorders>
            <w:noWrap w:val="0"/>
            <w:vAlign w:val="top"/>
          </w:tcPr>
          <w:p w14:paraId="63949D4D">
            <w:pPr>
              <w:rPr>
                <w:rFonts w:ascii="宋体" w:hAnsi="宋体"/>
                <w:color w:val="000000"/>
                <w:sz w:val="24"/>
              </w:rPr>
            </w:pPr>
          </w:p>
        </w:tc>
        <w:tc>
          <w:tcPr>
            <w:tcW w:w="2160" w:type="dxa"/>
            <w:tcBorders>
              <w:top w:val="single" w:color="auto" w:sz="4" w:space="0"/>
              <w:bottom w:val="single" w:color="auto" w:sz="4" w:space="0"/>
              <w:right w:val="single" w:color="auto" w:sz="4" w:space="0"/>
            </w:tcBorders>
            <w:noWrap w:val="0"/>
            <w:vAlign w:val="top"/>
          </w:tcPr>
          <w:p w14:paraId="2CD73D7D">
            <w:pPr>
              <w:rPr>
                <w:rFonts w:ascii="宋体" w:hAnsi="宋体"/>
                <w:color w:val="000000"/>
                <w:sz w:val="24"/>
              </w:rPr>
            </w:pPr>
          </w:p>
        </w:tc>
      </w:tr>
    </w:tbl>
    <w:p w14:paraId="198DF1D3">
      <w:pPr>
        <w:autoSpaceDE w:val="0"/>
        <w:autoSpaceDN w:val="0"/>
        <w:spacing w:line="360" w:lineRule="exact"/>
        <w:ind w:right="26"/>
        <w:rPr>
          <w:rFonts w:ascii="宋体" w:hAnsi="宋体"/>
          <w:color w:val="000000"/>
          <w:szCs w:val="21"/>
        </w:rPr>
      </w:pPr>
    </w:p>
    <w:p w14:paraId="29EBB1B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注：1、</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必须按要求规范填写所有投报产品的技术偏差；</w:t>
      </w:r>
    </w:p>
    <w:p w14:paraId="01508A44">
      <w:pPr>
        <w:spacing w:line="360" w:lineRule="auto"/>
        <w:ind w:firstLine="480" w:firstLineChars="200"/>
        <w:rPr>
          <w:rFonts w:ascii="宋体" w:hAnsi="宋体" w:cs="宋体"/>
          <w:b/>
          <w:color w:val="000000"/>
          <w:kern w:val="10"/>
          <w:sz w:val="24"/>
        </w:rPr>
      </w:pPr>
      <w:r>
        <w:rPr>
          <w:rFonts w:hint="eastAsia" w:ascii="宋体" w:hAnsi="宋体" w:cs="宋体"/>
          <w:color w:val="000000"/>
          <w:kern w:val="10"/>
          <w:sz w:val="24"/>
        </w:rPr>
        <w:t>2、</w:t>
      </w:r>
      <w:r>
        <w:rPr>
          <w:rFonts w:hint="eastAsia" w:ascii="宋体" w:hAnsi="宋体" w:cs="宋体"/>
          <w:b/>
          <w:bCs/>
          <w:color w:val="000000"/>
          <w:kern w:val="10"/>
          <w:sz w:val="24"/>
          <w:lang w:val="en-US" w:eastAsia="zh-CN"/>
        </w:rPr>
        <w:t>供应商</w:t>
      </w:r>
      <w:r>
        <w:rPr>
          <w:rFonts w:hint="eastAsia" w:ascii="宋体" w:hAnsi="宋体" w:cs="宋体"/>
          <w:b/>
          <w:color w:val="000000"/>
          <w:kern w:val="10"/>
          <w:sz w:val="24"/>
        </w:rPr>
        <w:t>必须根据所投产品的实际情况如实填写，不得复制粘贴采购技术参数一览表中技术参数描述，评委会如发现有虚假描述的，技术标部分将视为0分。</w:t>
      </w:r>
    </w:p>
    <w:p w14:paraId="071440BE">
      <w:pPr>
        <w:spacing w:line="360" w:lineRule="auto"/>
        <w:ind w:firstLine="482" w:firstLineChars="200"/>
        <w:rPr>
          <w:rFonts w:ascii="宋体" w:hAnsi="宋体" w:cs="宋体"/>
          <w:color w:val="000000"/>
          <w:kern w:val="10"/>
          <w:sz w:val="24"/>
        </w:rPr>
      </w:pPr>
      <w:r>
        <w:rPr>
          <w:rFonts w:hint="eastAsia" w:ascii="宋体" w:hAnsi="宋体" w:cs="宋体"/>
          <w:b/>
          <w:color w:val="000000"/>
          <w:kern w:val="10"/>
          <w:sz w:val="24"/>
        </w:rPr>
        <w:t>3、</w:t>
      </w:r>
      <w:r>
        <w:rPr>
          <w:rFonts w:hint="eastAsia" w:ascii="宋体" w:hAnsi="宋体" w:cs="宋体"/>
          <w:b/>
          <w:color w:val="000000"/>
          <w:kern w:val="10"/>
          <w:sz w:val="24"/>
          <w:lang w:val="en-US" w:eastAsia="zh-CN"/>
        </w:rPr>
        <w:t>供应商</w:t>
      </w:r>
      <w:r>
        <w:rPr>
          <w:rFonts w:hint="eastAsia" w:ascii="宋体" w:hAnsi="宋体" w:cs="宋体"/>
          <w:b/>
          <w:color w:val="000000"/>
          <w:kern w:val="10"/>
          <w:sz w:val="24"/>
        </w:rPr>
        <w:t>应根据采购货物技术参数一览表在本表后附相关</w:t>
      </w:r>
      <w:r>
        <w:rPr>
          <w:rFonts w:hint="eastAsia" w:ascii="宋体" w:hAnsi="宋体" w:cs="宋体"/>
          <w:b/>
          <w:color w:val="000000"/>
          <w:sz w:val="24"/>
        </w:rPr>
        <w:t>检测报告、生产厂家提供的技术证明文件、彩页等文件，并完善主体信息库。</w:t>
      </w:r>
    </w:p>
    <w:p w14:paraId="029DDC08">
      <w:pPr>
        <w:spacing w:line="360" w:lineRule="auto"/>
        <w:rPr>
          <w:rFonts w:ascii="宋体" w:hAnsi="宋体" w:cs="宋体"/>
          <w:color w:val="000000"/>
          <w:kern w:val="10"/>
          <w:sz w:val="24"/>
        </w:rPr>
      </w:pPr>
    </w:p>
    <w:p w14:paraId="652E2DDC">
      <w:pPr>
        <w:spacing w:line="360" w:lineRule="auto"/>
        <w:rPr>
          <w:rFonts w:ascii="宋体" w:hAnsi="宋体" w:cs="宋体"/>
          <w:color w:val="000000"/>
          <w:kern w:val="10"/>
          <w:sz w:val="24"/>
        </w:rPr>
      </w:pPr>
    </w:p>
    <w:p w14:paraId="1AAF791C">
      <w:pPr>
        <w:spacing w:line="360" w:lineRule="auto"/>
        <w:rPr>
          <w:rFonts w:ascii="宋体" w:hAnsi="宋体" w:cs="宋体"/>
          <w:color w:val="000000"/>
          <w:kern w:val="10"/>
          <w:sz w:val="24"/>
        </w:rPr>
      </w:pPr>
    </w:p>
    <w:p w14:paraId="0AEEFAAD">
      <w:pPr>
        <w:spacing w:line="360" w:lineRule="auto"/>
        <w:rPr>
          <w:rFonts w:ascii="宋体" w:hAnsi="宋体" w:cs="宋体"/>
          <w:color w:val="000000"/>
          <w:kern w:val="10"/>
          <w:sz w:val="24"/>
        </w:rPr>
      </w:pPr>
    </w:p>
    <w:p w14:paraId="092859A3">
      <w:pPr>
        <w:spacing w:line="360" w:lineRule="auto"/>
        <w:rPr>
          <w:rFonts w:ascii="宋体" w:hAnsi="宋体" w:cs="宋体"/>
          <w:color w:val="000000"/>
          <w:kern w:val="10"/>
          <w:sz w:val="24"/>
        </w:rPr>
      </w:pPr>
    </w:p>
    <w:p w14:paraId="39C21627">
      <w:pPr>
        <w:spacing w:line="360" w:lineRule="auto"/>
        <w:jc w:val="center"/>
        <w:rPr>
          <w:rFonts w:ascii="宋体" w:hAnsi="宋体" w:cs="宋体"/>
          <w:b/>
          <w:bCs/>
          <w:color w:val="000000"/>
          <w:kern w:val="10"/>
          <w:sz w:val="28"/>
          <w:szCs w:val="28"/>
        </w:rPr>
      </w:pPr>
    </w:p>
    <w:p w14:paraId="1002334B">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 xml:space="preserve">  </w:t>
      </w: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 </w:t>
      </w:r>
    </w:p>
    <w:p w14:paraId="1DCEF140">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r>
        <w:rPr>
          <w:rFonts w:hint="eastAsia" w:ascii="宋体" w:hAnsi="宋体" w:cs="宋体"/>
          <w:color w:val="000000"/>
          <w:kern w:val="10"/>
          <w:sz w:val="24"/>
          <w:u w:val="single"/>
          <w:lang w:val="en-US" w:eastAsia="zh-CN"/>
        </w:rPr>
        <w:t xml:space="preserve"> </w:t>
      </w:r>
      <w:r>
        <w:rPr>
          <w:rFonts w:hint="eastAsia" w:ascii="宋体" w:hAnsi="宋体" w:cs="宋体"/>
          <w:color w:val="000000"/>
          <w:kern w:val="10"/>
          <w:sz w:val="24"/>
        </w:rPr>
        <w:t xml:space="preserve"> </w:t>
      </w:r>
    </w:p>
    <w:p w14:paraId="38BB8E56">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57DB2F3F">
      <w:pPr>
        <w:spacing w:line="440" w:lineRule="exact"/>
        <w:rPr>
          <w:rFonts w:ascii="宋体" w:hAnsi="宋体" w:cs="宋体"/>
        </w:rPr>
      </w:pPr>
    </w:p>
    <w:p w14:paraId="22E3FDF9">
      <w:pPr>
        <w:spacing w:line="360" w:lineRule="auto"/>
        <w:jc w:val="center"/>
        <w:rPr>
          <w:rFonts w:hint="eastAsia" w:ascii="宋体" w:hAnsi="宋体" w:cs="Arial"/>
          <w:b/>
          <w:bCs/>
          <w:sz w:val="24"/>
        </w:rPr>
      </w:pPr>
    </w:p>
    <w:p w14:paraId="65B75AAC">
      <w:pPr>
        <w:spacing w:line="360" w:lineRule="auto"/>
        <w:jc w:val="center"/>
        <w:rPr>
          <w:rFonts w:hint="eastAsia" w:ascii="宋体" w:hAnsi="宋体" w:cs="Arial"/>
          <w:b/>
          <w:bCs/>
          <w:sz w:val="24"/>
        </w:rPr>
      </w:pPr>
    </w:p>
    <w:p w14:paraId="0C53CAF4">
      <w:pPr>
        <w:spacing w:line="360" w:lineRule="auto"/>
        <w:jc w:val="center"/>
        <w:rPr>
          <w:rFonts w:ascii="宋体" w:hAnsi="宋体" w:cs="Arial"/>
          <w:b/>
          <w:bCs/>
          <w:sz w:val="24"/>
        </w:rPr>
      </w:pPr>
      <w:r>
        <w:rPr>
          <w:rFonts w:hint="eastAsia" w:ascii="宋体" w:hAnsi="宋体" w:cs="Arial"/>
          <w:b/>
          <w:bCs/>
          <w:sz w:val="24"/>
        </w:rPr>
        <w:t>（二）商务</w:t>
      </w:r>
      <w:r>
        <w:rPr>
          <w:rFonts w:ascii="宋体" w:hAnsi="宋体" w:cs="Arial"/>
          <w:b/>
          <w:bCs/>
          <w:sz w:val="24"/>
        </w:rPr>
        <w:t>偏差表</w:t>
      </w: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2313"/>
        <w:gridCol w:w="1343"/>
        <w:gridCol w:w="1539"/>
        <w:gridCol w:w="1344"/>
        <w:gridCol w:w="763"/>
        <w:gridCol w:w="763"/>
      </w:tblGrid>
      <w:tr w14:paraId="313D7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vMerge w:val="restart"/>
            <w:tcBorders>
              <w:top w:val="single" w:color="auto" w:sz="4" w:space="0"/>
              <w:left w:val="single" w:color="auto" w:sz="4" w:space="0"/>
              <w:right w:val="single" w:color="auto" w:sz="4" w:space="0"/>
            </w:tcBorders>
            <w:noWrap w:val="0"/>
            <w:vAlign w:val="center"/>
          </w:tcPr>
          <w:p w14:paraId="1FCB21AC">
            <w:pPr>
              <w:spacing w:line="360" w:lineRule="auto"/>
              <w:rPr>
                <w:rFonts w:ascii="宋体" w:hAnsi="宋体" w:cs="Arial"/>
                <w:b/>
                <w:sz w:val="24"/>
              </w:rPr>
            </w:pPr>
            <w:r>
              <w:rPr>
                <w:rFonts w:ascii="宋体" w:hAnsi="宋体" w:cs="Arial"/>
                <w:b/>
                <w:sz w:val="24"/>
              </w:rPr>
              <w:t>序号</w:t>
            </w:r>
          </w:p>
        </w:tc>
        <w:tc>
          <w:tcPr>
            <w:tcW w:w="1364" w:type="pct"/>
            <w:vMerge w:val="restart"/>
            <w:tcBorders>
              <w:top w:val="single" w:color="auto" w:sz="4" w:space="0"/>
              <w:left w:val="single" w:color="auto" w:sz="4" w:space="0"/>
              <w:right w:val="single" w:color="auto" w:sz="4" w:space="0"/>
            </w:tcBorders>
            <w:noWrap w:val="0"/>
            <w:vAlign w:val="center"/>
          </w:tcPr>
          <w:p w14:paraId="767B712F">
            <w:pPr>
              <w:spacing w:line="360" w:lineRule="auto"/>
              <w:rPr>
                <w:rFonts w:ascii="宋体" w:hAnsi="宋体" w:cs="Arial"/>
                <w:b/>
                <w:sz w:val="24"/>
              </w:rPr>
            </w:pPr>
            <w:r>
              <w:rPr>
                <w:rFonts w:ascii="宋体" w:hAnsi="宋体" w:cs="Arial"/>
                <w:b/>
                <w:sz w:val="24"/>
              </w:rPr>
              <w:t>投标</w:t>
            </w:r>
            <w:r>
              <w:rPr>
                <w:rFonts w:hint="eastAsia" w:ascii="宋体" w:hAnsi="宋体" w:cs="Arial"/>
                <w:b/>
                <w:sz w:val="24"/>
              </w:rPr>
              <w:t>服务</w:t>
            </w:r>
            <w:r>
              <w:rPr>
                <w:rFonts w:ascii="宋体" w:hAnsi="宋体" w:cs="Arial"/>
                <w:b/>
                <w:sz w:val="24"/>
              </w:rPr>
              <w:t>名称和条款号</w:t>
            </w:r>
          </w:p>
        </w:tc>
        <w:tc>
          <w:tcPr>
            <w:tcW w:w="1705" w:type="pct"/>
            <w:gridSpan w:val="2"/>
            <w:tcBorders>
              <w:top w:val="single" w:color="auto" w:sz="4" w:space="0"/>
              <w:left w:val="single" w:color="auto" w:sz="4" w:space="0"/>
              <w:bottom w:val="single" w:color="auto" w:sz="4" w:space="0"/>
              <w:right w:val="single" w:color="auto" w:sz="4" w:space="0"/>
            </w:tcBorders>
            <w:noWrap w:val="0"/>
            <w:vAlign w:val="center"/>
          </w:tcPr>
          <w:p w14:paraId="515EB7D4">
            <w:pPr>
              <w:spacing w:line="360" w:lineRule="auto"/>
              <w:rPr>
                <w:rFonts w:ascii="宋体" w:hAnsi="宋体" w:cs="Arial"/>
                <w:b/>
                <w:sz w:val="24"/>
              </w:rPr>
            </w:pPr>
            <w:r>
              <w:rPr>
                <w:rFonts w:hint="eastAsia" w:ascii="宋体" w:hAnsi="宋体" w:cs="Arial"/>
                <w:b/>
                <w:sz w:val="24"/>
              </w:rPr>
              <w:t>服务</w:t>
            </w:r>
            <w:r>
              <w:rPr>
                <w:rFonts w:ascii="宋体" w:hAnsi="宋体" w:cs="Arial"/>
                <w:b/>
                <w:sz w:val="24"/>
              </w:rPr>
              <w:t>要求</w:t>
            </w:r>
          </w:p>
        </w:tc>
        <w:tc>
          <w:tcPr>
            <w:tcW w:w="795" w:type="pct"/>
            <w:vMerge w:val="restart"/>
            <w:tcBorders>
              <w:top w:val="single" w:color="auto" w:sz="4" w:space="0"/>
              <w:left w:val="single" w:color="auto" w:sz="4" w:space="0"/>
              <w:right w:val="single" w:color="auto" w:sz="4" w:space="0"/>
            </w:tcBorders>
            <w:noWrap w:val="0"/>
            <w:vAlign w:val="center"/>
          </w:tcPr>
          <w:p w14:paraId="60D08D1E">
            <w:pPr>
              <w:spacing w:line="360" w:lineRule="auto"/>
              <w:rPr>
                <w:rFonts w:ascii="宋体" w:hAnsi="宋体" w:cs="Arial"/>
                <w:b/>
                <w:sz w:val="24"/>
              </w:rPr>
            </w:pPr>
            <w:r>
              <w:rPr>
                <w:rFonts w:ascii="宋体" w:hAnsi="宋体" w:cs="Arial"/>
                <w:b/>
                <w:sz w:val="24"/>
              </w:rPr>
              <w:t>对</w:t>
            </w:r>
            <w:r>
              <w:rPr>
                <w:rFonts w:hint="eastAsia" w:ascii="宋体" w:hAnsi="宋体" w:cs="Arial"/>
                <w:b/>
                <w:sz w:val="24"/>
              </w:rPr>
              <w:t>磋商文件</w:t>
            </w:r>
            <w:r>
              <w:rPr>
                <w:rFonts w:ascii="宋体" w:hAnsi="宋体" w:cs="Arial"/>
                <w:b/>
                <w:sz w:val="24"/>
              </w:rPr>
              <w:t>偏差</w:t>
            </w:r>
          </w:p>
        </w:tc>
        <w:tc>
          <w:tcPr>
            <w:tcW w:w="454" w:type="pct"/>
            <w:vMerge w:val="restart"/>
            <w:tcBorders>
              <w:top w:val="single" w:color="auto" w:sz="4" w:space="0"/>
              <w:left w:val="single" w:color="auto" w:sz="4" w:space="0"/>
              <w:right w:val="single" w:color="auto" w:sz="4" w:space="0"/>
            </w:tcBorders>
            <w:noWrap w:val="0"/>
            <w:vAlign w:val="center"/>
          </w:tcPr>
          <w:p w14:paraId="76BD4CD5">
            <w:pPr>
              <w:spacing w:line="360" w:lineRule="auto"/>
              <w:rPr>
                <w:rFonts w:ascii="宋体" w:hAnsi="宋体" w:cs="Arial"/>
                <w:b/>
                <w:sz w:val="24"/>
              </w:rPr>
            </w:pPr>
            <w:r>
              <w:rPr>
                <w:rFonts w:ascii="宋体" w:hAnsi="宋体" w:cs="Arial"/>
                <w:b/>
                <w:sz w:val="24"/>
              </w:rPr>
              <w:t>描述</w:t>
            </w:r>
          </w:p>
        </w:tc>
        <w:tc>
          <w:tcPr>
            <w:tcW w:w="454" w:type="pct"/>
            <w:vMerge w:val="restart"/>
            <w:tcBorders>
              <w:top w:val="single" w:color="auto" w:sz="4" w:space="0"/>
              <w:left w:val="single" w:color="auto" w:sz="4" w:space="0"/>
              <w:right w:val="single" w:color="auto" w:sz="4" w:space="0"/>
            </w:tcBorders>
            <w:noWrap w:val="0"/>
            <w:vAlign w:val="center"/>
          </w:tcPr>
          <w:p w14:paraId="4425CF45">
            <w:pPr>
              <w:spacing w:line="360" w:lineRule="auto"/>
              <w:rPr>
                <w:rFonts w:ascii="宋体" w:hAnsi="宋体" w:cs="Arial"/>
                <w:b/>
                <w:sz w:val="24"/>
              </w:rPr>
            </w:pPr>
            <w:r>
              <w:rPr>
                <w:rFonts w:ascii="宋体" w:hAnsi="宋体" w:cs="Arial"/>
                <w:b/>
                <w:sz w:val="24"/>
              </w:rPr>
              <w:t>备注</w:t>
            </w:r>
          </w:p>
        </w:tc>
      </w:tr>
      <w:tr w14:paraId="70A4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vMerge w:val="continue"/>
            <w:tcBorders>
              <w:left w:val="single" w:color="auto" w:sz="4" w:space="0"/>
              <w:bottom w:val="single" w:color="auto" w:sz="4" w:space="0"/>
              <w:right w:val="single" w:color="auto" w:sz="4" w:space="0"/>
            </w:tcBorders>
            <w:noWrap w:val="0"/>
            <w:vAlign w:val="center"/>
          </w:tcPr>
          <w:p w14:paraId="1A6F1182">
            <w:pPr>
              <w:spacing w:line="360" w:lineRule="auto"/>
              <w:rPr>
                <w:rFonts w:ascii="宋体" w:hAnsi="宋体" w:cs="Arial"/>
                <w:sz w:val="24"/>
              </w:rPr>
            </w:pPr>
          </w:p>
        </w:tc>
        <w:tc>
          <w:tcPr>
            <w:tcW w:w="1364" w:type="pct"/>
            <w:vMerge w:val="continue"/>
            <w:tcBorders>
              <w:left w:val="single" w:color="auto" w:sz="4" w:space="0"/>
              <w:bottom w:val="single" w:color="auto" w:sz="4" w:space="0"/>
              <w:right w:val="single" w:color="auto" w:sz="4" w:space="0"/>
            </w:tcBorders>
            <w:noWrap w:val="0"/>
            <w:vAlign w:val="center"/>
          </w:tcPr>
          <w:p w14:paraId="07FC5F71">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4FA6B25B">
            <w:pPr>
              <w:spacing w:line="360" w:lineRule="auto"/>
              <w:rPr>
                <w:rFonts w:ascii="宋体" w:hAnsi="宋体" w:cs="Arial"/>
                <w:b/>
                <w:sz w:val="24"/>
              </w:rPr>
            </w:pPr>
            <w:r>
              <w:rPr>
                <w:rFonts w:ascii="宋体" w:hAnsi="宋体" w:cs="Arial"/>
                <w:b/>
                <w:sz w:val="24"/>
              </w:rPr>
              <w:t>招标书</w:t>
            </w:r>
          </w:p>
        </w:tc>
        <w:tc>
          <w:tcPr>
            <w:tcW w:w="909" w:type="pct"/>
            <w:tcBorders>
              <w:top w:val="single" w:color="auto" w:sz="4" w:space="0"/>
              <w:left w:val="single" w:color="auto" w:sz="4" w:space="0"/>
              <w:bottom w:val="single" w:color="auto" w:sz="4" w:space="0"/>
              <w:right w:val="single" w:color="auto" w:sz="4" w:space="0"/>
            </w:tcBorders>
            <w:noWrap w:val="0"/>
            <w:vAlign w:val="center"/>
          </w:tcPr>
          <w:p w14:paraId="0F78308B">
            <w:pPr>
              <w:spacing w:line="360" w:lineRule="auto"/>
              <w:rPr>
                <w:rFonts w:ascii="宋体" w:hAnsi="宋体" w:cs="Arial"/>
                <w:b/>
                <w:sz w:val="24"/>
              </w:rPr>
            </w:pPr>
            <w:r>
              <w:rPr>
                <w:rFonts w:ascii="宋体" w:hAnsi="宋体" w:cs="Arial"/>
                <w:b/>
                <w:sz w:val="24"/>
              </w:rPr>
              <w:t>投标书</w:t>
            </w:r>
          </w:p>
        </w:tc>
        <w:tc>
          <w:tcPr>
            <w:tcW w:w="795" w:type="pct"/>
            <w:vMerge w:val="continue"/>
            <w:tcBorders>
              <w:left w:val="single" w:color="auto" w:sz="4" w:space="0"/>
              <w:bottom w:val="single" w:color="auto" w:sz="4" w:space="0"/>
              <w:right w:val="single" w:color="auto" w:sz="4" w:space="0"/>
            </w:tcBorders>
            <w:noWrap w:val="0"/>
            <w:vAlign w:val="center"/>
          </w:tcPr>
          <w:p w14:paraId="633BE1FA">
            <w:pPr>
              <w:spacing w:line="360" w:lineRule="auto"/>
              <w:rPr>
                <w:rFonts w:ascii="宋体" w:hAnsi="宋体" w:cs="Arial"/>
                <w:sz w:val="24"/>
              </w:rPr>
            </w:pPr>
          </w:p>
        </w:tc>
        <w:tc>
          <w:tcPr>
            <w:tcW w:w="454" w:type="pct"/>
            <w:vMerge w:val="continue"/>
            <w:tcBorders>
              <w:left w:val="single" w:color="auto" w:sz="4" w:space="0"/>
              <w:bottom w:val="single" w:color="auto" w:sz="4" w:space="0"/>
              <w:right w:val="single" w:color="auto" w:sz="4" w:space="0"/>
            </w:tcBorders>
            <w:noWrap w:val="0"/>
            <w:vAlign w:val="center"/>
          </w:tcPr>
          <w:p w14:paraId="199259EE">
            <w:pPr>
              <w:spacing w:line="360" w:lineRule="auto"/>
              <w:rPr>
                <w:rFonts w:ascii="宋体" w:hAnsi="宋体" w:cs="Arial"/>
                <w:sz w:val="24"/>
              </w:rPr>
            </w:pPr>
          </w:p>
        </w:tc>
        <w:tc>
          <w:tcPr>
            <w:tcW w:w="454" w:type="pct"/>
            <w:vMerge w:val="continue"/>
            <w:tcBorders>
              <w:left w:val="single" w:color="auto" w:sz="4" w:space="0"/>
              <w:bottom w:val="single" w:color="auto" w:sz="4" w:space="0"/>
              <w:right w:val="single" w:color="auto" w:sz="4" w:space="0"/>
            </w:tcBorders>
            <w:noWrap w:val="0"/>
            <w:vAlign w:val="center"/>
          </w:tcPr>
          <w:p w14:paraId="1AAA802A">
            <w:pPr>
              <w:spacing w:line="360" w:lineRule="auto"/>
              <w:rPr>
                <w:rFonts w:ascii="宋体" w:hAnsi="宋体" w:cs="Arial"/>
                <w:sz w:val="24"/>
              </w:rPr>
            </w:pPr>
          </w:p>
        </w:tc>
      </w:tr>
      <w:tr w14:paraId="78D94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7F0700C7">
            <w:pPr>
              <w:spacing w:line="360" w:lineRule="auto"/>
              <w:rPr>
                <w:rFonts w:ascii="宋体" w:hAnsi="宋体" w:cs="Arial"/>
                <w:sz w:val="24"/>
              </w:rPr>
            </w:pPr>
            <w:r>
              <w:rPr>
                <w:rFonts w:ascii="宋体" w:hAnsi="宋体" w:cs="Arial"/>
                <w:sz w:val="24"/>
              </w:rPr>
              <w:t>1</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5C198393">
            <w:pPr>
              <w:spacing w:line="360" w:lineRule="auto"/>
              <w:rPr>
                <w:rFonts w:ascii="宋体" w:hAnsi="宋体" w:cs="Arial"/>
                <w:sz w:val="24"/>
              </w:rPr>
            </w:pPr>
            <w:r>
              <w:rPr>
                <w:rFonts w:hint="eastAsia" w:ascii="宋体" w:hAnsi="宋体" w:cs="Arial"/>
                <w:sz w:val="24"/>
              </w:rPr>
              <w:t>委托服务期限</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37FEAFEA">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4C4B474C">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3F2C4BEE">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1311A5E">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17EF51D">
            <w:pPr>
              <w:spacing w:line="360" w:lineRule="auto"/>
              <w:rPr>
                <w:rFonts w:ascii="宋体" w:hAnsi="宋体" w:cs="Arial"/>
                <w:sz w:val="24"/>
              </w:rPr>
            </w:pPr>
          </w:p>
        </w:tc>
      </w:tr>
      <w:tr w14:paraId="53EB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3B5AC484">
            <w:pPr>
              <w:spacing w:line="360" w:lineRule="auto"/>
              <w:rPr>
                <w:rFonts w:ascii="宋体" w:hAnsi="宋体" w:cs="Arial"/>
                <w:sz w:val="24"/>
              </w:rPr>
            </w:pPr>
            <w:r>
              <w:rPr>
                <w:rFonts w:ascii="宋体" w:hAnsi="宋体" w:cs="Arial"/>
                <w:sz w:val="24"/>
              </w:rPr>
              <w:t>2</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536E6BC3">
            <w:pPr>
              <w:spacing w:line="360" w:lineRule="auto"/>
              <w:rPr>
                <w:rFonts w:ascii="宋体" w:hAnsi="宋体" w:cs="Arial"/>
                <w:sz w:val="24"/>
              </w:rPr>
            </w:pPr>
            <w:r>
              <w:rPr>
                <w:rFonts w:ascii="宋体" w:hAnsi="宋体" w:cs="Arial"/>
                <w:sz w:val="24"/>
              </w:rPr>
              <w:t>投标有效期</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026E547B">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7E684640">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2CCE63EE">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70C8273A">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9F7A62F">
            <w:pPr>
              <w:spacing w:line="360" w:lineRule="auto"/>
              <w:rPr>
                <w:rFonts w:ascii="宋体" w:hAnsi="宋体" w:cs="Arial"/>
                <w:sz w:val="24"/>
              </w:rPr>
            </w:pPr>
          </w:p>
        </w:tc>
      </w:tr>
      <w:tr w14:paraId="1B1E4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2C1C8CDF">
            <w:pPr>
              <w:spacing w:line="360" w:lineRule="auto"/>
              <w:rPr>
                <w:rFonts w:ascii="宋体" w:hAnsi="宋体" w:cs="Arial"/>
                <w:sz w:val="24"/>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31979714">
            <w:pPr>
              <w:spacing w:line="360" w:lineRule="auto"/>
              <w:rPr>
                <w:rFonts w:ascii="宋体" w:hAnsi="宋体" w:cs="Arial"/>
                <w:sz w:val="24"/>
              </w:rPr>
            </w:pPr>
            <w:r>
              <w:rPr>
                <w:rFonts w:ascii="宋体" w:hAnsi="宋体" w:cs="Arial"/>
                <w:sz w:val="24"/>
              </w:rPr>
              <w:t>……</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50E73982">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728F5654">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75F751BD">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20437A0">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7F6BC9A9">
            <w:pPr>
              <w:spacing w:line="360" w:lineRule="auto"/>
              <w:rPr>
                <w:rFonts w:ascii="宋体" w:hAnsi="宋体" w:cs="Arial"/>
                <w:sz w:val="24"/>
              </w:rPr>
            </w:pPr>
          </w:p>
        </w:tc>
      </w:tr>
      <w:tr w14:paraId="1BA45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6A8E3D9B">
            <w:pPr>
              <w:spacing w:line="360" w:lineRule="auto"/>
              <w:rPr>
                <w:rFonts w:ascii="宋体" w:hAnsi="宋体" w:cs="Arial"/>
                <w:sz w:val="24"/>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73F3CDDB">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53A65FCA">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62B69884">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3C5F3B09">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9187D9A">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C41EC0C">
            <w:pPr>
              <w:spacing w:line="360" w:lineRule="auto"/>
              <w:rPr>
                <w:rFonts w:ascii="宋体" w:hAnsi="宋体" w:cs="Arial"/>
                <w:sz w:val="24"/>
              </w:rPr>
            </w:pPr>
          </w:p>
        </w:tc>
      </w:tr>
      <w:tr w14:paraId="70C09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111A12F1">
            <w:pPr>
              <w:spacing w:line="360" w:lineRule="auto"/>
              <w:rPr>
                <w:rFonts w:ascii="宋体" w:hAnsi="宋体" w:cs="Arial"/>
                <w:sz w:val="24"/>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05CBDB5F">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7645EA6D">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09076659">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4CF5A171">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7951942E">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8AC6C83">
            <w:pPr>
              <w:spacing w:line="360" w:lineRule="auto"/>
              <w:rPr>
                <w:rFonts w:ascii="宋体" w:hAnsi="宋体" w:cs="Arial"/>
                <w:sz w:val="24"/>
              </w:rPr>
            </w:pPr>
          </w:p>
        </w:tc>
      </w:tr>
      <w:tr w14:paraId="5A5CD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349FF485">
            <w:pPr>
              <w:spacing w:line="360" w:lineRule="auto"/>
              <w:rPr>
                <w:rFonts w:ascii="宋体" w:hAnsi="宋体" w:cs="Arial"/>
                <w:sz w:val="24"/>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00FFA5BC">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408C1939">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220043AC">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2BED4785">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A2823D2">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2C2578EC">
            <w:pPr>
              <w:spacing w:line="360" w:lineRule="auto"/>
              <w:rPr>
                <w:rFonts w:ascii="宋体" w:hAnsi="宋体" w:cs="Arial"/>
                <w:sz w:val="24"/>
              </w:rPr>
            </w:pPr>
          </w:p>
        </w:tc>
      </w:tr>
      <w:tr w14:paraId="5EAF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413E353E">
            <w:pPr>
              <w:spacing w:line="360" w:lineRule="auto"/>
              <w:rPr>
                <w:rFonts w:ascii="宋体" w:hAnsi="宋体" w:cs="Arial"/>
                <w:sz w:val="24"/>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7EC308DF">
            <w:pPr>
              <w:spacing w:line="360" w:lineRule="auto"/>
              <w:rPr>
                <w:rFonts w:ascii="宋体" w:hAnsi="宋体" w:cs="Arial"/>
                <w:sz w:val="24"/>
              </w:rPr>
            </w:pPr>
            <w:r>
              <w:rPr>
                <w:rFonts w:hint="eastAsia" w:ascii="宋体" w:hAnsi="宋体" w:cs="Arial"/>
                <w:sz w:val="24"/>
              </w:rPr>
              <w:t>其他</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759E902E">
            <w:pPr>
              <w:spacing w:line="360" w:lineRule="auto"/>
              <w:rPr>
                <w:rFonts w:ascii="宋体" w:hAnsi="宋体" w:cs="Arial"/>
                <w:sz w:val="24"/>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17F0898A">
            <w:pPr>
              <w:spacing w:line="360" w:lineRule="auto"/>
              <w:rPr>
                <w:rFonts w:ascii="宋体" w:hAnsi="宋体" w:cs="Arial"/>
                <w:sz w:val="24"/>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37645D33">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2531E1D">
            <w:pPr>
              <w:spacing w:line="360" w:lineRule="auto"/>
              <w:rPr>
                <w:rFonts w:ascii="宋体" w:hAnsi="宋体" w:cs="Arial"/>
                <w:sz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427E9B5">
            <w:pPr>
              <w:spacing w:line="360" w:lineRule="auto"/>
              <w:rPr>
                <w:rFonts w:ascii="宋体" w:hAnsi="宋体" w:cs="Arial"/>
                <w:sz w:val="24"/>
              </w:rPr>
            </w:pPr>
          </w:p>
        </w:tc>
      </w:tr>
    </w:tbl>
    <w:p w14:paraId="105581E0">
      <w:pPr>
        <w:spacing w:line="360" w:lineRule="auto"/>
        <w:rPr>
          <w:rFonts w:ascii="宋体" w:hAnsi="宋体" w:cs="Arial"/>
          <w:b/>
          <w:color w:val="FF0000"/>
          <w:sz w:val="24"/>
        </w:rPr>
      </w:pPr>
    </w:p>
    <w:p w14:paraId="68A97D9A">
      <w:pPr>
        <w:spacing w:line="360" w:lineRule="auto"/>
        <w:rPr>
          <w:rFonts w:ascii="宋体" w:hAnsi="宋体" w:cs="Arial"/>
          <w:b/>
          <w:sz w:val="24"/>
        </w:rPr>
      </w:pPr>
      <w:r>
        <w:rPr>
          <w:rFonts w:ascii="宋体" w:hAnsi="宋体" w:cs="Arial"/>
          <w:b/>
          <w:sz w:val="24"/>
        </w:rPr>
        <w:t>注：</w:t>
      </w:r>
      <w:r>
        <w:rPr>
          <w:rFonts w:hint="eastAsia" w:ascii="宋体" w:hAnsi="宋体" w:cs="Arial"/>
          <w:b/>
          <w:sz w:val="24"/>
          <w:lang w:val="en-US" w:eastAsia="zh-CN"/>
        </w:rPr>
        <w:t>供应商</w:t>
      </w:r>
      <w:r>
        <w:rPr>
          <w:rFonts w:hint="eastAsia" w:ascii="宋体" w:hAnsi="宋体" w:cs="Arial"/>
          <w:b/>
          <w:sz w:val="24"/>
        </w:rPr>
        <w:t>按根据项目</w:t>
      </w:r>
      <w:r>
        <w:rPr>
          <w:rFonts w:ascii="宋体" w:hAnsi="宋体" w:cs="Arial"/>
          <w:b/>
          <w:sz w:val="24"/>
        </w:rPr>
        <w:t>做出响应，在“</w:t>
      </w:r>
      <w:r>
        <w:rPr>
          <w:rFonts w:hint="eastAsia" w:ascii="宋体" w:hAnsi="宋体" w:cs="Arial"/>
          <w:b/>
          <w:sz w:val="24"/>
        </w:rPr>
        <w:t>偏差表</w:t>
      </w:r>
      <w:r>
        <w:rPr>
          <w:rFonts w:ascii="宋体" w:hAnsi="宋体" w:cs="Arial"/>
          <w:b/>
          <w:sz w:val="24"/>
        </w:rPr>
        <w:t>”列明</w:t>
      </w:r>
      <w:r>
        <w:rPr>
          <w:rFonts w:hint="eastAsia" w:ascii="宋体" w:hAnsi="宋体" w:cs="Arial"/>
          <w:b/>
          <w:sz w:val="24"/>
        </w:rPr>
        <w:t>服务</w:t>
      </w:r>
      <w:r>
        <w:rPr>
          <w:rFonts w:ascii="宋体" w:hAnsi="宋体" w:cs="Arial"/>
          <w:b/>
          <w:sz w:val="24"/>
        </w:rPr>
        <w:t>要求、投响应情况，并标明偏差情况。</w:t>
      </w:r>
    </w:p>
    <w:p w14:paraId="0097448C">
      <w:pPr>
        <w:spacing w:line="360" w:lineRule="auto"/>
        <w:rPr>
          <w:rFonts w:ascii="宋体" w:hAnsi="宋体" w:cs="黑体"/>
          <w:kern w:val="0"/>
          <w:sz w:val="24"/>
        </w:rPr>
      </w:pPr>
      <w:r>
        <w:rPr>
          <w:rFonts w:ascii="宋体" w:hAnsi="宋体" w:cs="黑体"/>
          <w:kern w:val="0"/>
          <w:sz w:val="24"/>
        </w:rPr>
        <w:t xml:space="preserve"> </w:t>
      </w:r>
    </w:p>
    <w:p w14:paraId="0847DB90">
      <w:pPr>
        <w:spacing w:line="360" w:lineRule="auto"/>
        <w:rPr>
          <w:rFonts w:ascii="宋体" w:hAnsi="宋体" w:cs="黑体"/>
          <w:kern w:val="0"/>
          <w:sz w:val="24"/>
        </w:rPr>
      </w:pPr>
    </w:p>
    <w:p w14:paraId="1A26C57A">
      <w:pPr>
        <w:spacing w:line="360" w:lineRule="auto"/>
        <w:rPr>
          <w:rFonts w:ascii="宋体" w:hAnsi="宋体" w:cs="黑体"/>
          <w:kern w:val="0"/>
          <w:sz w:val="24"/>
        </w:rPr>
      </w:pPr>
    </w:p>
    <w:p w14:paraId="4B4055D7">
      <w:pPr>
        <w:spacing w:line="360" w:lineRule="auto"/>
        <w:rPr>
          <w:rFonts w:ascii="宋体" w:hAnsi="宋体" w:cs="黑体"/>
          <w:kern w:val="0"/>
          <w:sz w:val="24"/>
        </w:rPr>
      </w:pPr>
    </w:p>
    <w:p w14:paraId="03463228">
      <w:pPr>
        <w:spacing w:line="360" w:lineRule="auto"/>
        <w:jc w:val="center"/>
        <w:rPr>
          <w:rFonts w:ascii="宋体" w:hAnsi="宋体" w:cs="宋体"/>
          <w:color w:val="000000"/>
          <w:kern w:val="10"/>
          <w:sz w:val="24"/>
        </w:rPr>
      </w:pPr>
      <w:r>
        <w:rPr>
          <w:rFonts w:hint="eastAsia" w:ascii="宋体" w:hAnsi="宋体" w:cs="宋体"/>
          <w:color w:val="000000"/>
          <w:kern w:val="10"/>
          <w:sz w:val="24"/>
          <w:lang w:val="en-US" w:eastAsia="zh-CN"/>
        </w:rPr>
        <w:t xml:space="preserve">                                             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w:t>
      </w:r>
    </w:p>
    <w:p w14:paraId="58933CE1">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（电子签章）</w:t>
      </w:r>
    </w:p>
    <w:p w14:paraId="07085FF5">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3DEF84CB">
      <w:pPr>
        <w:rPr>
          <w:rFonts w:ascii="宋体" w:hAnsi="宋体" w:cs="宋体"/>
        </w:rPr>
      </w:pPr>
    </w:p>
    <w:p w14:paraId="54B4A21F">
      <w:pPr>
        <w:pStyle w:val="14"/>
      </w:pPr>
    </w:p>
    <w:p w14:paraId="0D442EBC">
      <w:pPr>
        <w:pStyle w:val="13"/>
        <w:ind w:firstLine="210"/>
      </w:pPr>
    </w:p>
    <w:p w14:paraId="3734552C">
      <w:pPr>
        <w:rPr>
          <w:rFonts w:ascii="宋体" w:hAnsi="宋体" w:cs="宋体"/>
        </w:rPr>
      </w:pPr>
    </w:p>
    <w:p w14:paraId="5FCC3DD4">
      <w:pPr>
        <w:jc w:val="center"/>
        <w:rPr>
          <w:rFonts w:ascii="宋体" w:hAnsi="宋体" w:cs="Arial"/>
          <w:b/>
          <w:bCs/>
          <w:sz w:val="24"/>
        </w:rPr>
      </w:pPr>
    </w:p>
    <w:p w14:paraId="1C1488B0">
      <w:pPr>
        <w:jc w:val="center"/>
        <w:rPr>
          <w:rFonts w:ascii="宋体" w:hAnsi="宋体" w:cs="Arial"/>
          <w:b/>
          <w:bCs/>
          <w:sz w:val="24"/>
        </w:rPr>
      </w:pPr>
    </w:p>
    <w:p w14:paraId="67B73651">
      <w:pPr>
        <w:jc w:val="center"/>
        <w:rPr>
          <w:rFonts w:ascii="宋体" w:hAnsi="宋体" w:cs="Arial"/>
          <w:b/>
          <w:bCs/>
          <w:sz w:val="24"/>
        </w:rPr>
      </w:pPr>
    </w:p>
    <w:p w14:paraId="375E9E3B">
      <w:pPr>
        <w:jc w:val="center"/>
        <w:rPr>
          <w:rFonts w:ascii="宋体" w:hAnsi="宋体" w:cs="Arial"/>
          <w:b/>
          <w:bCs/>
          <w:sz w:val="24"/>
        </w:rPr>
      </w:pPr>
    </w:p>
    <w:p w14:paraId="34E268E9">
      <w:pPr>
        <w:jc w:val="center"/>
        <w:rPr>
          <w:rFonts w:ascii="宋体" w:hAnsi="宋体" w:cs="宋体"/>
        </w:rPr>
      </w:pPr>
      <w:r>
        <w:rPr>
          <w:rFonts w:hint="eastAsia" w:ascii="宋体" w:hAnsi="宋体" w:cs="Arial"/>
          <w:b/>
          <w:bCs/>
          <w:sz w:val="24"/>
        </w:rPr>
        <w:t>（三）承诺函</w:t>
      </w:r>
    </w:p>
    <w:p w14:paraId="15866653">
      <w:pPr>
        <w:spacing w:line="360" w:lineRule="auto"/>
        <w:rPr>
          <w:rFonts w:ascii="宋体" w:hAnsi="宋体" w:cs="宋体"/>
          <w:color w:val="000000"/>
          <w:kern w:val="10"/>
          <w:sz w:val="24"/>
        </w:rPr>
      </w:pPr>
      <w:r>
        <w:rPr>
          <w:rFonts w:hint="eastAsia" w:ascii="宋体" w:hAnsi="宋体" w:cs="宋体"/>
          <w:color w:val="000000"/>
          <w:kern w:val="10"/>
          <w:sz w:val="24"/>
        </w:rPr>
        <w:t>致：____________________（</w:t>
      </w:r>
      <w:r>
        <w:rPr>
          <w:rFonts w:hint="eastAsia" w:ascii="宋体" w:hAnsi="宋体" w:cs="宋体"/>
          <w:color w:val="000000"/>
          <w:kern w:val="10"/>
          <w:sz w:val="24"/>
          <w:lang w:val="en-US" w:eastAsia="zh-CN"/>
        </w:rPr>
        <w:t>采购</w:t>
      </w:r>
      <w:r>
        <w:rPr>
          <w:rFonts w:hint="eastAsia" w:ascii="宋体" w:hAnsi="宋体" w:cs="宋体"/>
          <w:color w:val="000000"/>
          <w:kern w:val="10"/>
          <w:sz w:val="24"/>
        </w:rPr>
        <w:t>人及</w:t>
      </w:r>
      <w:r>
        <w:rPr>
          <w:rFonts w:hint="eastAsia" w:ascii="宋体" w:hAnsi="宋体" w:cs="宋体"/>
          <w:color w:val="000000"/>
          <w:kern w:val="10"/>
          <w:sz w:val="24"/>
          <w:lang w:val="en-US" w:eastAsia="zh-CN"/>
        </w:rPr>
        <w:t>采购</w:t>
      </w:r>
      <w:r>
        <w:rPr>
          <w:rFonts w:hint="eastAsia" w:ascii="宋体" w:hAnsi="宋体" w:cs="宋体"/>
          <w:color w:val="000000"/>
          <w:kern w:val="10"/>
          <w:sz w:val="24"/>
        </w:rPr>
        <w:t>代理机构）</w:t>
      </w:r>
    </w:p>
    <w:p w14:paraId="62EEF84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我公司作为本次招标项目的</w:t>
      </w:r>
      <w:r>
        <w:rPr>
          <w:rFonts w:hint="eastAsia" w:ascii="宋体" w:hAnsi="宋体" w:cs="宋体"/>
          <w:color w:val="000000"/>
          <w:kern w:val="10"/>
          <w:sz w:val="24"/>
          <w:lang w:val="en-US" w:eastAsia="zh-CN"/>
        </w:rPr>
        <w:t>投标人</w:t>
      </w:r>
      <w:r>
        <w:rPr>
          <w:rFonts w:hint="eastAsia" w:ascii="宋体" w:hAnsi="宋体" w:cs="宋体"/>
          <w:color w:val="000000"/>
          <w:kern w:val="10"/>
          <w:sz w:val="24"/>
        </w:rPr>
        <w:t>，根据磋商文件要求，现郑重承诺如下：</w:t>
      </w:r>
    </w:p>
    <w:p w14:paraId="52729DA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一、具备《中华人民共和国政府采购法》第二十二条第一款和本项目规定的条件：</w:t>
      </w:r>
    </w:p>
    <w:p w14:paraId="6BCAB4E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（一）具有独立承担民事责任的能力；</w:t>
      </w:r>
    </w:p>
    <w:p w14:paraId="7642242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（二）具有良好的商业信誉和健全的财务会计制度；</w:t>
      </w:r>
    </w:p>
    <w:p w14:paraId="70A769C3">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（三）具有履行合同所必需的设备和专业技术能力；</w:t>
      </w:r>
    </w:p>
    <w:p w14:paraId="0E31A6F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（四）有依法缴纳税收和社会保障资金的良好记录；</w:t>
      </w:r>
    </w:p>
    <w:p w14:paraId="3B05E4E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（五）参加政府采购活动前三年内，在经营活动中没有重大违法记录；</w:t>
      </w:r>
    </w:p>
    <w:p w14:paraId="47A5066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（六）法律、行政法规规定的其他条件；</w:t>
      </w:r>
    </w:p>
    <w:p w14:paraId="5DF1362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（七）根据招标项目提出的特殊条件。</w:t>
      </w:r>
    </w:p>
    <w:p w14:paraId="1A9475F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0DC88D9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三、参加本次招标采购活动，不存在与单位负责人为同一人或者存在直接控股、管理关系的其他投标人参与同一合同项下的政府采购活动的行为。</w:t>
      </w:r>
    </w:p>
    <w:p w14:paraId="32E0EB7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四、参加本次招标采购活动，不存在为招标项目提供整体设计、规范编制或者项目管理、监理、检测等服务的行为。</w:t>
      </w:r>
    </w:p>
    <w:p w14:paraId="3B7304E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五、参加本次招标采购活动，不存在和其他投标人在同一合同项下的采购项目中，同时委托同一个自然人、同一家庭的人员、同一单位的人员作为代理人的行为。</w:t>
      </w:r>
    </w:p>
    <w:p w14:paraId="1637727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六、投标人参加本次政府采购活动要求在近三年内投标人和其法定代表人没有行贿犯罪行为。</w:t>
      </w:r>
    </w:p>
    <w:p w14:paraId="693A2C0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七、参加本次招标采购活动，不存在联合体投标。</w:t>
      </w:r>
    </w:p>
    <w:p w14:paraId="05471DF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八、投标文件中提供的能够给予我公司带来优惠、好处的任何材料资料和技术、服务、商务等响应承诺情况都是真实的、有效的、合法的。</w:t>
      </w:r>
    </w:p>
    <w:p w14:paraId="404419F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九、存在以下行为之一的愿意接受相关部门的处理：</w:t>
      </w:r>
    </w:p>
    <w:p w14:paraId="184496B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（一）投标有效期内撤销投标文件的；</w:t>
      </w:r>
    </w:p>
    <w:p w14:paraId="30EB8B3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（二）在招标人确定中标人以前放弃中标候选资格的；</w:t>
      </w:r>
    </w:p>
    <w:p w14:paraId="3C1B3F7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（三）由于中标人的原因未能按照磋商文件的规定与招标人签订合同；</w:t>
      </w:r>
    </w:p>
    <w:p w14:paraId="5CAC394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（四）由于中标人的原因未能按照磋商文件的规定交纳履约保证金；</w:t>
      </w:r>
    </w:p>
    <w:p w14:paraId="293C20A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（五）在投标文件中提供虚假材料谋取中标；</w:t>
      </w:r>
    </w:p>
    <w:p w14:paraId="44C1E9E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（六）与招标人、其他投标人或者招标代理机构恶意串通的；</w:t>
      </w:r>
    </w:p>
    <w:p w14:paraId="6F42A5E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（七）投标有效期内，投标人在政府采购活动中有违法、违规、违纪行为。</w:t>
      </w:r>
    </w:p>
    <w:p w14:paraId="1CE6827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由此产生的一切法律后果和责任由我公司承担。我公司声明放弃对此提出任何异议和追索的权利。</w:t>
      </w:r>
    </w:p>
    <w:p w14:paraId="0B09CAD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本公司对上述承诺的内容事项真实性负责。如经查实上述承诺的内容事项存在虚假，我公司愿意接受以提供虚假材料谋取中标追究法律责任。</w:t>
      </w:r>
    </w:p>
    <w:p w14:paraId="60AE9B00">
      <w:pPr>
        <w:spacing w:line="360" w:lineRule="auto"/>
        <w:ind w:firstLine="480" w:firstLineChars="200"/>
        <w:rPr>
          <w:rFonts w:ascii="宋体" w:hAnsi="宋体" w:cs="宋体"/>
          <w:color w:val="000000"/>
          <w:kern w:val="10"/>
          <w:sz w:val="24"/>
        </w:rPr>
      </w:pPr>
    </w:p>
    <w:p w14:paraId="1DED403B">
      <w:pPr>
        <w:spacing w:line="360" w:lineRule="auto"/>
        <w:ind w:firstLine="480" w:firstLineChars="200"/>
        <w:rPr>
          <w:rFonts w:ascii="宋体" w:hAnsi="宋体" w:cs="宋体"/>
          <w:color w:val="000000"/>
          <w:kern w:val="10"/>
          <w:sz w:val="24"/>
        </w:rPr>
      </w:pPr>
    </w:p>
    <w:p w14:paraId="3A9EC4BB">
      <w:pPr>
        <w:spacing w:line="360" w:lineRule="auto"/>
        <w:ind w:firstLine="480" w:firstLineChars="200"/>
        <w:rPr>
          <w:rFonts w:ascii="宋体" w:hAnsi="宋体" w:cs="宋体"/>
          <w:color w:val="000000"/>
          <w:kern w:val="10"/>
          <w:sz w:val="24"/>
        </w:rPr>
      </w:pPr>
    </w:p>
    <w:p w14:paraId="633DC8E7">
      <w:pPr>
        <w:spacing w:line="360" w:lineRule="auto"/>
        <w:ind w:firstLine="480" w:firstLineChars="200"/>
        <w:rPr>
          <w:rFonts w:ascii="宋体" w:hAnsi="宋体" w:cs="宋体"/>
          <w:color w:val="000000"/>
          <w:kern w:val="10"/>
          <w:sz w:val="24"/>
        </w:rPr>
      </w:pPr>
    </w:p>
    <w:p w14:paraId="67A0F1E2">
      <w:pPr>
        <w:spacing w:line="360" w:lineRule="auto"/>
        <w:jc w:val="right"/>
        <w:rPr>
          <w:rFonts w:ascii="宋体" w:hAnsi="宋体" w:cs="宋体"/>
          <w:color w:val="000000"/>
          <w:kern w:val="10"/>
          <w:sz w:val="24"/>
        </w:rPr>
      </w:pPr>
      <w:r>
        <w:rPr>
          <w:rFonts w:hint="eastAsia" w:ascii="宋体" w:hAnsi="宋体" w:cs="宋体"/>
          <w:color w:val="000000"/>
          <w:kern w:val="10"/>
          <w:sz w:val="24"/>
          <w:lang w:val="en-US" w:eastAsia="zh-CN"/>
        </w:rPr>
        <w:t>供应商</w:t>
      </w:r>
      <w:r>
        <w:rPr>
          <w:rFonts w:hint="eastAsia" w:ascii="宋体" w:hAnsi="宋体" w:cs="宋体"/>
          <w:color w:val="000000"/>
          <w:kern w:val="10"/>
          <w:sz w:val="24"/>
        </w:rPr>
        <w:t>：</w:t>
      </w:r>
      <w:r>
        <w:rPr>
          <w:rFonts w:hint="eastAsia" w:ascii="宋体" w:hAnsi="宋体" w:cs="宋体"/>
          <w:color w:val="000000"/>
          <w:kern w:val="10"/>
          <w:sz w:val="24"/>
          <w:u w:val="single"/>
        </w:rPr>
        <w:t xml:space="preserve">                     （电子签章）</w:t>
      </w:r>
    </w:p>
    <w:p w14:paraId="533FBD80">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（电子签章）</w:t>
      </w:r>
    </w:p>
    <w:p w14:paraId="2D083955">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6A2EF3BE"/>
    <w:p w14:paraId="1BE0045F"/>
    <w:p w14:paraId="0D701D48">
      <w:pPr>
        <w:pStyle w:val="3"/>
      </w:pPr>
    </w:p>
    <w:p w14:paraId="06906CDA">
      <w:pPr>
        <w:pStyle w:val="3"/>
      </w:pPr>
    </w:p>
    <w:p w14:paraId="7E190A8F">
      <w:pPr>
        <w:pStyle w:val="3"/>
      </w:pPr>
    </w:p>
    <w:p w14:paraId="47F0E397">
      <w:pPr>
        <w:pStyle w:val="3"/>
      </w:pPr>
    </w:p>
    <w:p w14:paraId="0B5D219B">
      <w:pPr>
        <w:pStyle w:val="3"/>
      </w:pPr>
    </w:p>
    <w:p w14:paraId="197FA796">
      <w:pPr>
        <w:pStyle w:val="3"/>
      </w:pPr>
    </w:p>
    <w:p w14:paraId="3F628F39">
      <w:pPr>
        <w:pStyle w:val="3"/>
      </w:pPr>
    </w:p>
    <w:p w14:paraId="554890F5">
      <w:pPr>
        <w:pStyle w:val="3"/>
      </w:pPr>
    </w:p>
    <w:p w14:paraId="131AE8CE">
      <w:pPr>
        <w:pStyle w:val="3"/>
      </w:pPr>
    </w:p>
    <w:p w14:paraId="3CCC0867">
      <w:pPr>
        <w:pStyle w:val="3"/>
      </w:pPr>
    </w:p>
    <w:p w14:paraId="09F91968">
      <w:pPr>
        <w:pStyle w:val="3"/>
      </w:pPr>
    </w:p>
    <w:p w14:paraId="5E39900F">
      <w:pPr>
        <w:pStyle w:val="3"/>
      </w:pPr>
    </w:p>
    <w:p w14:paraId="53FA16BA">
      <w:pPr>
        <w:pStyle w:val="3"/>
      </w:pPr>
    </w:p>
    <w:p w14:paraId="391D8CA1">
      <w:pPr>
        <w:pStyle w:val="3"/>
      </w:pPr>
    </w:p>
    <w:p w14:paraId="7E4B7CD1">
      <w:pPr>
        <w:pStyle w:val="3"/>
      </w:pPr>
    </w:p>
    <w:p w14:paraId="16EBF3B5">
      <w:pPr>
        <w:pStyle w:val="3"/>
      </w:pPr>
    </w:p>
    <w:p w14:paraId="3650B04C">
      <w:pPr>
        <w:pStyle w:val="3"/>
      </w:pPr>
    </w:p>
    <w:p w14:paraId="390B3905">
      <w:pPr>
        <w:pStyle w:val="3"/>
      </w:pPr>
    </w:p>
    <w:p w14:paraId="4E688B21">
      <w:pPr>
        <w:spacing w:line="360" w:lineRule="auto"/>
        <w:jc w:val="center"/>
        <w:rPr>
          <w:rFonts w:ascii="宋体" w:hAnsi="宋体"/>
          <w:b/>
          <w:bCs/>
          <w:color w:val="000000"/>
          <w:sz w:val="24"/>
        </w:rPr>
      </w:pPr>
      <w:r>
        <w:rPr>
          <w:rFonts w:hint="eastAsia" w:ascii="宋体" w:hAnsi="宋体"/>
          <w:b/>
          <w:bCs/>
          <w:sz w:val="24"/>
        </w:rPr>
        <w:t>（四）</w:t>
      </w:r>
      <w:r>
        <w:rPr>
          <w:rFonts w:hint="eastAsia" w:ascii="宋体" w:hAnsi="宋体"/>
          <w:b/>
          <w:bCs/>
          <w:sz w:val="24"/>
          <w:lang w:val="en-US" w:eastAsia="zh-CN"/>
        </w:rPr>
        <w:t>供应商</w:t>
      </w:r>
      <w:r>
        <w:rPr>
          <w:rFonts w:hint="eastAsia" w:ascii="宋体" w:hAnsi="宋体"/>
          <w:b/>
          <w:bCs/>
          <w:sz w:val="24"/>
        </w:rPr>
        <w:t>具有20</w:t>
      </w:r>
      <w:r>
        <w:rPr>
          <w:rFonts w:hint="eastAsia" w:ascii="宋体" w:hAnsi="宋体"/>
          <w:b/>
          <w:bCs/>
          <w:sz w:val="24"/>
          <w:lang w:val="en-US" w:eastAsia="zh-CN"/>
        </w:rPr>
        <w:t>21</w:t>
      </w:r>
      <w:r>
        <w:rPr>
          <w:rFonts w:hint="eastAsia" w:ascii="宋体" w:hAnsi="宋体"/>
          <w:b/>
          <w:bCs/>
          <w:sz w:val="24"/>
        </w:rPr>
        <w:t>年1月1日以来的</w:t>
      </w:r>
      <w:r>
        <w:rPr>
          <w:rFonts w:hint="eastAsia" w:ascii="宋体" w:hAnsi="宋体"/>
          <w:b/>
          <w:bCs/>
          <w:color w:val="000000"/>
          <w:sz w:val="24"/>
        </w:rPr>
        <w:t>招标范围类似</w:t>
      </w:r>
      <w:r>
        <w:rPr>
          <w:rFonts w:hint="eastAsia" w:ascii="宋体" w:hAnsi="宋体"/>
          <w:b/>
          <w:bCs/>
          <w:sz w:val="24"/>
        </w:rPr>
        <w:t>业绩</w:t>
      </w:r>
      <w:r>
        <w:rPr>
          <w:rFonts w:hint="eastAsia" w:ascii="宋体" w:hAnsi="宋体" w:cs="宋体"/>
          <w:b/>
          <w:bCs/>
          <w:color w:val="000000"/>
          <w:sz w:val="24"/>
          <w:szCs w:val="22"/>
        </w:rPr>
        <w:t>（如有）</w:t>
      </w:r>
      <w:r>
        <w:rPr>
          <w:rFonts w:hint="eastAsia" w:ascii="宋体" w:hAnsi="宋体"/>
          <w:b/>
          <w:bCs/>
          <w:color w:val="000000"/>
          <w:sz w:val="24"/>
        </w:rPr>
        <w:t>；</w:t>
      </w:r>
    </w:p>
    <w:p w14:paraId="17BA29BD">
      <w:pPr>
        <w:pStyle w:val="14"/>
        <w:ind w:left="0" w:leftChars="0" w:firstLine="0" w:firstLineChars="0"/>
        <w:jc w:val="center"/>
        <w:rPr>
          <w:rFonts w:ascii="宋体" w:hAnsi="宋体" w:eastAsia="宋体" w:cs="Calibri"/>
          <w:b/>
          <w:bCs/>
          <w:kern w:val="2"/>
          <w:sz w:val="24"/>
        </w:rPr>
      </w:pPr>
      <w:r>
        <w:rPr>
          <w:rFonts w:hint="eastAsia" w:ascii="宋体" w:hAnsi="宋体" w:eastAsia="宋体" w:cs="Calibri"/>
          <w:b/>
          <w:bCs/>
          <w:kern w:val="2"/>
          <w:sz w:val="24"/>
        </w:rPr>
        <w:t>(五）综合实力证明材料（企业信用、企业认证证书等）</w:t>
      </w:r>
    </w:p>
    <w:p w14:paraId="1B3F7B58">
      <w:pPr>
        <w:spacing w:line="360" w:lineRule="auto"/>
        <w:jc w:val="center"/>
        <w:rPr>
          <w:rFonts w:ascii="宋体" w:hAnsi="宋体" w:cs="宋体"/>
          <w:b/>
          <w:bCs/>
          <w:color w:val="000000"/>
          <w:kern w:val="0"/>
          <w:sz w:val="24"/>
        </w:rPr>
      </w:pPr>
      <w:r>
        <w:rPr>
          <w:rFonts w:hint="eastAsia" w:ascii="宋体" w:hAnsi="宋体" w:cs="Arial"/>
          <w:b/>
          <w:bCs/>
          <w:sz w:val="24"/>
        </w:rPr>
        <w:t>（六）服务团队人员配备</w:t>
      </w:r>
      <w:r>
        <w:rPr>
          <w:rFonts w:hint="eastAsia" w:ascii="宋体" w:hAnsi="宋体" w:cs="Arial"/>
          <w:b/>
          <w:bCs/>
          <w:sz w:val="24"/>
          <w:lang w:eastAsia="zh-CN"/>
        </w:rPr>
        <w:t>情况</w:t>
      </w:r>
      <w:r>
        <w:rPr>
          <w:rFonts w:hint="eastAsia" w:ascii="宋体" w:hAnsi="宋体" w:cs="Arial"/>
          <w:b/>
          <w:bCs/>
          <w:sz w:val="24"/>
        </w:rPr>
        <w:t>；</w:t>
      </w:r>
    </w:p>
    <w:p w14:paraId="343FC088">
      <w:pPr>
        <w:jc w:val="center"/>
        <w:rPr>
          <w:b/>
          <w:sz w:val="24"/>
          <w:lang w:val="zh-CN" w:bidi="zh-CN"/>
        </w:rPr>
      </w:pPr>
    </w:p>
    <w:p w14:paraId="00F778ED">
      <w:pPr>
        <w:spacing w:line="360" w:lineRule="auto"/>
        <w:jc w:val="center"/>
        <w:rPr>
          <w:rFonts w:ascii="宋体" w:hAnsi="宋体" w:cs="宋体"/>
          <w:color w:val="000000"/>
          <w:kern w:val="10"/>
          <w:sz w:val="24"/>
          <w:lang w:val="zh-CN"/>
        </w:rPr>
      </w:pPr>
      <w:bookmarkStart w:id="179" w:name="_Toc3658"/>
      <w:bookmarkStart w:id="180" w:name="_Toc30545"/>
      <w:bookmarkStart w:id="181" w:name="_Toc4240"/>
      <w:r>
        <w:rPr>
          <w:rFonts w:hint="eastAsia" w:ascii="宋体" w:hAnsi="宋体" w:cs="宋体"/>
          <w:color w:val="000000"/>
          <w:kern w:val="10"/>
          <w:sz w:val="24"/>
          <w:lang w:val="zh-CN"/>
        </w:rPr>
        <w:t>拟派主要人员汇总表</w:t>
      </w:r>
      <w:bookmarkEnd w:id="179"/>
      <w:bookmarkEnd w:id="180"/>
      <w:bookmarkEnd w:id="181"/>
    </w:p>
    <w:p w14:paraId="7E5F479C">
      <w:pPr>
        <w:rPr>
          <w:b/>
          <w:sz w:val="10"/>
          <w:szCs w:val="21"/>
          <w:lang w:val="zh-CN" w:bidi="zh-CN"/>
        </w:rPr>
      </w:pPr>
    </w:p>
    <w:tbl>
      <w:tblPr>
        <w:tblStyle w:val="15"/>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2"/>
        <w:gridCol w:w="1182"/>
        <w:gridCol w:w="1275"/>
        <w:gridCol w:w="2445"/>
        <w:gridCol w:w="1747"/>
        <w:gridCol w:w="918"/>
      </w:tblGrid>
      <w:tr w14:paraId="1500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457" w:type="pct"/>
            <w:noWrap w:val="0"/>
            <w:vAlign w:val="center"/>
          </w:tcPr>
          <w:p w14:paraId="7AE4F460">
            <w:pPr>
              <w:spacing w:line="360" w:lineRule="auto"/>
              <w:jc w:val="center"/>
              <w:rPr>
                <w:sz w:val="24"/>
                <w:lang w:val="zh-CN" w:bidi="zh-CN"/>
              </w:rPr>
            </w:pPr>
            <w:r>
              <w:rPr>
                <w:sz w:val="24"/>
                <w:lang w:val="zh-CN" w:bidi="zh-CN"/>
              </w:rPr>
              <w:t>序号</w:t>
            </w:r>
          </w:p>
        </w:tc>
        <w:tc>
          <w:tcPr>
            <w:tcW w:w="709" w:type="pct"/>
            <w:noWrap w:val="0"/>
            <w:vAlign w:val="center"/>
          </w:tcPr>
          <w:p w14:paraId="3128E15C">
            <w:pPr>
              <w:spacing w:line="360" w:lineRule="auto"/>
              <w:jc w:val="center"/>
              <w:rPr>
                <w:sz w:val="24"/>
                <w:lang w:val="zh-CN" w:bidi="zh-CN"/>
              </w:rPr>
            </w:pPr>
            <w:r>
              <w:rPr>
                <w:rFonts w:hint="eastAsia"/>
                <w:sz w:val="24"/>
                <w:lang w:bidi="zh-CN"/>
              </w:rPr>
              <w:t>职务</w:t>
            </w:r>
          </w:p>
        </w:tc>
        <w:tc>
          <w:tcPr>
            <w:tcW w:w="765" w:type="pct"/>
            <w:noWrap w:val="0"/>
            <w:vAlign w:val="center"/>
          </w:tcPr>
          <w:p w14:paraId="35150ED8">
            <w:pPr>
              <w:spacing w:line="360" w:lineRule="auto"/>
              <w:jc w:val="center"/>
              <w:rPr>
                <w:sz w:val="24"/>
                <w:lang w:val="zh-CN" w:bidi="zh-CN"/>
              </w:rPr>
            </w:pPr>
            <w:r>
              <w:rPr>
                <w:sz w:val="24"/>
                <w:lang w:val="zh-CN" w:bidi="zh-CN"/>
              </w:rPr>
              <w:t>姓名</w:t>
            </w:r>
          </w:p>
        </w:tc>
        <w:tc>
          <w:tcPr>
            <w:tcW w:w="1467" w:type="pct"/>
            <w:noWrap w:val="0"/>
            <w:vAlign w:val="center"/>
          </w:tcPr>
          <w:p w14:paraId="3DC347DE">
            <w:pPr>
              <w:spacing w:line="360" w:lineRule="auto"/>
              <w:jc w:val="center"/>
              <w:rPr>
                <w:sz w:val="24"/>
                <w:lang w:bidi="zh-CN"/>
              </w:rPr>
            </w:pPr>
            <w:r>
              <w:rPr>
                <w:rFonts w:hint="eastAsia"/>
                <w:sz w:val="24"/>
                <w:lang w:bidi="zh-CN"/>
              </w:rPr>
              <w:t>身份证号</w:t>
            </w:r>
          </w:p>
        </w:tc>
        <w:tc>
          <w:tcPr>
            <w:tcW w:w="1048" w:type="pct"/>
            <w:noWrap w:val="0"/>
            <w:vAlign w:val="center"/>
          </w:tcPr>
          <w:p w14:paraId="2B6AE76F">
            <w:pPr>
              <w:spacing w:line="360" w:lineRule="auto"/>
              <w:jc w:val="center"/>
              <w:rPr>
                <w:sz w:val="24"/>
                <w:lang w:bidi="zh-CN"/>
              </w:rPr>
            </w:pPr>
            <w:r>
              <w:rPr>
                <w:rFonts w:hint="eastAsia"/>
                <w:sz w:val="24"/>
                <w:lang w:bidi="zh-CN"/>
              </w:rPr>
              <w:t>是否缴纳社保</w:t>
            </w:r>
          </w:p>
        </w:tc>
        <w:tc>
          <w:tcPr>
            <w:tcW w:w="551" w:type="pct"/>
            <w:noWrap w:val="0"/>
            <w:vAlign w:val="center"/>
          </w:tcPr>
          <w:p w14:paraId="0D4757C9">
            <w:pPr>
              <w:spacing w:line="360" w:lineRule="auto"/>
              <w:jc w:val="center"/>
              <w:rPr>
                <w:sz w:val="24"/>
                <w:lang w:val="zh-CN" w:bidi="zh-CN"/>
              </w:rPr>
            </w:pPr>
            <w:r>
              <w:rPr>
                <w:sz w:val="24"/>
                <w:lang w:val="zh-CN" w:bidi="zh-CN"/>
              </w:rPr>
              <w:t>备注</w:t>
            </w:r>
          </w:p>
        </w:tc>
      </w:tr>
      <w:tr w14:paraId="64CF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7A942DCA">
            <w:pPr>
              <w:spacing w:line="360" w:lineRule="auto"/>
              <w:jc w:val="center"/>
              <w:rPr>
                <w:sz w:val="24"/>
                <w:lang w:val="zh-CN" w:bidi="zh-CN"/>
              </w:rPr>
            </w:pPr>
          </w:p>
        </w:tc>
        <w:tc>
          <w:tcPr>
            <w:tcW w:w="709" w:type="pct"/>
            <w:noWrap w:val="0"/>
            <w:vAlign w:val="center"/>
          </w:tcPr>
          <w:p w14:paraId="51199E9B">
            <w:pPr>
              <w:spacing w:line="360" w:lineRule="auto"/>
              <w:jc w:val="center"/>
              <w:rPr>
                <w:sz w:val="24"/>
                <w:lang w:val="zh-CN" w:bidi="zh-CN"/>
              </w:rPr>
            </w:pPr>
          </w:p>
        </w:tc>
        <w:tc>
          <w:tcPr>
            <w:tcW w:w="765" w:type="pct"/>
            <w:noWrap w:val="0"/>
            <w:vAlign w:val="center"/>
          </w:tcPr>
          <w:p w14:paraId="6CB3B1A5">
            <w:pPr>
              <w:spacing w:line="360" w:lineRule="auto"/>
              <w:jc w:val="center"/>
              <w:rPr>
                <w:sz w:val="24"/>
                <w:lang w:val="zh-CN" w:bidi="zh-CN"/>
              </w:rPr>
            </w:pPr>
          </w:p>
        </w:tc>
        <w:tc>
          <w:tcPr>
            <w:tcW w:w="1467" w:type="pct"/>
            <w:noWrap w:val="0"/>
            <w:vAlign w:val="center"/>
          </w:tcPr>
          <w:p w14:paraId="09232206">
            <w:pPr>
              <w:spacing w:line="360" w:lineRule="auto"/>
              <w:jc w:val="center"/>
              <w:rPr>
                <w:sz w:val="24"/>
                <w:lang w:val="zh-CN" w:bidi="zh-CN"/>
              </w:rPr>
            </w:pPr>
          </w:p>
        </w:tc>
        <w:tc>
          <w:tcPr>
            <w:tcW w:w="1048" w:type="pct"/>
            <w:noWrap w:val="0"/>
            <w:vAlign w:val="center"/>
          </w:tcPr>
          <w:p w14:paraId="0F06B8B4">
            <w:pPr>
              <w:spacing w:line="360" w:lineRule="auto"/>
              <w:jc w:val="center"/>
              <w:rPr>
                <w:sz w:val="24"/>
                <w:lang w:val="zh-CN" w:bidi="zh-CN"/>
              </w:rPr>
            </w:pPr>
          </w:p>
        </w:tc>
        <w:tc>
          <w:tcPr>
            <w:tcW w:w="551" w:type="pct"/>
            <w:noWrap w:val="0"/>
            <w:vAlign w:val="center"/>
          </w:tcPr>
          <w:p w14:paraId="739830E9">
            <w:pPr>
              <w:spacing w:line="360" w:lineRule="auto"/>
              <w:jc w:val="center"/>
              <w:rPr>
                <w:sz w:val="24"/>
                <w:lang w:val="zh-CN" w:bidi="zh-CN"/>
              </w:rPr>
            </w:pPr>
          </w:p>
        </w:tc>
      </w:tr>
      <w:tr w14:paraId="72ED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4E4D6953">
            <w:pPr>
              <w:spacing w:line="360" w:lineRule="auto"/>
              <w:jc w:val="center"/>
              <w:rPr>
                <w:sz w:val="24"/>
                <w:lang w:val="zh-CN" w:bidi="zh-CN"/>
              </w:rPr>
            </w:pPr>
          </w:p>
        </w:tc>
        <w:tc>
          <w:tcPr>
            <w:tcW w:w="709" w:type="pct"/>
            <w:noWrap w:val="0"/>
            <w:vAlign w:val="center"/>
          </w:tcPr>
          <w:p w14:paraId="65402B16">
            <w:pPr>
              <w:spacing w:line="360" w:lineRule="auto"/>
              <w:jc w:val="center"/>
              <w:rPr>
                <w:sz w:val="24"/>
                <w:lang w:val="zh-CN" w:bidi="zh-CN"/>
              </w:rPr>
            </w:pPr>
          </w:p>
        </w:tc>
        <w:tc>
          <w:tcPr>
            <w:tcW w:w="765" w:type="pct"/>
            <w:noWrap w:val="0"/>
            <w:vAlign w:val="center"/>
          </w:tcPr>
          <w:p w14:paraId="3554F70F">
            <w:pPr>
              <w:spacing w:line="360" w:lineRule="auto"/>
              <w:jc w:val="center"/>
              <w:rPr>
                <w:sz w:val="24"/>
                <w:lang w:val="zh-CN" w:bidi="zh-CN"/>
              </w:rPr>
            </w:pPr>
          </w:p>
        </w:tc>
        <w:tc>
          <w:tcPr>
            <w:tcW w:w="1467" w:type="pct"/>
            <w:noWrap w:val="0"/>
            <w:vAlign w:val="center"/>
          </w:tcPr>
          <w:p w14:paraId="56F9F070">
            <w:pPr>
              <w:spacing w:line="360" w:lineRule="auto"/>
              <w:jc w:val="center"/>
              <w:rPr>
                <w:sz w:val="24"/>
                <w:lang w:val="zh-CN" w:bidi="zh-CN"/>
              </w:rPr>
            </w:pPr>
          </w:p>
        </w:tc>
        <w:tc>
          <w:tcPr>
            <w:tcW w:w="1048" w:type="pct"/>
            <w:noWrap w:val="0"/>
            <w:vAlign w:val="center"/>
          </w:tcPr>
          <w:p w14:paraId="50E2A697">
            <w:pPr>
              <w:spacing w:line="360" w:lineRule="auto"/>
              <w:jc w:val="center"/>
              <w:rPr>
                <w:sz w:val="24"/>
                <w:lang w:val="zh-CN" w:bidi="zh-CN"/>
              </w:rPr>
            </w:pPr>
          </w:p>
        </w:tc>
        <w:tc>
          <w:tcPr>
            <w:tcW w:w="551" w:type="pct"/>
            <w:noWrap w:val="0"/>
            <w:vAlign w:val="center"/>
          </w:tcPr>
          <w:p w14:paraId="6A787B4D">
            <w:pPr>
              <w:spacing w:line="360" w:lineRule="auto"/>
              <w:jc w:val="center"/>
              <w:rPr>
                <w:sz w:val="24"/>
                <w:lang w:val="zh-CN" w:bidi="zh-CN"/>
              </w:rPr>
            </w:pPr>
          </w:p>
        </w:tc>
      </w:tr>
      <w:tr w14:paraId="7FBB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57" w:type="pct"/>
            <w:noWrap w:val="0"/>
            <w:vAlign w:val="center"/>
          </w:tcPr>
          <w:p w14:paraId="4E1997BC">
            <w:pPr>
              <w:spacing w:line="360" w:lineRule="auto"/>
              <w:jc w:val="center"/>
              <w:rPr>
                <w:sz w:val="24"/>
                <w:lang w:val="zh-CN" w:bidi="zh-CN"/>
              </w:rPr>
            </w:pPr>
          </w:p>
        </w:tc>
        <w:tc>
          <w:tcPr>
            <w:tcW w:w="709" w:type="pct"/>
            <w:noWrap w:val="0"/>
            <w:vAlign w:val="center"/>
          </w:tcPr>
          <w:p w14:paraId="437274DA">
            <w:pPr>
              <w:spacing w:line="360" w:lineRule="auto"/>
              <w:jc w:val="center"/>
              <w:rPr>
                <w:sz w:val="24"/>
                <w:lang w:val="zh-CN" w:bidi="zh-CN"/>
              </w:rPr>
            </w:pPr>
          </w:p>
        </w:tc>
        <w:tc>
          <w:tcPr>
            <w:tcW w:w="765" w:type="pct"/>
            <w:noWrap w:val="0"/>
            <w:vAlign w:val="center"/>
          </w:tcPr>
          <w:p w14:paraId="693D1442">
            <w:pPr>
              <w:spacing w:line="360" w:lineRule="auto"/>
              <w:jc w:val="center"/>
              <w:rPr>
                <w:sz w:val="24"/>
                <w:lang w:val="zh-CN" w:bidi="zh-CN"/>
              </w:rPr>
            </w:pPr>
          </w:p>
        </w:tc>
        <w:tc>
          <w:tcPr>
            <w:tcW w:w="1467" w:type="pct"/>
            <w:noWrap w:val="0"/>
            <w:vAlign w:val="center"/>
          </w:tcPr>
          <w:p w14:paraId="6718AEC9">
            <w:pPr>
              <w:spacing w:line="360" w:lineRule="auto"/>
              <w:jc w:val="center"/>
              <w:rPr>
                <w:sz w:val="24"/>
                <w:lang w:val="zh-CN" w:bidi="zh-CN"/>
              </w:rPr>
            </w:pPr>
          </w:p>
        </w:tc>
        <w:tc>
          <w:tcPr>
            <w:tcW w:w="1048" w:type="pct"/>
            <w:noWrap w:val="0"/>
            <w:vAlign w:val="center"/>
          </w:tcPr>
          <w:p w14:paraId="6D728442">
            <w:pPr>
              <w:spacing w:line="360" w:lineRule="auto"/>
              <w:jc w:val="center"/>
              <w:rPr>
                <w:sz w:val="24"/>
                <w:lang w:val="zh-CN" w:bidi="zh-CN"/>
              </w:rPr>
            </w:pPr>
          </w:p>
        </w:tc>
        <w:tc>
          <w:tcPr>
            <w:tcW w:w="551" w:type="pct"/>
            <w:noWrap w:val="0"/>
            <w:vAlign w:val="center"/>
          </w:tcPr>
          <w:p w14:paraId="36D55788">
            <w:pPr>
              <w:spacing w:line="360" w:lineRule="auto"/>
              <w:jc w:val="center"/>
              <w:rPr>
                <w:sz w:val="24"/>
                <w:lang w:val="zh-CN" w:bidi="zh-CN"/>
              </w:rPr>
            </w:pPr>
          </w:p>
        </w:tc>
      </w:tr>
      <w:tr w14:paraId="508D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006A5AA2">
            <w:pPr>
              <w:spacing w:line="360" w:lineRule="auto"/>
              <w:jc w:val="center"/>
              <w:rPr>
                <w:sz w:val="24"/>
                <w:lang w:val="zh-CN" w:bidi="zh-CN"/>
              </w:rPr>
            </w:pPr>
          </w:p>
        </w:tc>
        <w:tc>
          <w:tcPr>
            <w:tcW w:w="709" w:type="pct"/>
            <w:noWrap w:val="0"/>
            <w:vAlign w:val="center"/>
          </w:tcPr>
          <w:p w14:paraId="3965765D">
            <w:pPr>
              <w:spacing w:line="360" w:lineRule="auto"/>
              <w:jc w:val="center"/>
              <w:rPr>
                <w:sz w:val="24"/>
                <w:lang w:val="zh-CN" w:bidi="zh-CN"/>
              </w:rPr>
            </w:pPr>
          </w:p>
        </w:tc>
        <w:tc>
          <w:tcPr>
            <w:tcW w:w="765" w:type="pct"/>
            <w:noWrap w:val="0"/>
            <w:vAlign w:val="center"/>
          </w:tcPr>
          <w:p w14:paraId="0BA3FFD3">
            <w:pPr>
              <w:spacing w:line="360" w:lineRule="auto"/>
              <w:jc w:val="center"/>
              <w:rPr>
                <w:sz w:val="24"/>
                <w:lang w:val="zh-CN" w:bidi="zh-CN"/>
              </w:rPr>
            </w:pPr>
          </w:p>
        </w:tc>
        <w:tc>
          <w:tcPr>
            <w:tcW w:w="1467" w:type="pct"/>
            <w:noWrap w:val="0"/>
            <w:vAlign w:val="center"/>
          </w:tcPr>
          <w:p w14:paraId="593BBF84">
            <w:pPr>
              <w:spacing w:line="360" w:lineRule="auto"/>
              <w:jc w:val="center"/>
              <w:rPr>
                <w:sz w:val="24"/>
                <w:lang w:val="zh-CN" w:bidi="zh-CN"/>
              </w:rPr>
            </w:pPr>
          </w:p>
        </w:tc>
        <w:tc>
          <w:tcPr>
            <w:tcW w:w="1048" w:type="pct"/>
            <w:noWrap w:val="0"/>
            <w:vAlign w:val="center"/>
          </w:tcPr>
          <w:p w14:paraId="160F151C">
            <w:pPr>
              <w:spacing w:line="360" w:lineRule="auto"/>
              <w:jc w:val="center"/>
              <w:rPr>
                <w:sz w:val="24"/>
                <w:lang w:val="zh-CN" w:bidi="zh-CN"/>
              </w:rPr>
            </w:pPr>
          </w:p>
        </w:tc>
        <w:tc>
          <w:tcPr>
            <w:tcW w:w="551" w:type="pct"/>
            <w:noWrap w:val="0"/>
            <w:vAlign w:val="center"/>
          </w:tcPr>
          <w:p w14:paraId="5E4DAC95">
            <w:pPr>
              <w:spacing w:line="360" w:lineRule="auto"/>
              <w:jc w:val="center"/>
              <w:rPr>
                <w:sz w:val="24"/>
                <w:lang w:val="zh-CN" w:bidi="zh-CN"/>
              </w:rPr>
            </w:pPr>
          </w:p>
        </w:tc>
      </w:tr>
      <w:tr w14:paraId="0C02C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497BC5C5">
            <w:pPr>
              <w:spacing w:line="360" w:lineRule="auto"/>
              <w:jc w:val="center"/>
              <w:rPr>
                <w:sz w:val="24"/>
                <w:lang w:val="zh-CN" w:bidi="zh-CN"/>
              </w:rPr>
            </w:pPr>
          </w:p>
        </w:tc>
        <w:tc>
          <w:tcPr>
            <w:tcW w:w="709" w:type="pct"/>
            <w:noWrap w:val="0"/>
            <w:vAlign w:val="center"/>
          </w:tcPr>
          <w:p w14:paraId="41ABB797">
            <w:pPr>
              <w:spacing w:line="360" w:lineRule="auto"/>
              <w:jc w:val="center"/>
              <w:rPr>
                <w:sz w:val="24"/>
                <w:lang w:val="zh-CN" w:bidi="zh-CN"/>
              </w:rPr>
            </w:pPr>
          </w:p>
        </w:tc>
        <w:tc>
          <w:tcPr>
            <w:tcW w:w="765" w:type="pct"/>
            <w:noWrap w:val="0"/>
            <w:vAlign w:val="center"/>
          </w:tcPr>
          <w:p w14:paraId="79822973">
            <w:pPr>
              <w:spacing w:line="360" w:lineRule="auto"/>
              <w:jc w:val="center"/>
              <w:rPr>
                <w:sz w:val="24"/>
                <w:lang w:val="zh-CN" w:bidi="zh-CN"/>
              </w:rPr>
            </w:pPr>
          </w:p>
        </w:tc>
        <w:tc>
          <w:tcPr>
            <w:tcW w:w="1467" w:type="pct"/>
            <w:noWrap w:val="0"/>
            <w:vAlign w:val="center"/>
          </w:tcPr>
          <w:p w14:paraId="761D7FC8">
            <w:pPr>
              <w:spacing w:line="360" w:lineRule="auto"/>
              <w:jc w:val="center"/>
              <w:rPr>
                <w:sz w:val="24"/>
                <w:lang w:val="zh-CN" w:bidi="zh-CN"/>
              </w:rPr>
            </w:pPr>
          </w:p>
        </w:tc>
        <w:tc>
          <w:tcPr>
            <w:tcW w:w="1048" w:type="pct"/>
            <w:noWrap w:val="0"/>
            <w:vAlign w:val="center"/>
          </w:tcPr>
          <w:p w14:paraId="4488D831">
            <w:pPr>
              <w:spacing w:line="360" w:lineRule="auto"/>
              <w:jc w:val="center"/>
              <w:rPr>
                <w:sz w:val="24"/>
                <w:lang w:val="zh-CN" w:bidi="zh-CN"/>
              </w:rPr>
            </w:pPr>
          </w:p>
        </w:tc>
        <w:tc>
          <w:tcPr>
            <w:tcW w:w="551" w:type="pct"/>
            <w:noWrap w:val="0"/>
            <w:vAlign w:val="center"/>
          </w:tcPr>
          <w:p w14:paraId="6A9515BE">
            <w:pPr>
              <w:spacing w:line="360" w:lineRule="auto"/>
              <w:jc w:val="center"/>
              <w:rPr>
                <w:sz w:val="24"/>
                <w:lang w:val="zh-CN" w:bidi="zh-CN"/>
              </w:rPr>
            </w:pPr>
          </w:p>
        </w:tc>
      </w:tr>
      <w:tr w14:paraId="0C86D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289F160B">
            <w:pPr>
              <w:spacing w:line="360" w:lineRule="auto"/>
              <w:jc w:val="center"/>
              <w:rPr>
                <w:sz w:val="24"/>
                <w:lang w:val="zh-CN" w:bidi="zh-CN"/>
              </w:rPr>
            </w:pPr>
          </w:p>
        </w:tc>
        <w:tc>
          <w:tcPr>
            <w:tcW w:w="709" w:type="pct"/>
            <w:noWrap w:val="0"/>
            <w:vAlign w:val="center"/>
          </w:tcPr>
          <w:p w14:paraId="6A1FE82D">
            <w:pPr>
              <w:spacing w:line="360" w:lineRule="auto"/>
              <w:jc w:val="center"/>
              <w:rPr>
                <w:sz w:val="24"/>
                <w:lang w:val="zh-CN" w:bidi="zh-CN"/>
              </w:rPr>
            </w:pPr>
          </w:p>
        </w:tc>
        <w:tc>
          <w:tcPr>
            <w:tcW w:w="765" w:type="pct"/>
            <w:noWrap w:val="0"/>
            <w:vAlign w:val="center"/>
          </w:tcPr>
          <w:p w14:paraId="0B068071">
            <w:pPr>
              <w:spacing w:line="360" w:lineRule="auto"/>
              <w:jc w:val="center"/>
              <w:rPr>
                <w:sz w:val="24"/>
                <w:lang w:val="zh-CN" w:bidi="zh-CN"/>
              </w:rPr>
            </w:pPr>
          </w:p>
        </w:tc>
        <w:tc>
          <w:tcPr>
            <w:tcW w:w="1467" w:type="pct"/>
            <w:noWrap w:val="0"/>
            <w:vAlign w:val="center"/>
          </w:tcPr>
          <w:p w14:paraId="46984C20">
            <w:pPr>
              <w:spacing w:line="360" w:lineRule="auto"/>
              <w:jc w:val="center"/>
              <w:rPr>
                <w:sz w:val="24"/>
                <w:lang w:val="zh-CN" w:bidi="zh-CN"/>
              </w:rPr>
            </w:pPr>
          </w:p>
        </w:tc>
        <w:tc>
          <w:tcPr>
            <w:tcW w:w="1048" w:type="pct"/>
            <w:noWrap w:val="0"/>
            <w:vAlign w:val="center"/>
          </w:tcPr>
          <w:p w14:paraId="7E20DC92">
            <w:pPr>
              <w:spacing w:line="360" w:lineRule="auto"/>
              <w:jc w:val="center"/>
              <w:rPr>
                <w:sz w:val="24"/>
                <w:lang w:val="zh-CN" w:bidi="zh-CN"/>
              </w:rPr>
            </w:pPr>
          </w:p>
        </w:tc>
        <w:tc>
          <w:tcPr>
            <w:tcW w:w="551" w:type="pct"/>
            <w:noWrap w:val="0"/>
            <w:vAlign w:val="center"/>
          </w:tcPr>
          <w:p w14:paraId="6A61D373">
            <w:pPr>
              <w:spacing w:line="360" w:lineRule="auto"/>
              <w:jc w:val="center"/>
              <w:rPr>
                <w:sz w:val="24"/>
                <w:lang w:val="zh-CN" w:bidi="zh-CN"/>
              </w:rPr>
            </w:pPr>
          </w:p>
        </w:tc>
      </w:tr>
      <w:tr w14:paraId="123C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7DF0D513">
            <w:pPr>
              <w:spacing w:line="360" w:lineRule="auto"/>
              <w:jc w:val="center"/>
              <w:rPr>
                <w:sz w:val="24"/>
                <w:lang w:val="zh-CN" w:bidi="zh-CN"/>
              </w:rPr>
            </w:pPr>
          </w:p>
        </w:tc>
        <w:tc>
          <w:tcPr>
            <w:tcW w:w="709" w:type="pct"/>
            <w:noWrap w:val="0"/>
            <w:vAlign w:val="center"/>
          </w:tcPr>
          <w:p w14:paraId="5D26615F">
            <w:pPr>
              <w:spacing w:line="360" w:lineRule="auto"/>
              <w:jc w:val="center"/>
              <w:rPr>
                <w:sz w:val="24"/>
                <w:lang w:val="zh-CN" w:bidi="zh-CN"/>
              </w:rPr>
            </w:pPr>
          </w:p>
        </w:tc>
        <w:tc>
          <w:tcPr>
            <w:tcW w:w="765" w:type="pct"/>
            <w:noWrap w:val="0"/>
            <w:vAlign w:val="center"/>
          </w:tcPr>
          <w:p w14:paraId="614C54F2">
            <w:pPr>
              <w:spacing w:line="360" w:lineRule="auto"/>
              <w:jc w:val="center"/>
              <w:rPr>
                <w:sz w:val="24"/>
                <w:lang w:val="zh-CN" w:bidi="zh-CN"/>
              </w:rPr>
            </w:pPr>
          </w:p>
        </w:tc>
        <w:tc>
          <w:tcPr>
            <w:tcW w:w="1467" w:type="pct"/>
            <w:noWrap w:val="0"/>
            <w:vAlign w:val="center"/>
          </w:tcPr>
          <w:p w14:paraId="5383BCD3">
            <w:pPr>
              <w:spacing w:line="360" w:lineRule="auto"/>
              <w:jc w:val="center"/>
              <w:rPr>
                <w:sz w:val="24"/>
                <w:lang w:val="zh-CN" w:bidi="zh-CN"/>
              </w:rPr>
            </w:pPr>
          </w:p>
        </w:tc>
        <w:tc>
          <w:tcPr>
            <w:tcW w:w="1048" w:type="pct"/>
            <w:noWrap w:val="0"/>
            <w:vAlign w:val="center"/>
          </w:tcPr>
          <w:p w14:paraId="622A14AD">
            <w:pPr>
              <w:spacing w:line="360" w:lineRule="auto"/>
              <w:jc w:val="center"/>
              <w:rPr>
                <w:sz w:val="24"/>
                <w:lang w:val="zh-CN" w:bidi="zh-CN"/>
              </w:rPr>
            </w:pPr>
          </w:p>
        </w:tc>
        <w:tc>
          <w:tcPr>
            <w:tcW w:w="551" w:type="pct"/>
            <w:noWrap w:val="0"/>
            <w:vAlign w:val="center"/>
          </w:tcPr>
          <w:p w14:paraId="64E5B5BB">
            <w:pPr>
              <w:spacing w:line="360" w:lineRule="auto"/>
              <w:jc w:val="center"/>
              <w:rPr>
                <w:sz w:val="24"/>
                <w:lang w:val="zh-CN" w:bidi="zh-CN"/>
              </w:rPr>
            </w:pPr>
          </w:p>
        </w:tc>
      </w:tr>
      <w:tr w14:paraId="428C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11F058C1">
            <w:pPr>
              <w:spacing w:line="360" w:lineRule="auto"/>
              <w:jc w:val="center"/>
              <w:rPr>
                <w:sz w:val="24"/>
                <w:lang w:val="zh-CN" w:bidi="zh-CN"/>
              </w:rPr>
            </w:pPr>
          </w:p>
        </w:tc>
        <w:tc>
          <w:tcPr>
            <w:tcW w:w="709" w:type="pct"/>
            <w:noWrap w:val="0"/>
            <w:vAlign w:val="center"/>
          </w:tcPr>
          <w:p w14:paraId="62F5D8EB">
            <w:pPr>
              <w:spacing w:line="360" w:lineRule="auto"/>
              <w:jc w:val="center"/>
              <w:rPr>
                <w:sz w:val="24"/>
                <w:lang w:val="zh-CN" w:bidi="zh-CN"/>
              </w:rPr>
            </w:pPr>
          </w:p>
        </w:tc>
        <w:tc>
          <w:tcPr>
            <w:tcW w:w="765" w:type="pct"/>
            <w:noWrap w:val="0"/>
            <w:vAlign w:val="center"/>
          </w:tcPr>
          <w:p w14:paraId="7E390EA9">
            <w:pPr>
              <w:spacing w:line="360" w:lineRule="auto"/>
              <w:jc w:val="center"/>
              <w:rPr>
                <w:sz w:val="24"/>
                <w:lang w:val="zh-CN" w:bidi="zh-CN"/>
              </w:rPr>
            </w:pPr>
          </w:p>
        </w:tc>
        <w:tc>
          <w:tcPr>
            <w:tcW w:w="1467" w:type="pct"/>
            <w:noWrap w:val="0"/>
            <w:vAlign w:val="center"/>
          </w:tcPr>
          <w:p w14:paraId="2B358E8F">
            <w:pPr>
              <w:spacing w:line="360" w:lineRule="auto"/>
              <w:jc w:val="center"/>
              <w:rPr>
                <w:sz w:val="24"/>
                <w:lang w:val="zh-CN" w:bidi="zh-CN"/>
              </w:rPr>
            </w:pPr>
          </w:p>
        </w:tc>
        <w:tc>
          <w:tcPr>
            <w:tcW w:w="1048" w:type="pct"/>
            <w:noWrap w:val="0"/>
            <w:vAlign w:val="center"/>
          </w:tcPr>
          <w:p w14:paraId="4791B621">
            <w:pPr>
              <w:spacing w:line="360" w:lineRule="auto"/>
              <w:jc w:val="center"/>
              <w:rPr>
                <w:sz w:val="24"/>
                <w:lang w:val="zh-CN" w:bidi="zh-CN"/>
              </w:rPr>
            </w:pPr>
          </w:p>
        </w:tc>
        <w:tc>
          <w:tcPr>
            <w:tcW w:w="551" w:type="pct"/>
            <w:noWrap w:val="0"/>
            <w:vAlign w:val="center"/>
          </w:tcPr>
          <w:p w14:paraId="0BC82A11">
            <w:pPr>
              <w:spacing w:line="360" w:lineRule="auto"/>
              <w:jc w:val="center"/>
              <w:rPr>
                <w:sz w:val="24"/>
                <w:lang w:val="zh-CN" w:bidi="zh-CN"/>
              </w:rPr>
            </w:pPr>
          </w:p>
        </w:tc>
      </w:tr>
      <w:tr w14:paraId="376A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1EF83266">
            <w:pPr>
              <w:spacing w:line="360" w:lineRule="auto"/>
              <w:jc w:val="center"/>
              <w:rPr>
                <w:sz w:val="24"/>
                <w:lang w:val="zh-CN" w:bidi="zh-CN"/>
              </w:rPr>
            </w:pPr>
          </w:p>
        </w:tc>
        <w:tc>
          <w:tcPr>
            <w:tcW w:w="709" w:type="pct"/>
            <w:noWrap w:val="0"/>
            <w:vAlign w:val="center"/>
          </w:tcPr>
          <w:p w14:paraId="095F6EF7">
            <w:pPr>
              <w:spacing w:line="360" w:lineRule="auto"/>
              <w:jc w:val="center"/>
              <w:rPr>
                <w:sz w:val="24"/>
                <w:lang w:val="zh-CN" w:bidi="zh-CN"/>
              </w:rPr>
            </w:pPr>
          </w:p>
        </w:tc>
        <w:tc>
          <w:tcPr>
            <w:tcW w:w="765" w:type="pct"/>
            <w:noWrap w:val="0"/>
            <w:vAlign w:val="center"/>
          </w:tcPr>
          <w:p w14:paraId="063AF7A2">
            <w:pPr>
              <w:spacing w:line="360" w:lineRule="auto"/>
              <w:jc w:val="center"/>
              <w:rPr>
                <w:sz w:val="24"/>
                <w:lang w:val="zh-CN" w:bidi="zh-CN"/>
              </w:rPr>
            </w:pPr>
          </w:p>
        </w:tc>
        <w:tc>
          <w:tcPr>
            <w:tcW w:w="1467" w:type="pct"/>
            <w:noWrap w:val="0"/>
            <w:vAlign w:val="center"/>
          </w:tcPr>
          <w:p w14:paraId="05B2D66E">
            <w:pPr>
              <w:spacing w:line="360" w:lineRule="auto"/>
              <w:jc w:val="center"/>
              <w:rPr>
                <w:sz w:val="24"/>
                <w:lang w:val="zh-CN" w:bidi="zh-CN"/>
              </w:rPr>
            </w:pPr>
          </w:p>
        </w:tc>
        <w:tc>
          <w:tcPr>
            <w:tcW w:w="1048" w:type="pct"/>
            <w:noWrap w:val="0"/>
            <w:vAlign w:val="center"/>
          </w:tcPr>
          <w:p w14:paraId="42B9A69B">
            <w:pPr>
              <w:spacing w:line="360" w:lineRule="auto"/>
              <w:jc w:val="center"/>
              <w:rPr>
                <w:sz w:val="24"/>
                <w:lang w:val="zh-CN" w:bidi="zh-CN"/>
              </w:rPr>
            </w:pPr>
          </w:p>
        </w:tc>
        <w:tc>
          <w:tcPr>
            <w:tcW w:w="551" w:type="pct"/>
            <w:noWrap w:val="0"/>
            <w:vAlign w:val="center"/>
          </w:tcPr>
          <w:p w14:paraId="5FB89229">
            <w:pPr>
              <w:spacing w:line="360" w:lineRule="auto"/>
              <w:jc w:val="center"/>
              <w:rPr>
                <w:sz w:val="24"/>
                <w:lang w:val="zh-CN" w:bidi="zh-CN"/>
              </w:rPr>
            </w:pPr>
          </w:p>
        </w:tc>
      </w:tr>
      <w:tr w14:paraId="754D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05B441CE">
            <w:pPr>
              <w:spacing w:line="360" w:lineRule="auto"/>
              <w:jc w:val="center"/>
              <w:rPr>
                <w:sz w:val="24"/>
                <w:lang w:val="zh-CN" w:bidi="zh-CN"/>
              </w:rPr>
            </w:pPr>
          </w:p>
        </w:tc>
        <w:tc>
          <w:tcPr>
            <w:tcW w:w="709" w:type="pct"/>
            <w:noWrap w:val="0"/>
            <w:vAlign w:val="center"/>
          </w:tcPr>
          <w:p w14:paraId="7D147D6F">
            <w:pPr>
              <w:spacing w:line="360" w:lineRule="auto"/>
              <w:jc w:val="center"/>
              <w:rPr>
                <w:sz w:val="24"/>
                <w:lang w:val="zh-CN" w:bidi="zh-CN"/>
              </w:rPr>
            </w:pPr>
          </w:p>
        </w:tc>
        <w:tc>
          <w:tcPr>
            <w:tcW w:w="765" w:type="pct"/>
            <w:noWrap w:val="0"/>
            <w:vAlign w:val="center"/>
          </w:tcPr>
          <w:p w14:paraId="1A942F82">
            <w:pPr>
              <w:spacing w:line="360" w:lineRule="auto"/>
              <w:jc w:val="center"/>
              <w:rPr>
                <w:sz w:val="24"/>
                <w:lang w:val="zh-CN" w:bidi="zh-CN"/>
              </w:rPr>
            </w:pPr>
          </w:p>
        </w:tc>
        <w:tc>
          <w:tcPr>
            <w:tcW w:w="1467" w:type="pct"/>
            <w:noWrap w:val="0"/>
            <w:vAlign w:val="center"/>
          </w:tcPr>
          <w:p w14:paraId="3C2C2FFC">
            <w:pPr>
              <w:spacing w:line="360" w:lineRule="auto"/>
              <w:jc w:val="center"/>
              <w:rPr>
                <w:sz w:val="24"/>
                <w:lang w:val="zh-CN" w:bidi="zh-CN"/>
              </w:rPr>
            </w:pPr>
          </w:p>
        </w:tc>
        <w:tc>
          <w:tcPr>
            <w:tcW w:w="1048" w:type="pct"/>
            <w:noWrap w:val="0"/>
            <w:vAlign w:val="center"/>
          </w:tcPr>
          <w:p w14:paraId="2195FD31">
            <w:pPr>
              <w:spacing w:line="360" w:lineRule="auto"/>
              <w:jc w:val="center"/>
              <w:rPr>
                <w:sz w:val="24"/>
                <w:lang w:val="zh-CN" w:bidi="zh-CN"/>
              </w:rPr>
            </w:pPr>
          </w:p>
        </w:tc>
        <w:tc>
          <w:tcPr>
            <w:tcW w:w="551" w:type="pct"/>
            <w:noWrap w:val="0"/>
            <w:vAlign w:val="center"/>
          </w:tcPr>
          <w:p w14:paraId="7447310E">
            <w:pPr>
              <w:spacing w:line="360" w:lineRule="auto"/>
              <w:jc w:val="center"/>
              <w:rPr>
                <w:sz w:val="24"/>
                <w:lang w:val="zh-CN" w:bidi="zh-CN"/>
              </w:rPr>
            </w:pPr>
          </w:p>
        </w:tc>
      </w:tr>
      <w:tr w14:paraId="4485D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4EAC00F9">
            <w:pPr>
              <w:spacing w:line="360" w:lineRule="auto"/>
              <w:jc w:val="center"/>
              <w:rPr>
                <w:sz w:val="24"/>
                <w:lang w:val="zh-CN" w:bidi="zh-CN"/>
              </w:rPr>
            </w:pPr>
          </w:p>
        </w:tc>
        <w:tc>
          <w:tcPr>
            <w:tcW w:w="709" w:type="pct"/>
            <w:noWrap w:val="0"/>
            <w:vAlign w:val="center"/>
          </w:tcPr>
          <w:p w14:paraId="40CEC79B">
            <w:pPr>
              <w:spacing w:line="360" w:lineRule="auto"/>
              <w:jc w:val="center"/>
              <w:rPr>
                <w:sz w:val="24"/>
                <w:lang w:val="zh-CN" w:bidi="zh-CN"/>
              </w:rPr>
            </w:pPr>
          </w:p>
        </w:tc>
        <w:tc>
          <w:tcPr>
            <w:tcW w:w="765" w:type="pct"/>
            <w:noWrap w:val="0"/>
            <w:vAlign w:val="center"/>
          </w:tcPr>
          <w:p w14:paraId="2718F4E8">
            <w:pPr>
              <w:spacing w:line="360" w:lineRule="auto"/>
              <w:jc w:val="center"/>
              <w:rPr>
                <w:sz w:val="24"/>
                <w:lang w:val="zh-CN" w:bidi="zh-CN"/>
              </w:rPr>
            </w:pPr>
          </w:p>
        </w:tc>
        <w:tc>
          <w:tcPr>
            <w:tcW w:w="1467" w:type="pct"/>
            <w:noWrap w:val="0"/>
            <w:vAlign w:val="center"/>
          </w:tcPr>
          <w:p w14:paraId="1A68C50A">
            <w:pPr>
              <w:spacing w:line="360" w:lineRule="auto"/>
              <w:jc w:val="center"/>
              <w:rPr>
                <w:sz w:val="24"/>
                <w:lang w:val="zh-CN" w:bidi="zh-CN"/>
              </w:rPr>
            </w:pPr>
          </w:p>
        </w:tc>
        <w:tc>
          <w:tcPr>
            <w:tcW w:w="1048" w:type="pct"/>
            <w:noWrap w:val="0"/>
            <w:vAlign w:val="center"/>
          </w:tcPr>
          <w:p w14:paraId="45054E90">
            <w:pPr>
              <w:spacing w:line="360" w:lineRule="auto"/>
              <w:jc w:val="center"/>
              <w:rPr>
                <w:sz w:val="24"/>
                <w:lang w:val="zh-CN" w:bidi="zh-CN"/>
              </w:rPr>
            </w:pPr>
          </w:p>
        </w:tc>
        <w:tc>
          <w:tcPr>
            <w:tcW w:w="551" w:type="pct"/>
            <w:noWrap w:val="0"/>
            <w:vAlign w:val="center"/>
          </w:tcPr>
          <w:p w14:paraId="520DA827">
            <w:pPr>
              <w:spacing w:line="360" w:lineRule="auto"/>
              <w:jc w:val="center"/>
              <w:rPr>
                <w:sz w:val="24"/>
                <w:lang w:val="zh-CN" w:bidi="zh-CN"/>
              </w:rPr>
            </w:pPr>
          </w:p>
        </w:tc>
      </w:tr>
      <w:tr w14:paraId="137C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371C837A">
            <w:pPr>
              <w:spacing w:line="360" w:lineRule="auto"/>
              <w:jc w:val="center"/>
              <w:rPr>
                <w:sz w:val="24"/>
                <w:lang w:val="zh-CN" w:bidi="zh-CN"/>
              </w:rPr>
            </w:pPr>
          </w:p>
        </w:tc>
        <w:tc>
          <w:tcPr>
            <w:tcW w:w="709" w:type="pct"/>
            <w:noWrap w:val="0"/>
            <w:vAlign w:val="center"/>
          </w:tcPr>
          <w:p w14:paraId="2A0D9889">
            <w:pPr>
              <w:spacing w:line="360" w:lineRule="auto"/>
              <w:jc w:val="center"/>
              <w:rPr>
                <w:sz w:val="24"/>
                <w:lang w:val="zh-CN" w:bidi="zh-CN"/>
              </w:rPr>
            </w:pPr>
          </w:p>
        </w:tc>
        <w:tc>
          <w:tcPr>
            <w:tcW w:w="765" w:type="pct"/>
            <w:noWrap w:val="0"/>
            <w:vAlign w:val="center"/>
          </w:tcPr>
          <w:p w14:paraId="132EC0BC">
            <w:pPr>
              <w:spacing w:line="360" w:lineRule="auto"/>
              <w:jc w:val="center"/>
              <w:rPr>
                <w:sz w:val="24"/>
                <w:lang w:val="zh-CN" w:bidi="zh-CN"/>
              </w:rPr>
            </w:pPr>
          </w:p>
        </w:tc>
        <w:tc>
          <w:tcPr>
            <w:tcW w:w="1467" w:type="pct"/>
            <w:noWrap w:val="0"/>
            <w:vAlign w:val="center"/>
          </w:tcPr>
          <w:p w14:paraId="79A1C46E">
            <w:pPr>
              <w:spacing w:line="360" w:lineRule="auto"/>
              <w:jc w:val="center"/>
              <w:rPr>
                <w:sz w:val="24"/>
                <w:lang w:val="zh-CN" w:bidi="zh-CN"/>
              </w:rPr>
            </w:pPr>
          </w:p>
        </w:tc>
        <w:tc>
          <w:tcPr>
            <w:tcW w:w="1048" w:type="pct"/>
            <w:noWrap w:val="0"/>
            <w:vAlign w:val="center"/>
          </w:tcPr>
          <w:p w14:paraId="7FC379CF">
            <w:pPr>
              <w:spacing w:line="360" w:lineRule="auto"/>
              <w:jc w:val="center"/>
              <w:rPr>
                <w:sz w:val="24"/>
                <w:lang w:val="zh-CN" w:bidi="zh-CN"/>
              </w:rPr>
            </w:pPr>
          </w:p>
        </w:tc>
        <w:tc>
          <w:tcPr>
            <w:tcW w:w="551" w:type="pct"/>
            <w:noWrap w:val="0"/>
            <w:vAlign w:val="center"/>
          </w:tcPr>
          <w:p w14:paraId="4DE99AA7">
            <w:pPr>
              <w:spacing w:line="360" w:lineRule="auto"/>
              <w:jc w:val="center"/>
              <w:rPr>
                <w:sz w:val="24"/>
                <w:lang w:val="zh-CN" w:bidi="zh-CN"/>
              </w:rPr>
            </w:pPr>
          </w:p>
        </w:tc>
      </w:tr>
      <w:tr w14:paraId="74D3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61AD4EDC">
            <w:pPr>
              <w:spacing w:line="360" w:lineRule="auto"/>
              <w:jc w:val="center"/>
              <w:rPr>
                <w:sz w:val="24"/>
                <w:lang w:val="zh-CN" w:bidi="zh-CN"/>
              </w:rPr>
            </w:pPr>
          </w:p>
        </w:tc>
        <w:tc>
          <w:tcPr>
            <w:tcW w:w="709" w:type="pct"/>
            <w:noWrap w:val="0"/>
            <w:vAlign w:val="center"/>
          </w:tcPr>
          <w:p w14:paraId="3DFD09E8">
            <w:pPr>
              <w:spacing w:line="360" w:lineRule="auto"/>
              <w:jc w:val="center"/>
              <w:rPr>
                <w:sz w:val="24"/>
                <w:lang w:val="zh-CN" w:bidi="zh-CN"/>
              </w:rPr>
            </w:pPr>
          </w:p>
        </w:tc>
        <w:tc>
          <w:tcPr>
            <w:tcW w:w="765" w:type="pct"/>
            <w:noWrap w:val="0"/>
            <w:vAlign w:val="center"/>
          </w:tcPr>
          <w:p w14:paraId="4D579A31">
            <w:pPr>
              <w:spacing w:line="360" w:lineRule="auto"/>
              <w:jc w:val="center"/>
              <w:rPr>
                <w:sz w:val="24"/>
                <w:lang w:val="zh-CN" w:bidi="zh-CN"/>
              </w:rPr>
            </w:pPr>
          </w:p>
        </w:tc>
        <w:tc>
          <w:tcPr>
            <w:tcW w:w="1467" w:type="pct"/>
            <w:noWrap w:val="0"/>
            <w:vAlign w:val="center"/>
          </w:tcPr>
          <w:p w14:paraId="457D9D0E">
            <w:pPr>
              <w:spacing w:line="360" w:lineRule="auto"/>
              <w:jc w:val="center"/>
              <w:rPr>
                <w:sz w:val="24"/>
                <w:lang w:val="zh-CN" w:bidi="zh-CN"/>
              </w:rPr>
            </w:pPr>
          </w:p>
        </w:tc>
        <w:tc>
          <w:tcPr>
            <w:tcW w:w="1048" w:type="pct"/>
            <w:noWrap w:val="0"/>
            <w:vAlign w:val="center"/>
          </w:tcPr>
          <w:p w14:paraId="607AB8D0">
            <w:pPr>
              <w:spacing w:line="360" w:lineRule="auto"/>
              <w:jc w:val="center"/>
              <w:rPr>
                <w:sz w:val="24"/>
                <w:lang w:val="zh-CN" w:bidi="zh-CN"/>
              </w:rPr>
            </w:pPr>
          </w:p>
        </w:tc>
        <w:tc>
          <w:tcPr>
            <w:tcW w:w="551" w:type="pct"/>
            <w:noWrap w:val="0"/>
            <w:vAlign w:val="center"/>
          </w:tcPr>
          <w:p w14:paraId="3FF57B4B">
            <w:pPr>
              <w:spacing w:line="360" w:lineRule="auto"/>
              <w:jc w:val="center"/>
              <w:rPr>
                <w:sz w:val="24"/>
                <w:lang w:val="zh-CN" w:bidi="zh-CN"/>
              </w:rPr>
            </w:pPr>
          </w:p>
        </w:tc>
      </w:tr>
      <w:tr w14:paraId="5636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57" w:type="pct"/>
            <w:noWrap w:val="0"/>
            <w:vAlign w:val="center"/>
          </w:tcPr>
          <w:p w14:paraId="08977AFE">
            <w:pPr>
              <w:spacing w:line="360" w:lineRule="auto"/>
              <w:jc w:val="center"/>
              <w:rPr>
                <w:sz w:val="24"/>
                <w:lang w:val="zh-CN" w:bidi="zh-CN"/>
              </w:rPr>
            </w:pPr>
          </w:p>
        </w:tc>
        <w:tc>
          <w:tcPr>
            <w:tcW w:w="709" w:type="pct"/>
            <w:noWrap w:val="0"/>
            <w:vAlign w:val="center"/>
          </w:tcPr>
          <w:p w14:paraId="363AC5A3">
            <w:pPr>
              <w:spacing w:line="360" w:lineRule="auto"/>
              <w:jc w:val="center"/>
              <w:rPr>
                <w:sz w:val="24"/>
                <w:lang w:val="zh-CN" w:bidi="zh-CN"/>
              </w:rPr>
            </w:pPr>
          </w:p>
        </w:tc>
        <w:tc>
          <w:tcPr>
            <w:tcW w:w="765" w:type="pct"/>
            <w:noWrap w:val="0"/>
            <w:vAlign w:val="center"/>
          </w:tcPr>
          <w:p w14:paraId="421C4152">
            <w:pPr>
              <w:spacing w:line="360" w:lineRule="auto"/>
              <w:jc w:val="center"/>
              <w:rPr>
                <w:sz w:val="24"/>
                <w:lang w:val="zh-CN" w:bidi="zh-CN"/>
              </w:rPr>
            </w:pPr>
          </w:p>
        </w:tc>
        <w:tc>
          <w:tcPr>
            <w:tcW w:w="1467" w:type="pct"/>
            <w:noWrap w:val="0"/>
            <w:vAlign w:val="center"/>
          </w:tcPr>
          <w:p w14:paraId="4926ABD7">
            <w:pPr>
              <w:spacing w:line="360" w:lineRule="auto"/>
              <w:jc w:val="center"/>
              <w:rPr>
                <w:sz w:val="24"/>
                <w:lang w:val="zh-CN" w:bidi="zh-CN"/>
              </w:rPr>
            </w:pPr>
          </w:p>
        </w:tc>
        <w:tc>
          <w:tcPr>
            <w:tcW w:w="1048" w:type="pct"/>
            <w:noWrap w:val="0"/>
            <w:vAlign w:val="center"/>
          </w:tcPr>
          <w:p w14:paraId="21EC35BC">
            <w:pPr>
              <w:spacing w:line="360" w:lineRule="auto"/>
              <w:jc w:val="center"/>
              <w:rPr>
                <w:sz w:val="24"/>
                <w:lang w:val="zh-CN" w:bidi="zh-CN"/>
              </w:rPr>
            </w:pPr>
          </w:p>
        </w:tc>
        <w:tc>
          <w:tcPr>
            <w:tcW w:w="551" w:type="pct"/>
            <w:noWrap w:val="0"/>
            <w:vAlign w:val="center"/>
          </w:tcPr>
          <w:p w14:paraId="04727014">
            <w:pPr>
              <w:spacing w:line="360" w:lineRule="auto"/>
              <w:jc w:val="center"/>
              <w:rPr>
                <w:sz w:val="24"/>
                <w:lang w:val="zh-CN" w:bidi="zh-CN"/>
              </w:rPr>
            </w:pPr>
          </w:p>
        </w:tc>
      </w:tr>
      <w:tr w14:paraId="134C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57" w:type="pct"/>
            <w:noWrap w:val="0"/>
            <w:vAlign w:val="center"/>
          </w:tcPr>
          <w:p w14:paraId="389DB210">
            <w:pPr>
              <w:spacing w:line="360" w:lineRule="auto"/>
              <w:jc w:val="center"/>
              <w:rPr>
                <w:sz w:val="24"/>
                <w:lang w:val="zh-CN" w:bidi="zh-CN"/>
              </w:rPr>
            </w:pPr>
          </w:p>
        </w:tc>
        <w:tc>
          <w:tcPr>
            <w:tcW w:w="709" w:type="pct"/>
            <w:noWrap w:val="0"/>
            <w:vAlign w:val="center"/>
          </w:tcPr>
          <w:p w14:paraId="0592C9AD">
            <w:pPr>
              <w:spacing w:line="360" w:lineRule="auto"/>
              <w:jc w:val="center"/>
              <w:rPr>
                <w:sz w:val="24"/>
                <w:lang w:val="zh-CN" w:bidi="zh-CN"/>
              </w:rPr>
            </w:pPr>
          </w:p>
        </w:tc>
        <w:tc>
          <w:tcPr>
            <w:tcW w:w="765" w:type="pct"/>
            <w:noWrap w:val="0"/>
            <w:vAlign w:val="center"/>
          </w:tcPr>
          <w:p w14:paraId="752F2CC4">
            <w:pPr>
              <w:spacing w:line="360" w:lineRule="auto"/>
              <w:jc w:val="center"/>
              <w:rPr>
                <w:sz w:val="24"/>
                <w:lang w:val="zh-CN" w:bidi="zh-CN"/>
              </w:rPr>
            </w:pPr>
          </w:p>
        </w:tc>
        <w:tc>
          <w:tcPr>
            <w:tcW w:w="1467" w:type="pct"/>
            <w:noWrap w:val="0"/>
            <w:vAlign w:val="center"/>
          </w:tcPr>
          <w:p w14:paraId="525DCA79">
            <w:pPr>
              <w:spacing w:line="360" w:lineRule="auto"/>
              <w:jc w:val="center"/>
              <w:rPr>
                <w:sz w:val="24"/>
                <w:lang w:val="zh-CN" w:bidi="zh-CN"/>
              </w:rPr>
            </w:pPr>
          </w:p>
        </w:tc>
        <w:tc>
          <w:tcPr>
            <w:tcW w:w="1048" w:type="pct"/>
            <w:noWrap w:val="0"/>
            <w:vAlign w:val="center"/>
          </w:tcPr>
          <w:p w14:paraId="07ED8EFC">
            <w:pPr>
              <w:spacing w:line="360" w:lineRule="auto"/>
              <w:jc w:val="center"/>
              <w:rPr>
                <w:sz w:val="24"/>
                <w:lang w:val="zh-CN" w:bidi="zh-CN"/>
              </w:rPr>
            </w:pPr>
          </w:p>
        </w:tc>
        <w:tc>
          <w:tcPr>
            <w:tcW w:w="551" w:type="pct"/>
            <w:noWrap w:val="0"/>
            <w:vAlign w:val="center"/>
          </w:tcPr>
          <w:p w14:paraId="0C8FC7DA">
            <w:pPr>
              <w:spacing w:line="360" w:lineRule="auto"/>
              <w:jc w:val="center"/>
              <w:rPr>
                <w:sz w:val="24"/>
                <w:lang w:val="zh-CN" w:bidi="zh-CN"/>
              </w:rPr>
            </w:pPr>
          </w:p>
        </w:tc>
      </w:tr>
    </w:tbl>
    <w:p w14:paraId="7E849DB9">
      <w:pPr>
        <w:rPr>
          <w:b/>
          <w:bCs/>
          <w:szCs w:val="21"/>
          <w:lang w:bidi="zh-CN"/>
        </w:rPr>
      </w:pPr>
      <w:bookmarkStart w:id="182" w:name="(三)人员安排及管理制度"/>
      <w:bookmarkEnd w:id="182"/>
      <w:r>
        <w:rPr>
          <w:rFonts w:hint="eastAsia"/>
          <w:b/>
          <w:bCs/>
          <w:szCs w:val="21"/>
          <w:lang w:bidi="zh-CN"/>
        </w:rPr>
        <w:t>后附：相关人员证书扫描件并加盖公章</w:t>
      </w:r>
    </w:p>
    <w:p w14:paraId="24EF94C1">
      <w:pPr>
        <w:rPr>
          <w:b/>
          <w:bCs/>
          <w:szCs w:val="21"/>
          <w:lang w:val="zh-CN" w:bidi="zh-CN"/>
        </w:rPr>
      </w:pPr>
    </w:p>
    <w:p w14:paraId="0A321D4C">
      <w:pPr>
        <w:rPr>
          <w:b/>
          <w:bCs/>
          <w:szCs w:val="21"/>
          <w:lang w:val="zh-CN" w:bidi="zh-CN"/>
        </w:rPr>
      </w:pPr>
    </w:p>
    <w:p w14:paraId="31D7416A">
      <w:pPr>
        <w:pStyle w:val="14"/>
        <w:numPr>
          <w:ilvl w:val="0"/>
          <w:numId w:val="3"/>
        </w:numPr>
        <w:ind w:firstLine="0"/>
        <w:jc w:val="center"/>
        <w:rPr>
          <w:rFonts w:hint="eastAsia" w:ascii="宋体" w:hAnsi="宋体" w:eastAsia="宋体" w:cs="宋体"/>
          <w:b/>
          <w:bCs/>
          <w:color w:val="000000"/>
          <w:kern w:val="10"/>
          <w:sz w:val="24"/>
        </w:rPr>
      </w:pPr>
      <w:r>
        <w:rPr>
          <w:rFonts w:hint="eastAsia" w:ascii="宋体" w:hAnsi="宋体" w:eastAsia="宋体" w:cs="宋体"/>
          <w:b/>
          <w:bCs/>
          <w:color w:val="000000"/>
          <w:kern w:val="10"/>
          <w:sz w:val="24"/>
        </w:rPr>
        <w:t>供应商认为需要提供的其他资料</w:t>
      </w:r>
    </w:p>
    <w:p w14:paraId="6C156067">
      <w:pPr>
        <w:pStyle w:val="14"/>
        <w:numPr>
          <w:ilvl w:val="0"/>
          <w:numId w:val="0"/>
        </w:numPr>
        <w:jc w:val="center"/>
        <w:rPr>
          <w:rFonts w:ascii="宋体" w:hAnsi="宋体" w:eastAsia="宋体" w:cs="宋体"/>
          <w:b w:val="0"/>
          <w:bCs w:val="0"/>
          <w:color w:val="000000"/>
          <w:kern w:val="10"/>
          <w:sz w:val="24"/>
        </w:rPr>
      </w:pPr>
      <w:r>
        <w:rPr>
          <w:rFonts w:hint="eastAsia" w:ascii="宋体" w:hAnsi="宋体" w:eastAsia="宋体"/>
          <w:b w:val="0"/>
          <w:bCs w:val="0"/>
          <w:color w:val="000000"/>
          <w:sz w:val="24"/>
        </w:rPr>
        <w:t>（</w:t>
      </w:r>
      <w:bookmarkStart w:id="183" w:name="_Toc26496"/>
      <w:bookmarkStart w:id="184" w:name="_Toc31769"/>
      <w:bookmarkStart w:id="185" w:name="_Toc3211"/>
      <w:r>
        <w:rPr>
          <w:rFonts w:hint="eastAsia" w:ascii="宋体" w:hAnsi="宋体" w:eastAsia="宋体"/>
          <w:b w:val="0"/>
          <w:bCs w:val="0"/>
          <w:color w:val="000000"/>
          <w:sz w:val="24"/>
        </w:rPr>
        <w:t>投标人认为需要的其他资料</w:t>
      </w:r>
      <w:bookmarkEnd w:id="183"/>
      <w:bookmarkEnd w:id="184"/>
      <w:bookmarkEnd w:id="185"/>
      <w:r>
        <w:rPr>
          <w:rFonts w:hint="eastAsia" w:ascii="宋体" w:hAnsi="宋体" w:eastAsia="宋体"/>
          <w:b w:val="0"/>
          <w:bCs w:val="0"/>
          <w:color w:val="000000"/>
          <w:sz w:val="24"/>
        </w:rPr>
        <w:t>）</w:t>
      </w:r>
    </w:p>
    <w:p w14:paraId="10A78B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530F">
    <w:pPr>
      <w:pStyle w:val="8"/>
      <w:rPr>
        <w:rFonts w:ascii="宋体" w:hAnsi="宋体"/>
        <w:sz w:val="21"/>
        <w:szCs w:val="21"/>
      </w:rPr>
    </w:pPr>
  </w:p>
  <w:p w14:paraId="611D1CA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D8507"/>
    <w:multiLevelType w:val="singleLevel"/>
    <w:tmpl w:val="D73D8507"/>
    <w:lvl w:ilvl="0" w:tentative="0">
      <w:start w:val="1"/>
      <w:numFmt w:val="chineseCounting"/>
      <w:suff w:val="nothing"/>
      <w:lvlText w:val="%1、"/>
      <w:lvlJc w:val="left"/>
      <w:rPr>
        <w:rFonts w:hint="eastAsia"/>
      </w:rPr>
    </w:lvl>
  </w:abstractNum>
  <w:abstractNum w:abstractNumId="1">
    <w:nsid w:val="301B1AF1"/>
    <w:multiLevelType w:val="singleLevel"/>
    <w:tmpl w:val="301B1AF1"/>
    <w:lvl w:ilvl="0" w:tentative="0">
      <w:start w:val="1"/>
      <w:numFmt w:val="decimal"/>
      <w:lvlText w:val="(%1)"/>
      <w:lvlJc w:val="left"/>
      <w:pPr>
        <w:ind w:left="425" w:hanging="425"/>
      </w:pPr>
      <w:rPr>
        <w:rFonts w:hint="default" w:cs="Times New Roman"/>
      </w:rPr>
    </w:lvl>
  </w:abstractNum>
  <w:abstractNum w:abstractNumId="2">
    <w:nsid w:val="4EF5AD7E"/>
    <w:multiLevelType w:val="singleLevel"/>
    <w:tmpl w:val="4EF5AD7E"/>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jY1OWJlOWM1OGFhZDU5YWVjMDFiZjllZjdiOGQifQ=="/>
  </w:docVars>
  <w:rsids>
    <w:rsidRoot w:val="415A4C32"/>
    <w:rsid w:val="0057771D"/>
    <w:rsid w:val="02BE2AC5"/>
    <w:rsid w:val="0872153E"/>
    <w:rsid w:val="091317DF"/>
    <w:rsid w:val="0BE704D7"/>
    <w:rsid w:val="0FC9280E"/>
    <w:rsid w:val="23FF3DF5"/>
    <w:rsid w:val="244615A7"/>
    <w:rsid w:val="36721EAF"/>
    <w:rsid w:val="3B0539B1"/>
    <w:rsid w:val="3F4641F8"/>
    <w:rsid w:val="415A4C32"/>
    <w:rsid w:val="46202A0C"/>
    <w:rsid w:val="4B4768E8"/>
    <w:rsid w:val="4ED520B4"/>
    <w:rsid w:val="556C03F6"/>
    <w:rsid w:val="55F22449"/>
    <w:rsid w:val="56595C72"/>
    <w:rsid w:val="56C455A5"/>
    <w:rsid w:val="56FB2CC1"/>
    <w:rsid w:val="579B705F"/>
    <w:rsid w:val="61E1172D"/>
    <w:rsid w:val="62440FF7"/>
    <w:rsid w:val="63AF0DE3"/>
    <w:rsid w:val="64433184"/>
    <w:rsid w:val="65E54D3E"/>
    <w:rsid w:val="68C7569C"/>
    <w:rsid w:val="6DD00AC8"/>
    <w:rsid w:val="7D6F2271"/>
    <w:rsid w:val="7E51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tabs>
        <w:tab w:val="left" w:pos="540"/>
      </w:tabs>
      <w:adjustRightInd w:val="0"/>
      <w:snapToGrid w:val="0"/>
      <w:spacing w:line="360" w:lineRule="auto"/>
      <w:jc w:val="center"/>
      <w:outlineLvl w:val="0"/>
    </w:pPr>
    <w:rPr>
      <w:rFonts w:ascii="宋体" w:hAnsi="宋体"/>
      <w:b/>
      <w:kern w:val="44"/>
      <w:sz w:val="44"/>
      <w:szCs w:val="44"/>
      <w:lang w:bidi="he-IL"/>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adjustRightInd w:val="0"/>
      <w:snapToGrid w:val="0"/>
      <w:spacing w:line="520" w:lineRule="exact"/>
      <w:ind w:firstLine="595"/>
    </w:pPr>
    <w:rPr>
      <w:kern w:val="0"/>
      <w:sz w:val="28"/>
      <w:szCs w:val="20"/>
    </w:rPr>
  </w:style>
  <w:style w:type="paragraph" w:customStyle="1" w:styleId="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next w:val="7"/>
    <w:qFormat/>
    <w:uiPriority w:val="0"/>
    <w:pPr>
      <w:ind w:firstLine="430"/>
    </w:pPr>
    <w:rPr>
      <w:rFonts w:ascii="仿宋_GB2312" w:eastAsia="仿宋_GB2312"/>
      <w:kern w:val="0"/>
      <w:sz w:val="32"/>
    </w:rPr>
  </w:style>
  <w:style w:type="paragraph" w:styleId="7">
    <w:name w:val="envelope return"/>
    <w:basedOn w:val="1"/>
    <w:unhideWhenUsed/>
    <w:qFormat/>
    <w:uiPriority w:val="99"/>
    <w:pPr>
      <w:snapToGrid w:val="0"/>
    </w:pPr>
    <w:rPr>
      <w:rFonts w:ascii="等线 Light" w:hAnsi="等线 Light" w:eastAsia="等线 Light"/>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2"/>
    <w:basedOn w:val="1"/>
    <w:next w:val="1"/>
    <w:qFormat/>
    <w:uiPriority w:val="0"/>
    <w:pPr>
      <w:spacing w:after="120" w:line="480" w:lineRule="auto"/>
    </w:pPr>
    <w:rPr>
      <w:rFonts w:ascii="仿宋_GB2312" w:eastAsia="仿宋_GB2312"/>
      <w:sz w:val="32"/>
      <w:szCs w:val="32"/>
    </w:rPr>
  </w:style>
  <w:style w:type="paragraph" w:styleId="13">
    <w:name w:val="Body Text First Indent"/>
    <w:basedOn w:val="4"/>
    <w:next w:val="14"/>
    <w:qFormat/>
    <w:uiPriority w:val="99"/>
    <w:pPr>
      <w:adjustRightInd/>
      <w:snapToGrid/>
      <w:spacing w:after="120" w:line="240" w:lineRule="auto"/>
      <w:ind w:firstLine="420" w:firstLineChars="100"/>
    </w:pPr>
    <w:rPr>
      <w:sz w:val="21"/>
      <w:szCs w:val="24"/>
    </w:rPr>
  </w:style>
  <w:style w:type="paragraph" w:styleId="14">
    <w:name w:val="Body Text First Indent 2"/>
    <w:basedOn w:val="6"/>
    <w:next w:val="1"/>
    <w:qFormat/>
    <w:uiPriority w:val="99"/>
    <w:pPr>
      <w:ind w:firstLine="420"/>
    </w:p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styleId="29">
    <w:name w:val="List Paragraph"/>
    <w:basedOn w:val="1"/>
    <w:qFormat/>
    <w:uiPriority w:val="99"/>
    <w:pPr>
      <w:ind w:firstLine="420" w:firstLineChars="200"/>
    </w:pPr>
    <w:rPr>
      <w:rFonts w:ascii="Calibri" w:hAnsi="Calibri"/>
      <w:szCs w:val="22"/>
    </w:rPr>
  </w:style>
  <w:style w:type="paragraph" w:customStyle="1" w:styleId="30">
    <w:name w:val="列出段落1"/>
    <w:basedOn w:val="1"/>
    <w:qFormat/>
    <w:uiPriority w:val="34"/>
    <w:pPr>
      <w:ind w:firstLine="420" w:firstLineChars="200"/>
    </w:pPr>
    <w:rPr>
      <w:rFonts w:ascii="Calibri" w:hAnsi="Calibri"/>
      <w:szCs w:val="22"/>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rPr>
  </w:style>
  <w:style w:type="character" w:customStyle="1" w:styleId="34">
    <w:name w:val="mini-outputtext1"/>
    <w:basedOn w:val="16"/>
    <w:qFormat/>
    <w:uiPriority w:val="0"/>
  </w:style>
  <w:style w:type="character" w:customStyle="1" w:styleId="35">
    <w:name w:val="hover"/>
    <w:basedOn w:val="16"/>
    <w:qFormat/>
    <w:uiPriority w:val="0"/>
    <w:rPr>
      <w:color w:val="2590E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46659</Words>
  <Characters>50204</Characters>
  <Lines>0</Lines>
  <Paragraphs>0</Paragraphs>
  <TotalTime>0</TotalTime>
  <ScaleCrop>false</ScaleCrop>
  <LinksUpToDate>false</LinksUpToDate>
  <CharactersWithSpaces>52328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2024-08-17T10:12:00Z</dcterms:created>
  <dc:creator>WPS_1528172940</dc:creator>
  <cp:lastModifiedBy>WPS_1528172940</cp:lastModifiedBy>
  <dcterms:modified xsi:type="dcterms:W3CDTF">2024-09-24T10:50:02Z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73B7728952D34A179717F568440D9E28_11</vt:lpwstr>
  </property>
</Properties>
</file>