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5C24">
      <w:pPr>
        <w:jc w:val="center"/>
        <w:rPr>
          <w:rFonts w:hint="eastAsia" w:ascii="FZXiaoBiaoSong-B05S" w:hAnsi="宋体" w:eastAsia="FZXiaoBiaoSong-B05S"/>
          <w:sz w:val="36"/>
          <w:szCs w:val="36"/>
        </w:rPr>
      </w:pPr>
      <w:r>
        <w:rPr>
          <w:rFonts w:hint="eastAsia" w:ascii="FZXiaoBiaoSong-B05S" w:hAnsi="宋体" w:eastAsia="FZXiaoBiaoSong-B05S"/>
          <w:sz w:val="36"/>
          <w:szCs w:val="36"/>
        </w:rPr>
        <w:t>技术参数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534"/>
        <w:gridCol w:w="6039"/>
        <w:gridCol w:w="509"/>
        <w:gridCol w:w="612"/>
      </w:tblGrid>
      <w:tr w14:paraId="4CC7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</w:tcPr>
          <w:p w14:paraId="51E1C67D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序号</w:t>
            </w:r>
          </w:p>
        </w:tc>
        <w:tc>
          <w:tcPr>
            <w:tcW w:w="1534" w:type="dxa"/>
          </w:tcPr>
          <w:p w14:paraId="5D889B86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服务名称</w:t>
            </w:r>
          </w:p>
        </w:tc>
        <w:tc>
          <w:tcPr>
            <w:tcW w:w="6039" w:type="dxa"/>
          </w:tcPr>
          <w:p w14:paraId="5CC35605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详细技术参数要求</w:t>
            </w:r>
          </w:p>
        </w:tc>
        <w:tc>
          <w:tcPr>
            <w:tcW w:w="509" w:type="dxa"/>
          </w:tcPr>
          <w:p w14:paraId="1EFE3445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数量</w:t>
            </w:r>
          </w:p>
        </w:tc>
        <w:tc>
          <w:tcPr>
            <w:tcW w:w="612" w:type="dxa"/>
          </w:tcPr>
          <w:p w14:paraId="1A34C6E3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单位</w:t>
            </w:r>
          </w:p>
        </w:tc>
      </w:tr>
      <w:tr w14:paraId="19338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 w14:paraId="2AB74D8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</w:t>
            </w:r>
          </w:p>
        </w:tc>
        <w:tc>
          <w:tcPr>
            <w:tcW w:w="1534" w:type="dxa"/>
            <w:vAlign w:val="center"/>
          </w:tcPr>
          <w:p w14:paraId="5526C980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中国教育科研网线路资源</w:t>
            </w:r>
          </w:p>
        </w:tc>
        <w:tc>
          <w:tcPr>
            <w:tcW w:w="6039" w:type="dxa"/>
          </w:tcPr>
          <w:p w14:paraId="4C0D24F1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1.提供中国教育和科研计算机网IPv4带宽100M；并提供不低于100M的上联端口接入。</w:t>
            </w:r>
          </w:p>
          <w:p w14:paraId="2F4F0B8A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2.提供国际动态包月。</w:t>
            </w:r>
          </w:p>
          <w:p w14:paraId="067A8CBF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3.提供7*24小时的故障处理服务，提供故障申报电话。</w:t>
            </w:r>
          </w:p>
          <w:p w14:paraId="2676262C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4.提供可靠网络通信质量保障，其网管对互联网接入服务提供7*24小时实时监控。</w:t>
            </w:r>
          </w:p>
          <w:p w14:paraId="1DA334F6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5.投标人应在1小时内对用户的服务要求给以响应，需要现场解决问题的，应在2个小时内到达现场，4小时内进行恢复。</w:t>
            </w:r>
          </w:p>
        </w:tc>
        <w:tc>
          <w:tcPr>
            <w:tcW w:w="509" w:type="dxa"/>
            <w:vAlign w:val="center"/>
          </w:tcPr>
          <w:p w14:paraId="2B72E21E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</w:p>
        </w:tc>
        <w:tc>
          <w:tcPr>
            <w:tcW w:w="612" w:type="dxa"/>
            <w:vAlign w:val="center"/>
          </w:tcPr>
          <w:p w14:paraId="3254CDA8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</w:t>
            </w:r>
          </w:p>
        </w:tc>
      </w:tr>
      <w:tr w14:paraId="59A87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 w14:paraId="68AB766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</w:t>
            </w:r>
          </w:p>
        </w:tc>
        <w:tc>
          <w:tcPr>
            <w:tcW w:w="1534" w:type="dxa"/>
            <w:vAlign w:val="center"/>
          </w:tcPr>
          <w:p w14:paraId="14E9E55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中国教育科研网</w:t>
            </w:r>
          </w:p>
          <w:p w14:paraId="6C0F527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IPv4/IPv6地址资源</w:t>
            </w:r>
          </w:p>
        </w:tc>
        <w:tc>
          <w:tcPr>
            <w:tcW w:w="6039" w:type="dxa"/>
          </w:tcPr>
          <w:p w14:paraId="22DB19EA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1.提供32个IPv4地址；</w:t>
            </w:r>
          </w:p>
          <w:p w14:paraId="4A7DDD88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2.提供2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0"/>
                <w:szCs w:val="20"/>
              </w:rPr>
              <w:t>的80次方个IPv6地址。</w:t>
            </w:r>
          </w:p>
        </w:tc>
        <w:tc>
          <w:tcPr>
            <w:tcW w:w="509" w:type="dxa"/>
            <w:vAlign w:val="center"/>
          </w:tcPr>
          <w:p w14:paraId="0F2C12FE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</w:p>
        </w:tc>
        <w:tc>
          <w:tcPr>
            <w:tcW w:w="612" w:type="dxa"/>
            <w:vAlign w:val="center"/>
          </w:tcPr>
          <w:p w14:paraId="2FBF2076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</w:t>
            </w:r>
          </w:p>
        </w:tc>
      </w:tr>
      <w:tr w14:paraId="46B3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6" w:type="dxa"/>
            <w:vAlign w:val="center"/>
          </w:tcPr>
          <w:p w14:paraId="2E93315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</w:t>
            </w:r>
          </w:p>
        </w:tc>
        <w:tc>
          <w:tcPr>
            <w:tcW w:w="1534" w:type="dxa"/>
            <w:vAlign w:val="center"/>
          </w:tcPr>
          <w:p w14:paraId="5FD845F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网站域名及安全证书</w:t>
            </w:r>
          </w:p>
        </w:tc>
        <w:tc>
          <w:tcPr>
            <w:tcW w:w="6039" w:type="dxa"/>
          </w:tcPr>
          <w:p w14:paraId="07012EDD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1.提供zzrvtc.edu.cn域名。</w:t>
            </w:r>
          </w:p>
          <w:p w14:paraId="536F79C0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2.提供域名证书服务，包括1个通配符域及其所有第一级子域；</w:t>
            </w:r>
          </w:p>
          <w:p w14:paraId="769E8DB1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3.可扩展保护通配符域数量≤250；</w:t>
            </w:r>
          </w:p>
          <w:p w14:paraId="3BAEC26D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4.在多台服务器上安装证书，无需额外费用，有效期内无限次免费重发；</w:t>
            </w:r>
          </w:p>
          <w:p w14:paraId="3A65A4A4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5.具有自动真实性检查功能；</w:t>
            </w:r>
          </w:p>
          <w:p w14:paraId="686A07A2">
            <w:pPr>
              <w:spacing w:after="0" w:line="360" w:lineRule="auto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6.支持在云防护平台、WAF、VPN等设备上使用该证书；</w:t>
            </w:r>
          </w:p>
        </w:tc>
        <w:tc>
          <w:tcPr>
            <w:tcW w:w="509" w:type="dxa"/>
            <w:vAlign w:val="center"/>
          </w:tcPr>
          <w:p w14:paraId="65A199BB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</w:t>
            </w:r>
          </w:p>
        </w:tc>
        <w:tc>
          <w:tcPr>
            <w:tcW w:w="612" w:type="dxa"/>
            <w:vAlign w:val="center"/>
          </w:tcPr>
          <w:p w14:paraId="730311BC">
            <w:pPr>
              <w:spacing w:after="0" w:line="240" w:lineRule="auto"/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</w:t>
            </w:r>
          </w:p>
        </w:tc>
      </w:tr>
    </w:tbl>
    <w:p w14:paraId="0CB97253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ZXiaoBiaoSong-B05S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FFE"/>
    <w:rsid w:val="00017FFE"/>
    <w:rsid w:val="003923E1"/>
    <w:rsid w:val="00406427"/>
    <w:rsid w:val="00863E94"/>
    <w:rsid w:val="00B471AC"/>
    <w:rsid w:val="00D82E41"/>
    <w:rsid w:val="33A403DA"/>
    <w:rsid w:val="3841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widowControl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widowControl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  <w:sz w:val="24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widowControl/>
      <w:spacing w:before="80" w:after="40"/>
      <w:outlineLvl w:val="4"/>
    </w:pPr>
    <w:rPr>
      <w:rFonts w:eastAsiaTheme="maj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62626" w:themeColor="text1" w:themeTint="D9"/>
      <w:sz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widowControl/>
      <w:spacing w:after="0"/>
      <w:outlineLvl w:val="8"/>
    </w:pPr>
    <w:rPr>
      <w:rFonts w:eastAsiaTheme="majorEastAsia" w:cstheme="majorBidi"/>
      <w:color w:val="262626" w:themeColor="text1" w:themeTint="D9"/>
      <w:sz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widowControl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widowControl/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7 字符"/>
    <w:basedOn w:val="15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widowControl/>
      <w:spacing w:before="160"/>
      <w:jc w:val="center"/>
    </w:pPr>
    <w:rPr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widowControl/>
      <w:ind w:left="720"/>
      <w:contextualSpacing/>
    </w:pPr>
    <w:rPr>
      <w:sz w:val="24"/>
    </w:r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  <w:sz w:val="24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421</Characters>
  <Lines>3</Lines>
  <Paragraphs>1</Paragraphs>
  <TotalTime>3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2026-07-31T07:51:00Z</dcterms:created>
  <dc:creator>xx</dc:creator>
  <cp:lastModifiedBy>国采招标咨询</cp:lastModifiedBy>
  <dcterms:modified xsi:type="dcterms:W3CDTF">2026-10-08T01:10:39Z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591D19F359D644248CFFB46F11E31EFA_13</vt:lpwstr>
  </property>
  <property fmtid="{D5CDD505-2E9C-101B-9397-08002B2CF9AE}" pid="4" name="KSOTemplateDocerSaveRecord">
    <vt:lpwstr>eyJoZGlkIjoiZTBkOThjMjQ4NGMwMzg2YTJkZTU5ZDk1ODdmZTNkYmEiLCJ1c2VySWQiOiI0MTg2OTI0NDQifQ==</vt:lpwstr>
  </property>
</Properties>
</file>